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04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Mensajería y contrato de eventos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Topología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2"/>
        <w:gridCol w:w="5516"/>
      </w:tblGrid>
      <w:tr>
        <w:trPr>
          <w:cantSplit/>
          <w:tblHeader/>
        </w:trPr>
        <w:tc>
          <w:tcPr>
            <w:tcW w:type="dxa" w:w="41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41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prisma.nominations.result.v1</w:t>
            </w:r>
          </w:p>
        </w:tc>
        <w:tc>
          <w:tcPr>
            <w:tcW w:type="dxa" w:w="5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 único de resultado por nominación</w:t>
            </w:r>
          </w:p>
        </w:tc>
      </w:tr>
      <w:tr>
        <w:trPr>
          <w:cantSplit/>
          <w:tblHeader w:val="false"/>
        </w:trPr>
        <w:tc>
          <w:tcPr>
            <w:tcW w:type="dxa" w:w="41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prisma.nominations.result.v1.dlq</w:t>
            </w:r>
          </w:p>
        </w:tc>
        <w:tc>
          <w:tcPr>
            <w:tcW w:type="dxa" w:w="5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Dead-letter queue de eventos no publicables</w:t>
            </w:r>
          </w:p>
        </w:tc>
      </w:tr>
    </w:tbl>
    <w:p>
      <w:pPr>
        <w:spacing w:after="160" w:before="0"/>
      </w:pP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Partition key =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nominationId</w:t>
      </w:r>
      <w:r>
        <w:rPr>
          <w:b w:val="false"/>
          <w:bCs w:val="false"/>
          <w:sz w:val="21"/>
          <w:szCs w:val="21"/>
        </w:rPr>
        <w:t xml:space="preserve"> → garantiza orden por agregado y permite escalar consumidores. En la demo, el transporte por defecto es un sink de log; con el perfil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kafka</w:t>
      </w:r>
      <w:r>
        <w:rPr>
          <w:b w:val="false"/>
          <w:bCs w:val="false"/>
          <w:sz w:val="21"/>
          <w:szCs w:val="21"/>
        </w:rPr>
        <w:t xml:space="preserve"> se publica en Kafka o Redpanda. El diseño no depende del broker: cualquier cola administrada (SQS/SNS, Service Bus, Pub/Sub) es sustituible implementando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EventPublisher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Contrato del evento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nomination.result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"eventId": "0d5f...",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"eventType": "nomination.result",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"eventVersion": 1,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"nominationId": "b1e2...",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"customerId": "123456",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"accountId": "****7654",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"cardMask": "****ENCE",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"alias": "CUENTA_PRINCIPAL",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"status": "APPROVED",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"result": "APPROVED",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"reasonCode": null,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"reasonMessage": null,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"attempts": 1,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"correlationId": "corr-demo-1",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"occurredAt": "2026-10-11T23:25:49Z"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Un solo evento terminal</w:t>
      </w:r>
      <w:r>
        <w:rPr>
          <w:b w:val="false"/>
          <w:bCs w:val="false"/>
          <w:sz w:val="21"/>
          <w:szCs w:val="21"/>
        </w:rPr>
        <w:t xml:space="preserve"> por nominación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APPROVED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REJECTED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FAILED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TIMEOUT</w:t>
      </w:r>
      <w:r>
        <w:rPr>
          <w:b w:val="false"/>
          <w:b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eventId</w:t>
      </w:r>
      <w:r>
        <w:rPr>
          <w:b w:val="false"/>
          <w:bCs w:val="false"/>
          <w:sz w:val="21"/>
          <w:szCs w:val="21"/>
        </w:rPr>
        <w:t xml:space="preserve"> es la </w:t>
      </w:r>
      <w:r>
        <w:rPr>
          <w:b/>
          <w:bCs/>
          <w:sz w:val="21"/>
          <w:szCs w:val="21"/>
        </w:rPr>
        <w:t xml:space="preserve">clave de deduplicación</w:t>
      </w:r>
      <w:r>
        <w:rPr>
          <w:b w:val="false"/>
          <w:bCs w:val="false"/>
          <w:sz w:val="21"/>
          <w:szCs w:val="21"/>
        </w:rPr>
        <w:t xml:space="preserve"> en consumidores (entrega at-least-once).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Sin datos sensibles completos: identificadores enmascarados.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correlationId</w:t>
      </w:r>
      <w:r>
        <w:rPr>
          <w:b w:val="false"/>
          <w:bCs w:val="false"/>
          <w:sz w:val="21"/>
          <w:szCs w:val="21"/>
        </w:rPr>
        <w:t xml:space="preserve"> permite correlacionar canal → evento final.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Entrega y garantías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Productor Kafka: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acks=all</w:t>
      </w:r>
      <w:r>
        <w:rPr>
          <w:b w:val="false"/>
          <w:bCs w:val="false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enable.idempotence=true</w:t>
      </w:r>
      <w:r>
        <w:rPr>
          <w:b w:val="false"/>
          <w:bCs w:val="false"/>
          <w:sz w:val="21"/>
          <w:szCs w:val="21"/>
        </w:rPr>
        <w:t xml:space="preserve"> → sin pérdida y sin duplicados en el broker.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El relay espera la confirmación del broker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future.get</w:t>
      </w:r>
      <w:r>
        <w:rPr>
          <w:b w:val="false"/>
          <w:bCs w:val="false"/>
          <w:sz w:val="21"/>
          <w:szCs w:val="21"/>
        </w:rPr>
        <w:t xml:space="preserve">) antes de marcar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PUBLISHED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Si la publicación falla, el evento permanece en el outbox y se reintenta → </w:t>
      </w:r>
      <w:r>
        <w:rPr>
          <w:b/>
          <w:bCs/>
          <w:sz w:val="21"/>
          <w:szCs w:val="21"/>
        </w:rPr>
        <w:t xml:space="preserve">at-least-once efectivo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Deduplicación en el consumidor por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eventId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4. Versionado de eventos (compatibilidad evolutiva)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eventVersion</w:t>
      </w:r>
      <w:r>
        <w:rPr>
          <w:b w:val="false"/>
          <w:bCs w:val="false"/>
          <w:sz w:val="21"/>
          <w:szCs w:val="21"/>
        </w:rPr>
        <w:t xml:space="preserve"> entero; el topic incluye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v1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Reglas: </w:t>
      </w:r>
      <w:r>
        <w:rPr>
          <w:b/>
          <w:bCs/>
          <w:sz w:val="21"/>
          <w:szCs w:val="21"/>
        </w:rPr>
        <w:t xml:space="preserve">solo agregar campos opcionales</w:t>
      </w:r>
      <w:r>
        <w:rPr>
          <w:b w:val="false"/>
          <w:bCs w:val="false"/>
          <w:sz w:val="21"/>
          <w:szCs w:val="21"/>
        </w:rPr>
        <w:t xml:space="preserve">; nunca renombrar, reordenar con significado ni cambiar tipos.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Consumidores: ignoran campos desconocidos; no fallan por adiciones.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Cambios incompatibles →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eventVersion</w:t>
      </w:r>
      <w:r>
        <w:rPr>
          <w:b w:val="false"/>
          <w:bCs w:val="false"/>
          <w:sz w:val="21"/>
          <w:szCs w:val="21"/>
        </w:rPr>
        <w:t xml:space="preserve"> nuevo + topic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v2</w:t>
      </w:r>
      <w:r>
        <w:rPr>
          <w:b w:val="false"/>
          <w:bCs w:val="false"/>
          <w:sz w:val="21"/>
          <w:szCs w:val="21"/>
        </w:rPr>
        <w:t xml:space="preserve">, con doble publicación durante la transición.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En producción se recomienda </w:t>
      </w:r>
      <w:r>
        <w:rPr>
          <w:b/>
          <w:bCs/>
          <w:sz w:val="21"/>
          <w:szCs w:val="21"/>
        </w:rPr>
        <w:t xml:space="preserve">Schema Registry</w:t>
      </w:r>
      <w:r>
        <w:rPr>
          <w:b w:val="false"/>
          <w:bCs w:val="false"/>
          <w:sz w:val="21"/>
          <w:szCs w:val="21"/>
        </w:rPr>
        <w:t xml:space="preserve"> (Avro/Protobuf) para validar compatibilidad en CI.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04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04 - Mensajería y contrato de eventos</dc:title>
  <dc:creator>Documentación técnica</dc:creator>
  <cp:lastModifiedBy>Un-named</cp:lastModifiedBy>
  <cp:revision>1</cp:revision>
  <dcterms:created xsi:type="dcterms:W3CDTF">2026-10-13T01:26:40.370Z</dcterms:created>
  <dcterms:modified xsi:type="dcterms:W3CDTF">2026-10-13T01:26:40.370Z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