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06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Seguridad, autenticación, autorización y protección de datos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Seguridad por diseño y mínimo privilegio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Autenticación</w:t>
      </w:r>
      <w:r>
        <w:rPr>
          <w:b w:val="false"/>
          <w:bCs w:val="false"/>
          <w:sz w:val="21"/>
          <w:szCs w:val="21"/>
        </w:rPr>
        <w:t xml:space="preserve">: la demo usa bearer token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app.security.token</w:t>
      </w:r>
      <w:r>
        <w:rPr>
          <w:b w:val="false"/>
          <w:bCs w:val="false"/>
          <w:sz w:val="21"/>
          <w:szCs w:val="21"/>
        </w:rPr>
        <w:t xml:space="preserve">). En producción se reemplaza por </w:t>
      </w:r>
      <w:r>
        <w:rPr>
          <w:b/>
          <w:bCs/>
          <w:sz w:val="21"/>
          <w:szCs w:val="21"/>
        </w:rPr>
        <w:t xml:space="preserve">OAuth2/JWT</w:t>
      </w:r>
      <w:r>
        <w:rPr>
          <w:b w:val="false"/>
          <w:bCs w:val="false"/>
          <w:sz w:val="21"/>
          <w:szCs w:val="21"/>
        </w:rPr>
        <w:t xml:space="preserve"> (resource server) con validación de firma, expiración, audiencia e issuer; el punto de extensión es idéntico (un filtro de autenticación).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Autorización</w:t>
      </w:r>
      <w:r>
        <w:rPr>
          <w:b w:val="false"/>
          <w:bCs w:val="false"/>
          <w:sz w:val="21"/>
          <w:szCs w:val="21"/>
        </w:rPr>
        <w:t xml:space="preserve">: solo el sujeto 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ROLE_NOMINATION_WRITER</w:t>
      </w:r>
      <w:r>
        <w:rPr>
          <w:b w:val="false"/>
          <w:bCs w:val="false"/>
          <w:sz w:val="21"/>
          <w:szCs w:val="21"/>
        </w:rPr>
        <w:t xml:space="preserve"> accede 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/v1/nominations/**</w:t>
      </w:r>
      <w:r>
        <w:rPr>
          <w:b w:val="false"/>
          <w:bCs w:val="false"/>
          <w:sz w:val="21"/>
          <w:szCs w:val="21"/>
        </w:rPr>
        <w:t xml:space="preserve">. El diseño admite scopes por entidad financiera (aislamiento de tenant).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Transporte</w:t>
      </w:r>
      <w:r>
        <w:rPr>
          <w:b w:val="false"/>
          <w:bCs w:val="false"/>
          <w:sz w:val="21"/>
          <w:szCs w:val="21"/>
        </w:rPr>
        <w:t xml:space="preserve">: mTLS entre servicios y entre la plataforma y ABM. TLS extremo a extremo en el borde.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Mínimo privilegio</w:t>
      </w:r>
      <w:r>
        <w:rPr>
          <w:b w:val="false"/>
          <w:bCs w:val="false"/>
          <w:sz w:val="21"/>
          <w:szCs w:val="21"/>
        </w:rPr>
        <w:t xml:space="preserve">: cada servicio usa credenciales propias con permisos acotados sobre su esquema; el worker solo lee/escribe lo necesario; el publisher solo lee el outbox y escribe su estado.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CSRF</w:t>
      </w:r>
      <w:r>
        <w:rPr>
          <w:b w:val="false"/>
          <w:bCs w:val="false"/>
          <w:sz w:val="21"/>
          <w:szCs w:val="21"/>
        </w:rPr>
        <w:t xml:space="preserve">: deshabilitado (API stateless, sin cookies de sesión).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Protección de datos sensibles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Nunca</w:t>
      </w:r>
      <w:r>
        <w:rPr>
          <w:b w:val="false"/>
          <w:bCs w:val="false"/>
          <w:sz w:val="21"/>
          <w:szCs w:val="21"/>
        </w:rPr>
        <w:t xml:space="preserve"> se persiste ni expone el PAN ni datos sensibles completos.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card_id</w:t>
      </w:r>
      <w:r>
        <w:rPr>
          <w:b w:val="false"/>
          <w:bCs w:val="false"/>
          <w:sz w:val="21"/>
          <w:szCs w:val="21"/>
        </w:rPr>
        <w:t xml:space="preserve"> se almacena como </w:t>
      </w:r>
      <w:r>
        <w:rPr>
          <w:b/>
          <w:bCs/>
          <w:sz w:val="21"/>
          <w:szCs w:val="21"/>
        </w:rPr>
        <w:t xml:space="preserve">token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card_token</w:t>
      </w:r>
      <w:r>
        <w:rPr>
          <w:b w:val="false"/>
          <w:bCs w:val="false"/>
          <w:sz w:val="21"/>
          <w:szCs w:val="21"/>
        </w:rPr>
        <w:t xml:space="preserve">) y se expone enmascarado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card_mask</w:t>
      </w:r>
      <w:r>
        <w:rPr>
          <w:b w:val="false"/>
          <w:bCs w:val="false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****1234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account_id</w:t>
      </w:r>
      <w:r>
        <w:rPr>
          <w:b w:val="false"/>
          <w:bCs w:val="false"/>
          <w:sz w:val="21"/>
          <w:szCs w:val="21"/>
        </w:rPr>
        <w:t xml:space="preserve"> se guarda como referencia opaca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account_ref</w:t>
      </w:r>
      <w:r>
        <w:rPr>
          <w:b w:val="false"/>
          <w:bCs w:val="false"/>
          <w:sz w:val="21"/>
          <w:szCs w:val="21"/>
        </w:rPr>
        <w:t xml:space="preserve">) y se expone enmascarado.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En reposo</w:t>
      </w:r>
      <w:r>
        <w:rPr>
          <w:b w:val="false"/>
          <w:bCs w:val="false"/>
          <w:sz w:val="21"/>
          <w:szCs w:val="21"/>
        </w:rPr>
        <w:t xml:space="preserve">: cifrado a nivel de disco/volumen y, opcionalmente, cifrado a nivel de columna.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En tránsito</w:t>
      </w:r>
      <w:r>
        <w:rPr>
          <w:b w:val="false"/>
          <w:bCs w:val="false"/>
          <w:sz w:val="21"/>
          <w:szCs w:val="21"/>
        </w:rPr>
        <w:t xml:space="preserve">: TLS.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Logs</w:t>
      </w:r>
      <w:r>
        <w:rPr>
          <w:b w:val="false"/>
          <w:bCs w:val="false"/>
          <w:sz w:val="21"/>
          <w:szCs w:val="21"/>
        </w:rPr>
        <w:t xml:space="preserve">: structured logging con exclusión explícita de campos sensibles; nunca se loguea el token, la cuenta completa ni credenciales.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Tokenización/enmascaramiento</w:t>
      </w:r>
      <w:r>
        <w:rPr>
          <w:b w:val="false"/>
          <w:bCs w:val="false"/>
          <w:sz w:val="21"/>
          <w:szCs w:val="21"/>
        </w:rPr>
        <w:t xml:space="preserve">: la referencia de tarjeta es un token provisto por el proveedor; la API solo manipula el token y su máscara.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Superficie de ataque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2810"/>
        <w:gridCol w:w="4802"/>
      </w:tblGrid>
      <w:tr>
        <w:trPr>
          <w:cantSplit/>
          <w:tblHeader/>
        </w:trPr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Expuesto</w:t>
            </w:r>
          </w:p>
        </w:tc>
        <w:tc>
          <w:tcPr>
            <w:tcW w:type="dxa" w:w="4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Protección</w:t>
            </w:r>
          </w:p>
        </w:tc>
      </w:tr>
      <w:tr>
        <w:trPr>
          <w:cantSplit/>
          <w:tblHeader w:val="false"/>
        </w:trPr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nomination-api</w:t>
            </w:r>
          </w:p>
        </w:tc>
        <w:tc>
          <w:tcPr>
            <w:tcW w:type="dxa" w:w="2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(público)</w:t>
            </w:r>
          </w:p>
        </w:tc>
        <w:tc>
          <w:tcPr>
            <w:tcW w:type="dxa" w:w="4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OAuth2/token, autorización por rol/tenant, rate limit</w:t>
            </w:r>
          </w:p>
        </w:tc>
      </w:tr>
      <w:tr>
        <w:trPr>
          <w:cantSplit/>
          <w:tblHeader w:val="false"/>
        </w:trPr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nomination-worker</w:t>
            </w:r>
          </w:p>
        </w:tc>
        <w:tc>
          <w:tcPr>
            <w:tcW w:type="dxa" w:w="2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público (solo callback interno + actuator)</w:t>
            </w:r>
          </w:p>
        </w:tc>
        <w:tc>
          <w:tcPr>
            <w:tcW w:type="dxa" w:w="4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Red interna, mTLS, token de callback</w:t>
            </w:r>
          </w:p>
        </w:tc>
      </w:tr>
      <w:tr>
        <w:trPr>
          <w:cantSplit/>
          <w:tblHeader w:val="false"/>
        </w:trPr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event-publisher</w:t>
            </w:r>
          </w:p>
        </w:tc>
        <w:tc>
          <w:tcPr>
            <w:tcW w:type="dxa" w:w="2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actuator</w:t>
            </w:r>
          </w:p>
        </w:tc>
        <w:tc>
          <w:tcPr>
            <w:tcW w:type="dxa" w:w="4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Red interna</w:t>
            </w:r>
          </w:p>
        </w:tc>
      </w:tr>
      <w:tr>
        <w:trPr>
          <w:cantSplit/>
          <w:tblHeader w:val="false"/>
        </w:trPr>
        <w:tc>
          <w:tcPr>
            <w:tcW w:type="dxa" w:w="2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Actuator</w:t>
            </w:r>
          </w:p>
        </w:tc>
        <w:tc>
          <w:tcPr>
            <w:tcW w:type="dxa" w:w="2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Interno</w:t>
            </w:r>
          </w:p>
        </w:tc>
        <w:tc>
          <w:tcPr>
            <w:tcW w:type="dxa" w:w="48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Restringido por red; endpoints sensibles no expuestos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Rate limiting y abuso (implementado)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RateLimitFilter</w:t>
      </w:r>
      <w:r>
        <w:rPr>
          <w:b w:val="false"/>
          <w:bCs w:val="false"/>
          <w:sz w:val="21"/>
          <w:szCs w:val="21"/>
        </w:rPr>
        <w:t xml:space="preserve"> (ventana fija de 1 minuto en memoria) limita el endpoint de escritura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POST /v1/nominations</w:t>
      </w:r>
      <w:r>
        <w:rPr>
          <w:b w:val="false"/>
          <w:bCs w:val="false"/>
          <w:sz w:val="21"/>
          <w:szCs w:val="21"/>
        </w:rPr>
        <w:t xml:space="preserve">, con sujeto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X-Client-Id</w:t>
      </w:r>
      <w:r>
        <w:rPr>
          <w:b w:val="false"/>
          <w:bCs w:val="false"/>
          <w:sz w:val="21"/>
          <w:szCs w:val="21"/>
        </w:rPr>
        <w:t xml:space="preserve"> (o IP remota como aproximación).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Respuesta al exceder: </w:t>
      </w:r>
      <w:r>
        <w:rPr>
          <w:b/>
          <w:bCs/>
          <w:sz w:val="21"/>
          <w:szCs w:val="21"/>
        </w:rPr>
        <w:t xml:space="preserve">429</w:t>
      </w:r>
      <w:r>
        <w:rPr>
          <w:b w:val="false"/>
          <w:bCs w:val="false"/>
          <w:sz w:val="21"/>
          <w:szCs w:val="21"/>
        </w:rPr>
        <w:t xml:space="preserve"> con cabecera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Retry-After</w:t>
      </w:r>
      <w:r>
        <w:rPr>
          <w:b w:val="false"/>
          <w:bCs w:val="false"/>
          <w:sz w:val="21"/>
          <w:szCs w:val="21"/>
        </w:rPr>
        <w:t xml:space="preserve"> (segundos restantes) y cuerpo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{"code":"RATE_LIMITED", ...}</w:t>
      </w:r>
      <w:r>
        <w:rPr>
          <w:b w:val="false"/>
          <w:bCs w:val="false"/>
          <w:sz w:val="21"/>
          <w:szCs w:val="21"/>
        </w:rPr>
        <w:t xml:space="preserve">; incrementa la métrica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api.ratelimited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Configuración: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app.rate-limit.enabled</w:t>
      </w:r>
      <w:r>
        <w:rPr>
          <w:b w:val="false"/>
          <w:bCs w:val="false"/>
          <w:sz w:val="21"/>
          <w:szCs w:val="21"/>
        </w:rPr>
        <w:t xml:space="preserve"> (por defecto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true</w:t>
      </w:r>
      <w:r>
        <w:rPr>
          <w:b w:val="false"/>
          <w:bCs w:val="false"/>
          <w:sz w:val="21"/>
          <w:szCs w:val="21"/>
        </w:rPr>
        <w:t xml:space="preserve">) y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app.rate-limit.requests-per-minute</w:t>
      </w:r>
      <w:r>
        <w:rPr>
          <w:b w:val="false"/>
          <w:bCs w:val="false"/>
          <w:sz w:val="21"/>
          <w:szCs w:val="21"/>
        </w:rPr>
        <w:t xml:space="preserve"> (por defecto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120</w:t>
      </w:r>
      <w:r>
        <w:rPr>
          <w:b w:val="false"/>
          <w:bCs w:val="false"/>
          <w:sz w:val="21"/>
          <w:szCs w:val="21"/>
        </w:rPr>
        <w:t xml:space="preserve">; env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RATE_LIMIT_RPM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En cluster el backend en memoria se reemplaza por uno distribuido (Redis/Bucket4j) </w:t>
      </w:r>
      <w:r>
        <w:rPr>
          <w:b/>
          <w:bCs/>
          <w:sz w:val="21"/>
          <w:szCs w:val="21"/>
        </w:rPr>
        <w:t xml:space="preserve">sin cambiar la frontera</w:t>
      </w:r>
      <w:r>
        <w:rPr>
          <w:b w:val="false"/>
          <w:bCs w:val="false"/>
          <w:sz w:val="21"/>
          <w:szCs w:val="21"/>
        </w:rPr>
        <w:t xml:space="preserve">: sigue siendo 429 +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Retry-After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Tamaño máximo de payload y longitudes máximas por campo validadas en el borde.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Auditoría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Todo cambio de estado queda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nomination_status_history</w:t>
      </w:r>
      <w:r>
        <w:rPr>
          <w:b w:val="false"/>
          <w:bCs w:val="false"/>
          <w:sz w:val="21"/>
          <w:szCs w:val="21"/>
        </w:rPr>
        <w:t xml:space="preserve"> con actor, motivo,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correlation_id</w:t>
      </w:r>
      <w:r>
        <w:rPr>
          <w:b w:val="false"/>
          <w:bCs w:val="false"/>
          <w:sz w:val="21"/>
          <w:szCs w:val="21"/>
        </w:rPr>
        <w:t xml:space="preserve"> y timestamp.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La auditoría es inmutable (solo INSERT) y permite reconstruir punta a punta hasta el evento publicado.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No se registran datos sensibles en la auditoría.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6. Cumplimiento y confidencialidad de la prueba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Caso ficticio: no se usan datos reales ni documentación confidencial de empleadores.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diseño asume PCI-DSS: la plataforma no almacena PAN; los datos de tarjeta se referencian tokenizados.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06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Seguridad, autenticación, autorización y protección de datos</dc:title>
  <dc:creator>Documentación técnica</dc:creator>
  <cp:lastModifiedBy>Un-named</cp:lastModifiedBy>
  <cp:revision>1</cp:revision>
  <dcterms:created xsi:type="dcterms:W3CDTF">2026-10-13T01:26:40.448Z</dcterms:created>
  <dcterms:modified xsi:type="dcterms:W3CDTF">2026-10-13T01:26:40.448Z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