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b/>
          <w:bCs/>
          <w:color w:val="2E5C9A"/>
          <w:spacing w:val="40"/>
          <w:sz w:val="18"/>
          <w:szCs w:val="18"/>
        </w:rPr>
        <w:t xml:space="preserve">DOCUMENTO 07</w:t>
      </w:r>
    </w:p>
    <w:p>
      <w:pPr>
        <w:pBdr>
          <w:bottom w:val="single" w:color="2E5C9A" w:sz="12" w:space="8"/>
        </w:pBdr>
        <w:spacing w:after="160" w:before="0" w:line="320"/>
      </w:pPr>
      <w:r>
        <w:rPr>
          <w:b/>
          <w:bCs/>
          <w:color w:val="1F3A5F"/>
          <w:sz w:val="40"/>
          <w:szCs w:val="40"/>
        </w:rPr>
        <w:t xml:space="preserve">Observabilidad: métricas, logs, trazas, tableros y alertas</w:t>
      </w:r>
    </w:p>
    <w:p>
      <w:pPr>
        <w:spacing w:after="120"/>
      </w:pPr>
    </w:p>
    <w:p>
      <w:pPr>
        <w:pStyle w:val="Heading1"/>
      </w:pPr>
      <w:r>
        <w:rPr>
          <w:b w:val="false"/>
          <w:bCs w:val="false"/>
          <w:sz w:val="21"/>
          <w:szCs w:val="21"/>
        </w:rPr>
        <w:t xml:space="preserve">1. Trazabilidad distribuida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b w:val="false"/>
          <w:bCs w:val="false"/>
          <w:sz w:val="21"/>
          <w:szCs w:val="21"/>
        </w:rPr>
        <w:t xml:space="preserve">Todo request genera/transporta </w:t>
      </w:r>
      <w:r>
        <w:rPr>
          <w:rFonts w:ascii="Consolas" w:cs="Consolas" w:eastAsia="Consolas" w:hAnsi="Consolas"/>
          <w:color w:val="9F1239"/>
          <w:sz w:val="19"/>
          <w:szCs w:val="19"/>
          <w:shd w:fill="F1F5F9" w:color="auto" w:val="clear"/>
        </w:rPr>
        <w:t xml:space="preserve">X-Correlation-Id</w:t>
      </w:r>
      <w:r>
        <w:rPr>
          <w:b w:val="false"/>
          <w:bCs w:val="false"/>
          <w:sz w:val="21"/>
          <w:szCs w:val="21"/>
        </w:rPr>
        <w:t xml:space="preserve"> y </w:t>
      </w:r>
      <w:r>
        <w:rPr>
          <w:rFonts w:ascii="Consolas" w:cs="Consolas" w:eastAsia="Consolas" w:hAnsi="Consolas"/>
          <w:color w:val="9F1239"/>
          <w:sz w:val="19"/>
          <w:szCs w:val="19"/>
          <w:shd w:fill="F1F5F9" w:color="auto" w:val="clear"/>
        </w:rPr>
        <w:t xml:space="preserve">X-Request-Id</w:t>
      </w:r>
      <w:r>
        <w:rPr>
          <w:b w:val="false"/>
          <w:bCs w:val="false"/>
          <w:sz w:val="21"/>
          <w:szCs w:val="21"/>
        </w:rPr>
        <w:t xml:space="preserve"> (filtro en el borde).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b w:val="false"/>
          <w:bCs w:val="false"/>
          <w:sz w:val="21"/>
          <w:szCs w:val="21"/>
        </w:rPr>
        <w:t xml:space="preserve">El </w:t>
      </w:r>
      <w:r>
        <w:rPr>
          <w:rFonts w:ascii="Consolas" w:cs="Consolas" w:eastAsia="Consolas" w:hAnsi="Consolas"/>
          <w:color w:val="9F1239"/>
          <w:sz w:val="19"/>
          <w:szCs w:val="19"/>
          <w:shd w:fill="F1F5F9" w:color="auto" w:val="clear"/>
        </w:rPr>
        <w:t xml:space="preserve">correlationId</w:t>
      </w:r>
      <w:r>
        <w:rPr>
          <w:b w:val="false"/>
          <w:bCs w:val="false"/>
          <w:sz w:val="21"/>
          <w:szCs w:val="21"/>
        </w:rPr>
        <w:t xml:space="preserve"> se propaga: API → fila </w:t>
      </w:r>
      <w:r>
        <w:rPr>
          <w:rFonts w:ascii="Consolas" w:cs="Consolas" w:eastAsia="Consolas" w:hAnsi="Consolas"/>
          <w:color w:val="9F1239"/>
          <w:sz w:val="19"/>
          <w:szCs w:val="19"/>
          <w:shd w:fill="F1F5F9" w:color="auto" w:val="clear"/>
        </w:rPr>
        <w:t xml:space="preserve">nomination.correlation_id</w:t>
      </w:r>
      <w:r>
        <w:rPr>
          <w:b w:val="false"/>
          <w:bCs w:val="false"/>
          <w:sz w:val="21"/>
          <w:szCs w:val="21"/>
        </w:rPr>
        <w:t xml:space="preserve"> → logs → llamada a ABM (</w:t>
      </w:r>
      <w:r>
        <w:rPr>
          <w:rFonts w:ascii="Consolas" w:cs="Consolas" w:eastAsia="Consolas" w:hAnsi="Consolas"/>
          <w:color w:val="9F1239"/>
          <w:sz w:val="19"/>
          <w:szCs w:val="19"/>
          <w:shd w:fill="F1F5F9" w:color="auto" w:val="clear"/>
        </w:rPr>
        <w:t xml:space="preserve">X-Correlation-Id</w:t>
      </w:r>
      <w:r>
        <w:rPr>
          <w:b w:val="false"/>
          <w:bCs w:val="false"/>
          <w:sz w:val="21"/>
          <w:szCs w:val="21"/>
        </w:rPr>
        <w:t xml:space="preserve">) → callback → evento (</w:t>
      </w:r>
      <w:r>
        <w:rPr>
          <w:rFonts w:ascii="Consolas" w:cs="Consolas" w:eastAsia="Consolas" w:hAnsi="Consolas"/>
          <w:color w:val="9F1239"/>
          <w:sz w:val="19"/>
          <w:szCs w:val="19"/>
          <w:shd w:fill="F1F5F9" w:color="auto" w:val="clear"/>
        </w:rPr>
        <w:t xml:space="preserve">correlationId</w:t>
      </w:r>
      <w:r>
        <w:rPr>
          <w:b w:val="false"/>
          <w:bCs w:val="false"/>
          <w:sz w:val="21"/>
          <w:szCs w:val="21"/>
        </w:rPr>
        <w:t xml:space="preserve">) → publisher.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b w:val="false"/>
          <w:bCs w:val="false"/>
          <w:sz w:val="21"/>
          <w:szCs w:val="21"/>
        </w:rPr>
        <w:t xml:space="preserve">Trazas con </w:t>
      </w:r>
      <w:r>
        <w:rPr>
          <w:b/>
          <w:bCs/>
          <w:sz w:val="21"/>
          <w:szCs w:val="21"/>
        </w:rPr>
        <w:t xml:space="preserve">Micrometer Tracing + OpenTelemetry</w:t>
      </w:r>
      <w:r>
        <w:rPr>
          <w:b w:val="false"/>
          <w:bCs w:val="false"/>
          <w:sz w:val="21"/>
          <w:szCs w:val="21"/>
        </w:rPr>
        <w:t xml:space="preserve"> (exportador OTLP); spans en API, worker y callbacks.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b w:val="false"/>
          <w:bCs w:val="false"/>
          <w:sz w:val="21"/>
          <w:szCs w:val="21"/>
        </w:rPr>
        <w:t xml:space="preserve">Con el </w:t>
      </w:r>
      <w:r>
        <w:rPr>
          <w:rFonts w:ascii="Consolas" w:cs="Consolas" w:eastAsia="Consolas" w:hAnsi="Consolas"/>
          <w:color w:val="9F1239"/>
          <w:sz w:val="19"/>
          <w:szCs w:val="19"/>
          <w:shd w:fill="F1F5F9" w:color="auto" w:val="clear"/>
        </w:rPr>
        <w:t xml:space="preserve">correlationId</w:t>
      </w:r>
      <w:r>
        <w:rPr>
          <w:b w:val="false"/>
          <w:bCs w:val="false"/>
          <w:sz w:val="21"/>
          <w:szCs w:val="21"/>
        </w:rPr>
        <w:t xml:space="preserve"> se reconstruye el recorrido completo desde el canal hasta el evento final.</w:t>
      </w:r>
    </w:p>
    <w:p>
      <w:pPr>
        <w:pStyle w:val="Heading1"/>
      </w:pPr>
      <w:r>
        <w:rPr>
          <w:b w:val="false"/>
          <w:bCs w:val="false"/>
          <w:sz w:val="21"/>
          <w:szCs w:val="21"/>
        </w:rPr>
        <w:t xml:space="preserve">2. Logs estructurados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b w:val="false"/>
          <w:bCs w:val="false"/>
          <w:sz w:val="21"/>
          <w:szCs w:val="21"/>
        </w:rPr>
        <w:t xml:space="preserve">JSON (</w:t>
      </w:r>
      <w:r>
        <w:rPr>
          <w:rFonts w:ascii="Consolas" w:cs="Consolas" w:eastAsia="Consolas" w:hAnsi="Consolas"/>
          <w:color w:val="9F1239"/>
          <w:sz w:val="19"/>
          <w:szCs w:val="19"/>
          <w:shd w:fill="F1F5F9" w:color="auto" w:val="clear"/>
        </w:rPr>
        <w:t xml:space="preserve">logstash-logback-encoder</w:t>
      </w:r>
      <w:r>
        <w:rPr>
          <w:b w:val="false"/>
          <w:bCs w:val="false"/>
          <w:sz w:val="21"/>
          <w:szCs w:val="21"/>
        </w:rPr>
        <w:t xml:space="preserve">) con campos: </w:t>
      </w:r>
      <w:r>
        <w:rPr>
          <w:rFonts w:ascii="Consolas" w:cs="Consolas" w:eastAsia="Consolas" w:hAnsi="Consolas"/>
          <w:color w:val="9F1239"/>
          <w:sz w:val="19"/>
          <w:szCs w:val="19"/>
          <w:shd w:fill="F1F5F9" w:color="auto" w:val="clear"/>
        </w:rPr>
        <w:t xml:space="preserve">service</w:t>
      </w:r>
      <w:r>
        <w:rPr>
          <w:b w:val="false"/>
          <w:bCs w:val="false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9F1239"/>
          <w:sz w:val="19"/>
          <w:szCs w:val="19"/>
          <w:shd w:fill="F1F5F9" w:color="auto" w:val="clear"/>
        </w:rPr>
        <w:t xml:space="preserve">correlationId</w:t>
      </w:r>
      <w:r>
        <w:rPr>
          <w:b w:val="false"/>
          <w:bCs w:val="false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9F1239"/>
          <w:sz w:val="19"/>
          <w:szCs w:val="19"/>
          <w:shd w:fill="F1F5F9" w:color="auto" w:val="clear"/>
        </w:rPr>
        <w:t xml:space="preserve">requestId</w:t>
      </w:r>
      <w:r>
        <w:rPr>
          <w:b w:val="false"/>
          <w:bCs w:val="false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9F1239"/>
          <w:sz w:val="19"/>
          <w:szCs w:val="19"/>
          <w:shd w:fill="F1F5F9" w:color="auto" w:val="clear"/>
        </w:rPr>
        <w:t xml:space="preserve">nominationId</w:t>
      </w:r>
      <w:r>
        <w:rPr>
          <w:b w:val="false"/>
          <w:bCs w:val="false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9F1239"/>
          <w:sz w:val="19"/>
          <w:szCs w:val="19"/>
          <w:shd w:fill="F1F5F9" w:color="auto" w:val="clear"/>
        </w:rPr>
        <w:t xml:space="preserve">level</w:t>
      </w:r>
      <w:r>
        <w:rPr>
          <w:b w:val="false"/>
          <w:bCs w:val="false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9F1239"/>
          <w:sz w:val="19"/>
          <w:szCs w:val="19"/>
          <w:shd w:fill="F1F5F9" w:color="auto" w:val="clear"/>
        </w:rPr>
        <w:t xml:space="preserve">logger_name</w:t>
      </w:r>
      <w:r>
        <w:rPr>
          <w:b w:val="false"/>
          <w:bCs w:val="false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9F1239"/>
          <w:sz w:val="19"/>
          <w:szCs w:val="19"/>
          <w:shd w:fill="F1F5F9" w:color="auto" w:val="clear"/>
        </w:rPr>
        <w:t xml:space="preserve">timestamp</w:t>
      </w:r>
      <w:r>
        <w:rPr>
          <w:b w:val="false"/>
          <w:bCs w:val="false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b w:val="false"/>
          <w:bCs w:val="false"/>
          <w:sz w:val="21"/>
          <w:szCs w:val="21"/>
        </w:rPr>
        <w:t xml:space="preserve">Sin datos sensibles. Mensajes de eventos de negocio: creación, envío a ABM, transición, publicación, DLQ.</w:t>
      </w:r>
    </w:p>
    <w:p>
      <w:pPr>
        <w:pStyle w:val="Heading1"/>
      </w:pPr>
      <w:r>
        <w:rPr>
          <w:b w:val="false"/>
          <w:bCs w:val="false"/>
          <w:sz w:val="21"/>
          <w:szCs w:val="21"/>
        </w:rPr>
        <w:t xml:space="preserve">3. Métricas (Micrometer / Prometheus)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68"/>
        <w:gridCol w:w="1259"/>
        <w:gridCol w:w="4511"/>
      </w:tblGrid>
      <w:tr>
        <w:trPr>
          <w:cantSplit/>
          <w:tblHeader/>
        </w:trPr>
        <w:tc>
          <w:tcPr>
            <w:tcW w:type="dxa" w:w="386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Métrica</w:t>
            </w:r>
          </w:p>
        </w:tc>
        <w:tc>
          <w:tcPr>
            <w:tcW w:type="dxa" w:w="125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451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Uso</w:t>
            </w:r>
          </w:p>
        </w:tc>
      </w:tr>
      <w:tr>
        <w:trPr>
          <w:cantSplit/>
          <w:tblHeader w:val="false"/>
        </w:trPr>
        <w:tc>
          <w:tcPr>
            <w:tcW w:type="dxa" w:w="386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9F1239"/>
                <w:sz w:val="17"/>
                <w:szCs w:val="17"/>
                <w:shd w:fill="F1F5F9" w:color="auto" w:val="clear"/>
              </w:rPr>
              <w:t xml:space="preserve">nominations.pending</w:t>
            </w:r>
          </w:p>
        </w:tc>
        <w:tc>
          <w:tcPr>
            <w:tcW w:type="dxa" w:w="125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gauge</w:t>
            </w:r>
          </w:p>
        </w:tc>
        <w:tc>
          <w:tcPr>
            <w:tcW w:type="dxa" w:w="451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Backlog pendiente de envío (detección temprana de degradación)</w:t>
            </w:r>
          </w:p>
        </w:tc>
      </w:tr>
      <w:tr>
        <w:trPr>
          <w:cantSplit/>
          <w:tblHeader w:val="false"/>
        </w:trPr>
        <w:tc>
          <w:tcPr>
            <w:tcW w:type="dxa" w:w="386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9F1239"/>
                <w:sz w:val="17"/>
                <w:szCs w:val="17"/>
                <w:shd w:fill="F1F5F9" w:color="auto" w:val="clear"/>
              </w:rPr>
              <w:t xml:space="preserve">nominations.inflight</w:t>
            </w:r>
          </w:p>
        </w:tc>
        <w:tc>
          <w:tcPr>
            <w:tcW w:type="dxa" w:w="125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gauge</w:t>
            </w:r>
          </w:p>
        </w:tc>
        <w:tc>
          <w:tcPr>
            <w:tcW w:type="dxa" w:w="451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Nominaciones enviadas sin resultado (posible ABM lento)</w:t>
            </w:r>
          </w:p>
        </w:tc>
      </w:tr>
      <w:tr>
        <w:trPr>
          <w:cantSplit/>
          <w:tblHeader w:val="false"/>
        </w:trPr>
        <w:tc>
          <w:tcPr>
            <w:tcW w:type="dxa" w:w="386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9F1239"/>
                <w:sz w:val="17"/>
                <w:szCs w:val="17"/>
                <w:shd w:fill="F1F5F9" w:color="auto" w:val="clear"/>
              </w:rPr>
              <w:t xml:space="preserve">nominations.retries</w:t>
            </w:r>
          </w:p>
        </w:tc>
        <w:tc>
          <w:tcPr>
            <w:tcW w:type="dxa" w:w="125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counter</w:t>
            </w:r>
          </w:p>
        </w:tc>
        <w:tc>
          <w:tcPr>
            <w:tcW w:type="dxa" w:w="451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Tasa de reintentos (señal de inestabilidad de ABM)</w:t>
            </w:r>
          </w:p>
        </w:tc>
      </w:tr>
      <w:tr>
        <w:trPr>
          <w:cantSplit/>
          <w:tblHeader w:val="false"/>
        </w:trPr>
        <w:tc>
          <w:tcPr>
            <w:tcW w:type="dxa" w:w="386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9F1239"/>
                <w:sz w:val="17"/>
                <w:szCs w:val="17"/>
                <w:shd w:fill="F1F5F9" w:color="auto" w:val="clear"/>
              </w:rPr>
              <w:t xml:space="preserve">nominations.timeouts.retried</w:t>
            </w:r>
            <w:r>
              <w:rPr>
                <w:b w:val="false"/>
                <w:bCs w:val="false"/>
                <w:sz w:val="19"/>
                <w:szCs w:val="19"/>
              </w:rPr>
              <w:t xml:space="preserve"> / </w:t>
            </w:r>
            <w:r>
              <w:rPr>
                <w:rFonts w:ascii="Consolas" w:cs="Consolas" w:eastAsia="Consolas" w:hAnsi="Consolas"/>
                <w:color w:val="9F1239"/>
                <w:sz w:val="17"/>
                <w:szCs w:val="17"/>
                <w:shd w:fill="F1F5F9" w:color="auto" w:val="clear"/>
              </w:rPr>
              <w:t xml:space="preserve">nominations.timedout</w:t>
            </w:r>
          </w:p>
        </w:tc>
        <w:tc>
          <w:tcPr>
            <w:tcW w:type="dxa" w:w="125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counter</w:t>
            </w:r>
          </w:p>
        </w:tc>
        <w:tc>
          <w:tcPr>
            <w:tcW w:type="dxa" w:w="451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Problemas de timeout</w:t>
            </w:r>
          </w:p>
        </w:tc>
      </w:tr>
      <w:tr>
        <w:trPr>
          <w:cantSplit/>
          <w:tblHeader w:val="false"/>
        </w:trPr>
        <w:tc>
          <w:tcPr>
            <w:tcW w:type="dxa" w:w="386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9F1239"/>
                <w:sz w:val="17"/>
                <w:szCs w:val="17"/>
                <w:shd w:fill="F1F5F9" w:color="auto" w:val="clear"/>
              </w:rPr>
              <w:t xml:space="preserve">nominations.completed{result}</w:t>
            </w:r>
          </w:p>
        </w:tc>
        <w:tc>
          <w:tcPr>
            <w:tcW w:type="dxa" w:w="125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counter</w:t>
            </w:r>
          </w:p>
        </w:tc>
        <w:tc>
          <w:tcPr>
            <w:tcW w:type="dxa" w:w="451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Volumen por resultado (tasa de aprobación)</w:t>
            </w:r>
          </w:p>
        </w:tc>
      </w:tr>
      <w:tr>
        <w:trPr>
          <w:cantSplit/>
          <w:tblHeader w:val="false"/>
        </w:trPr>
        <w:tc>
          <w:tcPr>
            <w:tcW w:type="dxa" w:w="386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9F1239"/>
                <w:sz w:val="17"/>
                <w:szCs w:val="17"/>
                <w:shd w:fill="F1F5F9" w:color="auto" w:val="clear"/>
              </w:rPr>
              <w:t xml:space="preserve">nominations.rejected</w:t>
            </w:r>
            <w:r>
              <w:rPr>
                <w:b w:val="false"/>
                <w:bCs w:val="false"/>
                <w:sz w:val="19"/>
                <w:szCs w:val="19"/>
              </w:rPr>
              <w:t xml:space="preserve"> / </w:t>
            </w:r>
            <w:r>
              <w:rPr>
                <w:rFonts w:ascii="Consolas" w:cs="Consolas" w:eastAsia="Consolas" w:hAnsi="Consolas"/>
                <w:color w:val="9F1239"/>
                <w:sz w:val="17"/>
                <w:szCs w:val="17"/>
                <w:shd w:fill="F1F5F9" w:color="auto" w:val="clear"/>
              </w:rPr>
              <w:t xml:space="preserve">failed</w:t>
            </w:r>
          </w:p>
        </w:tc>
        <w:tc>
          <w:tcPr>
            <w:tcW w:type="dxa" w:w="125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counter</w:t>
            </w:r>
          </w:p>
        </w:tc>
        <w:tc>
          <w:tcPr>
            <w:tcW w:type="dxa" w:w="451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Rechazos funcionales vs fallas técnicas</w:t>
            </w:r>
          </w:p>
        </w:tc>
      </w:tr>
      <w:tr>
        <w:trPr>
          <w:cantSplit/>
          <w:tblHeader w:val="false"/>
        </w:trPr>
        <w:tc>
          <w:tcPr>
            <w:tcW w:type="dxa" w:w="386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9F1239"/>
                <w:sz w:val="17"/>
                <w:szCs w:val="17"/>
                <w:shd w:fill="F1F5F9" w:color="auto" w:val="clear"/>
              </w:rPr>
              <w:t xml:space="preserve">nominations.callback.duplicate</w:t>
            </w:r>
          </w:p>
        </w:tc>
        <w:tc>
          <w:tcPr>
            <w:tcW w:type="dxa" w:w="125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counter</w:t>
            </w:r>
          </w:p>
        </w:tc>
        <w:tc>
          <w:tcPr>
            <w:tcW w:type="dxa" w:w="451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Reentregas de ABM (E7)</w:t>
            </w:r>
          </w:p>
        </w:tc>
      </w:tr>
      <w:tr>
        <w:trPr>
          <w:cantSplit/>
          <w:tblHeader w:val="false"/>
        </w:trPr>
        <w:tc>
          <w:tcPr>
            <w:tcW w:type="dxa" w:w="386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9F1239"/>
                <w:sz w:val="17"/>
                <w:szCs w:val="17"/>
                <w:shd w:fill="F1F5F9" w:color="auto" w:val="clear"/>
              </w:rPr>
              <w:t xml:space="preserve">outbox.pending</w:t>
            </w:r>
          </w:p>
        </w:tc>
        <w:tc>
          <w:tcPr>
            <w:tcW w:type="dxa" w:w="125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gauge</w:t>
            </w:r>
          </w:p>
        </w:tc>
        <w:tc>
          <w:tcPr>
            <w:tcW w:type="dxa" w:w="451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Backlog de publicación</w:t>
            </w:r>
          </w:p>
        </w:tc>
      </w:tr>
      <w:tr>
        <w:trPr>
          <w:cantSplit/>
          <w:tblHeader w:val="false"/>
        </w:trPr>
        <w:tc>
          <w:tcPr>
            <w:tcW w:type="dxa" w:w="386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9F1239"/>
                <w:sz w:val="17"/>
                <w:szCs w:val="17"/>
                <w:shd w:fill="F1F5F9" w:color="auto" w:val="clear"/>
              </w:rPr>
              <w:t xml:space="preserve">outbox.dlq</w:t>
            </w:r>
          </w:p>
        </w:tc>
        <w:tc>
          <w:tcPr>
            <w:tcW w:type="dxa" w:w="125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gauge</w:t>
            </w:r>
          </w:p>
        </w:tc>
        <w:tc>
          <w:tcPr>
            <w:tcW w:type="dxa" w:w="451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Tamaño de la DLQ</w:t>
            </w:r>
          </w:p>
        </w:tc>
      </w:tr>
      <w:tr>
        <w:trPr>
          <w:cantSplit/>
          <w:tblHeader w:val="false"/>
        </w:trPr>
        <w:tc>
          <w:tcPr>
            <w:tcW w:type="dxa" w:w="386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9F1239"/>
                <w:sz w:val="17"/>
                <w:szCs w:val="17"/>
                <w:shd w:fill="F1F5F9" w:color="auto" w:val="clear"/>
              </w:rPr>
              <w:t xml:space="preserve">outbox.published</w:t>
            </w:r>
            <w:r>
              <w:rPr>
                <w:b w:val="false"/>
                <w:bCs w:val="false"/>
                <w:sz w:val="19"/>
                <w:szCs w:val="19"/>
              </w:rPr>
              <w:t xml:space="preserve"> / </w:t>
            </w:r>
            <w:r>
              <w:rPr>
                <w:rFonts w:ascii="Consolas" w:cs="Consolas" w:eastAsia="Consolas" w:hAnsi="Consolas"/>
                <w:color w:val="9F1239"/>
                <w:sz w:val="17"/>
                <w:szCs w:val="17"/>
                <w:shd w:fill="F1F5F9" w:color="auto" w:val="clear"/>
              </w:rPr>
              <w:t xml:space="preserve">retried</w:t>
            </w:r>
            <w:r>
              <w:rPr>
                <w:b w:val="false"/>
                <w:bCs w:val="false"/>
                <w:sz w:val="19"/>
                <w:szCs w:val="19"/>
              </w:rPr>
              <w:t xml:space="preserve"> / </w:t>
            </w:r>
            <w:r>
              <w:rPr>
                <w:rFonts w:ascii="Consolas" w:cs="Consolas" w:eastAsia="Consolas" w:hAnsi="Consolas"/>
                <w:color w:val="9F1239"/>
                <w:sz w:val="17"/>
                <w:szCs w:val="17"/>
                <w:shd w:fill="F1F5F9" w:color="auto" w:val="clear"/>
              </w:rPr>
              <w:t xml:space="preserve">deadlettered</w:t>
            </w:r>
            <w:r>
              <w:rPr>
                <w:b w:val="false"/>
                <w:bCs w:val="false"/>
                <w:sz w:val="19"/>
                <w:szCs w:val="19"/>
              </w:rPr>
              <w:t xml:space="preserve"> / </w:t>
            </w:r>
            <w:r>
              <w:rPr>
                <w:rFonts w:ascii="Consolas" w:cs="Consolas" w:eastAsia="Consolas" w:hAnsi="Consolas"/>
                <w:color w:val="9F1239"/>
                <w:sz w:val="17"/>
                <w:szCs w:val="17"/>
                <w:shd w:fill="F1F5F9" w:color="auto" w:val="clear"/>
              </w:rPr>
              <w:t xml:space="preserve">recovered</w:t>
            </w:r>
          </w:p>
        </w:tc>
        <w:tc>
          <w:tcPr>
            <w:tcW w:type="dxa" w:w="125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counter</w:t>
            </w:r>
          </w:p>
        </w:tc>
        <w:tc>
          <w:tcPr>
            <w:tcW w:type="dxa" w:w="451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Salud de la publicación</w:t>
            </w:r>
          </w:p>
        </w:tc>
      </w:tr>
      <w:tr>
        <w:trPr>
          <w:cantSplit/>
          <w:tblHeader w:val="false"/>
        </w:trPr>
        <w:tc>
          <w:tcPr>
            <w:tcW w:type="dxa" w:w="386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9F1239"/>
                <w:sz w:val="17"/>
                <w:szCs w:val="17"/>
                <w:shd w:fill="F1F5F9" w:color="auto" w:val="clear"/>
              </w:rPr>
              <w:t xml:space="preserve">nominations.events.enqueued</w:t>
            </w:r>
          </w:p>
        </w:tc>
        <w:tc>
          <w:tcPr>
            <w:tcW w:type="dxa" w:w="125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counter</w:t>
            </w:r>
          </w:p>
        </w:tc>
        <w:tc>
          <w:tcPr>
            <w:tcW w:type="dxa" w:w="451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Eventos generados</w:t>
            </w:r>
          </w:p>
        </w:tc>
      </w:tr>
    </w:tbl>
    <w:p>
      <w:pPr>
        <w:spacing w:after="160" w:before="0"/>
      </w:pPr>
    </w:p>
    <w:p>
      <w:pPr>
        <w:spacing w:after="120" w:before="0" w:line="288"/>
      </w:pPr>
      <w:r>
        <w:rPr>
          <w:b w:val="false"/>
          <w:bCs w:val="false"/>
          <w:sz w:val="21"/>
          <w:szCs w:val="21"/>
        </w:rPr>
        <w:t xml:space="preserve">Disponibles en </w:t>
      </w:r>
      <w:r>
        <w:rPr>
          <w:rFonts w:ascii="Consolas" w:cs="Consolas" w:eastAsia="Consolas" w:hAnsi="Consolas"/>
          <w:color w:val="9F1239"/>
          <w:sz w:val="19"/>
          <w:szCs w:val="19"/>
          <w:shd w:fill="F1F5F9" w:color="auto" w:val="clear"/>
        </w:rPr>
        <w:t xml:space="preserve">/actuator/prometheus</w:t>
      </w:r>
      <w:r>
        <w:rPr>
          <w:b w:val="false"/>
          <w:bCs w:val="false"/>
          <w:sz w:val="21"/>
          <w:szCs w:val="21"/>
        </w:rPr>
        <w:t xml:space="preserve"> de cada servicio.</w:t>
      </w:r>
    </w:p>
    <w:p>
      <w:pPr>
        <w:pStyle w:val="Heading1"/>
      </w:pPr>
      <w:r>
        <w:rPr>
          <w:b w:val="false"/>
          <w:bCs w:val="false"/>
          <w:sz w:val="21"/>
          <w:szCs w:val="21"/>
        </w:rPr>
        <w:t xml:space="preserve">4. Tableros (Grafana) sugeridos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b/>
          <w:bCs/>
          <w:sz w:val="21"/>
          <w:szCs w:val="21"/>
        </w:rPr>
        <w:t xml:space="preserve">Golden signals por servicio</w:t>
      </w:r>
      <w:r>
        <w:rPr>
          <w:b w:val="false"/>
          <w:bCs w:val="false"/>
          <w:sz w:val="21"/>
          <w:szCs w:val="21"/>
        </w:rPr>
        <w:t xml:space="preserve">: latencia, throughput, errores, saturación.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b/>
          <w:bCs/>
          <w:sz w:val="21"/>
          <w:szCs w:val="21"/>
        </w:rPr>
        <w:t xml:space="preserve">Nominaciones</w:t>
      </w:r>
      <w:r>
        <w:rPr>
          <w:b w:val="false"/>
          <w:bCs w:val="false"/>
          <w:sz w:val="21"/>
          <w:szCs w:val="21"/>
        </w:rPr>
        <w:t xml:space="preserve">: pendientes vs. en curso vs. completadas; distribución por </w:t>
      </w:r>
      <w:r>
        <w:rPr>
          <w:rFonts w:ascii="Consolas" w:cs="Consolas" w:eastAsia="Consolas" w:hAnsi="Consolas"/>
          <w:color w:val="9F1239"/>
          <w:sz w:val="19"/>
          <w:szCs w:val="19"/>
          <w:shd w:fill="F1F5F9" w:color="auto" w:val="clear"/>
        </w:rPr>
        <w:t xml:space="preserve">result</w:t>
      </w:r>
      <w:r>
        <w:rPr>
          <w:b w:val="false"/>
          <w:bCs w:val="false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b/>
          <w:bCs/>
          <w:sz w:val="21"/>
          <w:szCs w:val="21"/>
        </w:rPr>
        <w:t xml:space="preserve">ABM</w:t>
      </w:r>
      <w:r>
        <w:rPr>
          <w:b w:val="false"/>
          <w:bCs w:val="false"/>
          <w:sz w:val="21"/>
          <w:szCs w:val="21"/>
        </w:rPr>
        <w:t xml:space="preserve">: ratio de reintentos/timeouts; estado del circuit breaker.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b/>
          <w:bCs/>
          <w:sz w:val="21"/>
          <w:szCs w:val="21"/>
        </w:rPr>
        <w:t xml:space="preserve">Outbox</w:t>
      </w:r>
      <w:r>
        <w:rPr>
          <w:b w:val="false"/>
          <w:bCs w:val="false"/>
          <w:sz w:val="21"/>
          <w:szCs w:val="21"/>
        </w:rPr>
        <w:t xml:space="preserve">: pendientes, antigüedad del evento más viejo, tasa de DLQ.</w:t>
      </w:r>
    </w:p>
    <w:p>
      <w:pPr>
        <w:pStyle w:val="Heading1"/>
      </w:pPr>
      <w:r>
        <w:rPr>
          <w:b w:val="false"/>
          <w:bCs w:val="false"/>
          <w:sz w:val="21"/>
          <w:szCs w:val="21"/>
        </w:rPr>
        <w:t xml:space="preserve">5. Alertas accionables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57"/>
        <w:gridCol w:w="3799"/>
        <w:gridCol w:w="3782"/>
      </w:tblGrid>
      <w:tr>
        <w:trPr>
          <w:cantSplit/>
          <w:tblHeader/>
        </w:trPr>
        <w:tc>
          <w:tcPr>
            <w:tcW w:type="dxa" w:w="205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Alerta</w:t>
            </w:r>
          </w:p>
        </w:tc>
        <w:tc>
          <w:tcPr>
            <w:tcW w:type="dxa" w:w="379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Condición sugerida</w:t>
            </w:r>
          </w:p>
        </w:tc>
        <w:tc>
          <w:tcPr>
            <w:tcW w:type="dxa" w:w="378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Acción</w:t>
            </w:r>
          </w:p>
        </w:tc>
      </w:tr>
      <w:tr>
        <w:trPr>
          <w:cantSplit/>
          <w:tblHeader w:val="false"/>
        </w:trPr>
        <w:tc>
          <w:tcPr>
            <w:tcW w:type="dxa" w:w="205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Backlog de envío crece</w:t>
            </w:r>
          </w:p>
        </w:tc>
        <w:tc>
          <w:tcPr>
            <w:tcW w:type="dxa" w:w="379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9F1239"/>
                <w:sz w:val="17"/>
                <w:szCs w:val="17"/>
                <w:shd w:fill="F1F5F9" w:color="auto" w:val="clear"/>
              </w:rPr>
              <w:t xml:space="preserve">nominations.pending</w:t>
            </w:r>
            <w:r>
              <w:rPr>
                <w:b w:val="false"/>
                <w:bCs w:val="false"/>
                <w:sz w:val="19"/>
                <w:szCs w:val="19"/>
              </w:rPr>
              <w:t xml:space="preserve"> &gt; umbral sostenido</w:t>
            </w:r>
          </w:p>
        </w:tc>
        <w:tc>
          <w:tcPr>
            <w:tcW w:type="dxa" w:w="378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Escalar workers / revisar ABM</w:t>
            </w:r>
          </w:p>
        </w:tc>
      </w:tr>
      <w:tr>
        <w:trPr>
          <w:cantSplit/>
          <w:tblHeader w:val="false"/>
        </w:trPr>
        <w:tc>
          <w:tcPr>
            <w:tcW w:type="dxa" w:w="205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ABM degradado</w:t>
            </w:r>
          </w:p>
        </w:tc>
        <w:tc>
          <w:tcPr>
            <w:tcW w:type="dxa" w:w="379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9F1239"/>
                <w:sz w:val="17"/>
                <w:szCs w:val="17"/>
                <w:shd w:fill="F1F5F9" w:color="auto" w:val="clear"/>
              </w:rPr>
              <w:t xml:space="preserve">nominations.retries</w:t>
            </w:r>
            <w:r>
              <w:rPr>
                <w:b w:val="false"/>
                <w:bCs w:val="false"/>
                <w:sz w:val="19"/>
                <w:szCs w:val="19"/>
              </w:rPr>
              <w:t xml:space="preserve"> o timeout rate alto</w:t>
            </w:r>
          </w:p>
        </w:tc>
        <w:tc>
          <w:tcPr>
            <w:tcW w:type="dxa" w:w="378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Abrir circuit breaker / avisar</w:t>
            </w:r>
          </w:p>
        </w:tc>
      </w:tr>
      <w:tr>
        <w:trPr>
          <w:cantSplit/>
          <w:tblHeader w:val="false"/>
        </w:trPr>
        <w:tc>
          <w:tcPr>
            <w:tcW w:type="dxa" w:w="205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Circuito abierto</w:t>
            </w:r>
          </w:p>
        </w:tc>
        <w:tc>
          <w:tcPr>
            <w:tcW w:type="dxa" w:w="379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estado CB = OPEN</w:t>
            </w:r>
          </w:p>
        </w:tc>
        <w:tc>
          <w:tcPr>
            <w:tcW w:type="dxa" w:w="378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Revisar ABM, validar recuperación</w:t>
            </w:r>
          </w:p>
        </w:tc>
      </w:tr>
      <w:tr>
        <w:trPr>
          <w:cantSplit/>
          <w:tblHeader w:val="false"/>
        </w:trPr>
        <w:tc>
          <w:tcPr>
            <w:tcW w:type="dxa" w:w="205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Outbox envejece</w:t>
            </w:r>
          </w:p>
        </w:tc>
        <w:tc>
          <w:tcPr>
            <w:tcW w:type="dxa" w:w="379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9F1239"/>
                <w:sz w:val="17"/>
                <w:szCs w:val="17"/>
                <w:shd w:fill="F1F5F9" w:color="auto" w:val="clear"/>
              </w:rPr>
              <w:t xml:space="preserve">outbox.pending</w:t>
            </w:r>
            <w:r>
              <w:rPr>
                <w:b w:val="false"/>
                <w:bCs w:val="false"/>
                <w:sz w:val="19"/>
                <w:szCs w:val="19"/>
              </w:rPr>
              <w:t xml:space="preserve"> &gt; umbral o edad &gt; N min</w:t>
            </w:r>
          </w:p>
        </w:tc>
        <w:tc>
          <w:tcPr>
            <w:tcW w:type="dxa" w:w="378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Revisar broker/publisher</w:t>
            </w:r>
          </w:p>
        </w:tc>
      </w:tr>
      <w:tr>
        <w:trPr>
          <w:cantSplit/>
          <w:tblHeader w:val="false"/>
        </w:trPr>
        <w:tc>
          <w:tcPr>
            <w:tcW w:type="dxa" w:w="205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DLQ con elementos</w:t>
            </w:r>
          </w:p>
        </w:tc>
        <w:tc>
          <w:tcPr>
            <w:tcW w:type="dxa" w:w="379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9F1239"/>
                <w:sz w:val="17"/>
                <w:szCs w:val="17"/>
                <w:shd w:fill="F1F5F9" w:color="auto" w:val="clear"/>
              </w:rPr>
              <w:t xml:space="preserve">outbox.dlq</w:t>
            </w:r>
            <w:r>
              <w:rPr>
                <w:b w:val="false"/>
                <w:bCs w:val="false"/>
                <w:sz w:val="19"/>
                <w:szCs w:val="19"/>
              </w:rPr>
              <w:t xml:space="preserve"> &gt; 0</w:t>
            </w:r>
          </w:p>
        </w:tc>
        <w:tc>
          <w:tcPr>
            <w:tcW w:type="dxa" w:w="378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Inspeccionar y reprocesar</w:t>
            </w:r>
          </w:p>
        </w:tc>
      </w:tr>
      <w:tr>
        <w:trPr>
          <w:cantSplit/>
          <w:tblHeader w:val="false"/>
        </w:trPr>
        <w:tc>
          <w:tcPr>
            <w:tcW w:type="dxa" w:w="205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Duplicados altos</w:t>
            </w:r>
          </w:p>
        </w:tc>
        <w:tc>
          <w:tcPr>
            <w:tcW w:type="dxa" w:w="379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9F1239"/>
                <w:sz w:val="17"/>
                <w:szCs w:val="17"/>
                <w:shd w:fill="F1F5F9" w:color="auto" w:val="clear"/>
              </w:rPr>
              <w:t xml:space="preserve">nominations.callback.duplicate</w:t>
            </w:r>
            <w:r>
              <w:rPr>
                <w:b w:val="false"/>
                <w:bCs w:val="false"/>
                <w:sz w:val="19"/>
                <w:szCs w:val="19"/>
              </w:rPr>
              <w:t xml:space="preserve"> elevado</w:t>
            </w:r>
          </w:p>
        </w:tc>
        <w:tc>
          <w:tcPr>
            <w:tcW w:type="dxa" w:w="378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Revisar integración con ABM</w:t>
            </w:r>
          </w:p>
        </w:tc>
      </w:tr>
      <w:tr>
        <w:trPr>
          <w:cantSplit/>
          <w:tblHeader w:val="false"/>
        </w:trPr>
        <w:tc>
          <w:tcPr>
            <w:tcW w:type="dxa" w:w="205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Errores 5xx</w:t>
            </w:r>
          </w:p>
        </w:tc>
        <w:tc>
          <w:tcPr>
            <w:tcW w:type="dxa" w:w="379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tasa 5xx &gt; umbral</w:t>
            </w:r>
          </w:p>
        </w:tc>
        <w:tc>
          <w:tcPr>
            <w:tcW w:type="dxa" w:w="378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Revisar despliegue/logs con </w:t>
            </w:r>
            <w:r>
              <w:rPr>
                <w:rFonts w:ascii="Consolas" w:cs="Consolas" w:eastAsia="Consolas" w:hAnsi="Consolas"/>
                <w:color w:val="9F1239"/>
                <w:sz w:val="17"/>
                <w:szCs w:val="17"/>
                <w:shd w:fill="F1F5F9" w:color="auto" w:val="clear"/>
              </w:rPr>
              <w:t xml:space="preserve">correlationId</w:t>
            </w:r>
          </w:p>
        </w:tc>
      </w:tr>
    </w:tbl>
    <w:p>
      <w:pPr>
        <w:spacing w:after="160" w:before="0"/>
      </w:pPr>
    </w:p>
    <w:p>
      <w:pPr>
        <w:spacing w:after="120" w:before="0" w:line="288"/>
      </w:pPr>
      <w:r>
        <w:rPr>
          <w:b w:val="false"/>
          <w:bCs w:val="false"/>
          <w:sz w:val="21"/>
          <w:szCs w:val="21"/>
        </w:rPr>
        <w:t xml:space="preserve">Las alertas deben ser </w:t>
      </w:r>
      <w:r>
        <w:rPr>
          <w:b/>
          <w:bCs/>
          <w:sz w:val="21"/>
          <w:szCs w:val="21"/>
        </w:rPr>
        <w:t xml:space="preserve">accionables</w:t>
      </w:r>
      <w:r>
        <w:rPr>
          <w:b w:val="false"/>
          <w:bCs w:val="false"/>
          <w:sz w:val="21"/>
          <w:szCs w:val="21"/>
        </w:rPr>
        <w:t xml:space="preserve">: cada una enlaza a un runbook y a un panel.</w:t>
      </w:r>
    </w:p>
    <w:p>
      <w:pPr>
        <w:pStyle w:val="Heading1"/>
      </w:pPr>
      <w:r>
        <w:rPr>
          <w:b w:val="false"/>
          <w:bCs w:val="false"/>
          <w:sz w:val="21"/>
          <w:szCs w:val="21"/>
        </w:rPr>
        <w:t xml:space="preserve">6. Health checks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onsolas" w:cs="Consolas" w:eastAsia="Consolas" w:hAnsi="Consolas"/>
          <w:color w:val="9F1239"/>
          <w:sz w:val="19"/>
          <w:szCs w:val="19"/>
          <w:shd w:fill="F1F5F9" w:color="auto" w:val="clear"/>
        </w:rPr>
        <w:t xml:space="preserve">/actuator/health</w:t>
      </w:r>
      <w:r>
        <w:rPr>
          <w:b w:val="false"/>
          <w:bCs w:val="false"/>
          <w:sz w:val="21"/>
          <w:szCs w:val="21"/>
        </w:rPr>
        <w:t xml:space="preserve"> con probes de </w:t>
      </w:r>
      <w:r>
        <w:rPr>
          <w:b/>
          <w:bCs/>
          <w:sz w:val="21"/>
          <w:szCs w:val="21"/>
        </w:rPr>
        <w:t xml:space="preserve">liveness</w:t>
      </w:r>
      <w:r>
        <w:rPr>
          <w:b w:val="false"/>
          <w:bCs w:val="false"/>
          <w:sz w:val="21"/>
          <w:szCs w:val="21"/>
        </w:rPr>
        <w:t xml:space="preserve"> y </w:t>
      </w:r>
      <w:r>
        <w:rPr>
          <w:b/>
          <w:bCs/>
          <w:sz w:val="21"/>
          <w:szCs w:val="21"/>
        </w:rPr>
        <w:t xml:space="preserve">readiness</w:t>
      </w:r>
      <w:r>
        <w:rPr>
          <w:b w:val="false"/>
          <w:bCs w:val="false"/>
          <w:sz w:val="21"/>
          <w:szCs w:val="21"/>
        </w:rPr>
        <w:t xml:space="preserve"> para orquestadores (K8s).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b w:val="false"/>
          <w:bCs w:val="false"/>
          <w:sz w:val="21"/>
          <w:szCs w:val="21"/>
        </w:rPr>
        <w:t xml:space="preserve">Readiness incluye conectividad a base de datos; la dependencia de ABM se monitorea vía circuit breaker (no debe tumbar el borde).</w:t>
      </w:r>
    </w:p>
    <w:sectPr>
      <w:headerReference w:type="default" r:id="rId7"/>
      <w:footerReference w:type="default" r:id="rId8"/>
      <w:pgSz w:w="11906" w:h="16838" w:orient="portrait"/>
      <w:pgMar w:top="1300" w:right="1134" w:bottom="1200" w:left="1134" w:header="600" w:footer="56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4748B"/>
        <w:sz w:val="16"/>
        <w:szCs w:val="16"/>
      </w:rPr>
      <w:t xml:space="preserve">Documento 07  ·  Página </w:t>
    </w:r>
    <w:r>
      <w:rPr>
        <w:color w:val="64748B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64748B"/>
        <w:sz w:val="16"/>
        <w:szCs w:val="16"/>
      </w:rPr>
      <w:t xml:space="preserve"> de </w:t>
    </w:r>
    <w:r>
      <w:rPr>
        <w:color w:val="64748B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BD5E1" w:sz="4" w:space="4"/>
      </w:pBdr>
      <w:jc w:val="right"/>
    </w:pPr>
    <w:r>
      <w:rPr>
        <w:color w:val="64748B"/>
        <w:sz w:val="16"/>
        <w:szCs w:val="16"/>
      </w:rPr>
      <w:t xml:space="preserve">Nominación de cuentas y tarjetas  ·  Documentación de diseño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260"/>
      </w:pPr>
      <w:rPr>
        <w:color w:val="2E5C9A"/>
      </w:rPr>
    </w:lvl>
    <w:lvl w:ilvl="1" w15:tentative="1">
      <w:start w:val="1"/>
      <w:numFmt w:val="bullet"/>
      <w:lvlText w:val="–"/>
      <w:lvlJc w:val="left"/>
      <w:pPr>
        <w:ind w:left="960" w:hanging="260"/>
      </w:pPr>
      <w:rPr>
        <w:color w:val="2E5C9A"/>
      </w:rPr>
    </w:lvl>
    <w:lvl w:ilvl="2" w15:tentative="1">
      <w:start w:val="1"/>
      <w:numFmt w:val="bullet"/>
      <w:lvlText w:val="▪"/>
      <w:lvlJc w:val="left"/>
      <w:pPr>
        <w:ind w:left="1420" w:hanging="260"/>
      </w:pPr>
      <w:rPr>
        <w:color w:val="2E5C9A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  <w:rPr>
        <w:b/>
        <w:bCs/>
        <w:color w:val="2E5C9A"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  <w:rPr>
        <w:b/>
        <w:bCs/>
        <w:color w:val="2E5C9A"/>
      </w:r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  <w:rPr>
        <w:b/>
        <w:bCs/>
        <w:color w:val="2E5C9A"/>
      </w:r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  <w:rPr>
        <w:b/>
        <w:bCs/>
        <w:color w:val="2E5C9A"/>
      </w:r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  <w:rPr>
        <w:b/>
        <w:bCs/>
        <w:color w:val="2E5C9A"/>
      </w:r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  <w:rPr>
        <w:b/>
        <w:bCs/>
        <w:color w:val="2E5C9A"/>
      </w:r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  <w:rPr>
        <w:b/>
        <w:bCs/>
        <w:color w:val="2E5C9A"/>
      </w:r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  <w:rPr>
        <w:b/>
        <w:bCs/>
        <w:color w:val="2E5C9A"/>
      </w:r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  <w:rPr>
        <w:b/>
        <w:bCs/>
        <w:color w:val="2E5C9A"/>
      </w:r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  <w:rPr>
        <w:b/>
        <w:bCs/>
        <w:color w:val="2E5C9A"/>
      </w:r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  <w:rPr>
        <w:b/>
        <w:bCs/>
        <w:color w:val="2E5C9A"/>
      </w:r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  <w:rPr>
        <w:b/>
        <w:bCs/>
        <w:color w:val="2E5C9A"/>
      </w:r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  <w:rPr>
        <w:b/>
        <w:bCs/>
        <w:color w:val="2E5C9A"/>
      </w:r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  <w:rPr>
        <w:b/>
        <w:bCs/>
        <w:color w:val="2E5C9A"/>
      </w:r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  <w:rPr>
        <w:b/>
        <w:bCs/>
        <w:color w:val="2E5C9A"/>
      </w:r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  <w:rPr>
        <w:b/>
        <w:bCs/>
        <w:color w:val="2E5C9A"/>
      </w:r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  <w:rPr>
        <w:b/>
        <w:bCs/>
        <w:color w:val="2E5C9A"/>
      </w:rPr>
    </w:lvl>
  </w:abstractNum>
  <w:abstractNum w:abstractNumId="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  <w:rPr>
        <w:b/>
        <w:bCs/>
        <w:color w:val="2E5C9A"/>
      </w:rPr>
    </w:lvl>
  </w:abstractNum>
  <w:abstractNum w:abstractNumId="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  <w:rPr>
        <w:b/>
        <w:bCs/>
        <w:color w:val="2E5C9A"/>
      </w:rPr>
    </w:lvl>
  </w:abstractNum>
  <w:abstractNum w:abstractNumId="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  <w:rPr>
        <w:b/>
        <w:bCs/>
        <w:color w:val="2E5C9A"/>
      </w:rPr>
    </w:lvl>
  </w:abstractNum>
  <w:abstractNum w:abstractNumId="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  <w:rPr>
        <w:b/>
        <w:bCs/>
        <w:color w:val="2E5C9A"/>
      </w:rPr>
    </w:lvl>
  </w:abstractNum>
  <w:abstractNum w:abstractNumId="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  <w:rPr>
        <w:b/>
        <w:bCs/>
        <w:color w:val="2E5C9A"/>
      </w:rPr>
    </w:lvl>
  </w:abstractNum>
  <w:abstractNum w:abstractNumId="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  <w:rPr>
        <w:b/>
        <w:bCs/>
        <w:color w:val="2E5C9A"/>
      </w:rPr>
    </w:lvl>
  </w:abstractNum>
  <w:abstractNum w:abstractNumId="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  <w:rPr>
        <w:b/>
        <w:bCs/>
        <w:color w:val="2E5C9A"/>
      </w:rPr>
    </w:lvl>
  </w:abstractNum>
  <w:abstractNum w:abstractNumId="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  <w:rPr>
        <w:b/>
        <w:bCs/>
        <w:color w:val="2E5C9A"/>
      </w:rPr>
    </w:lvl>
  </w:abstractNum>
  <w:abstractNum w:abstractNumId="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  <w:rPr>
        <w:b/>
        <w:bCs/>
        <w:color w:val="2E5C9A"/>
      </w:rPr>
    </w:lvl>
  </w:abstractNum>
  <w:abstractNum w:abstractNumId="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  <w:rPr>
        <w:b/>
        <w:bCs/>
        <w:color w:val="2E5C9A"/>
      </w:rPr>
    </w:lvl>
  </w:abstractNum>
  <w:abstractNum w:abstractNumId="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  <w:rPr>
        <w:b/>
        <w:bCs/>
        <w:color w:val="2E5C9A"/>
      </w:rPr>
    </w:lvl>
  </w:abstractNum>
  <w:abstractNum w:abstractNumId="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  <w:rPr>
        <w:b/>
        <w:bCs/>
        <w:color w:val="2E5C9A"/>
      </w:rPr>
    </w:lvl>
  </w:abstractNum>
  <w:abstractNum w:abstractNumId="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  <w:rPr>
        <w:b/>
        <w:bCs/>
        <w:color w:val="2E5C9A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pBdr>
        <w:bottom w:val="single" w:color="CBD5E1" w:sz="4" w:space="3"/>
      </w:pBdr>
      <w:spacing w:after="140" w:before="360"/>
      <w:outlineLvl w:val="0"/>
    </w:pPr>
    <w:rPr>
      <w:rFonts w:ascii="Calibri" w:cs="Calibri" w:eastAsia="Calibri" w:hAnsi="Calibri"/>
      <w:b/>
      <w:bCs/>
      <w:color w:val="1F3A5F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100" w:before="260"/>
      <w:outlineLvl w:val="1"/>
    </w:pPr>
    <w:rPr>
      <w:rFonts w:ascii="Calibri" w:cs="Calibri" w:eastAsia="Calibri" w:hAnsi="Calibri"/>
      <w:b/>
      <w:bCs/>
      <w:color w:val="2E5C9A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07 - Observabilidad: métricas, logs, trazas, tableros y alertas</dc:title>
  <dc:creator>Documentación técnica</dc:creator>
  <cp:lastModifiedBy>Un-named</cp:lastModifiedBy>
  <cp:revision>1</cp:revision>
  <dcterms:created xsi:type="dcterms:W3CDTF">2026-10-13T01:26:40.504Z</dcterms:created>
  <dcterms:modified xsi:type="dcterms:W3CDTF">2026-10-13T01:26:40.504Z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