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08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Estrategia de pruebas, despliegue y operación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Pirámide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1"/>
        <w:gridCol w:w="5803"/>
        <w:gridCol w:w="2454"/>
      </w:tblGrid>
      <w:tr>
        <w:trPr>
          <w:cantSplit/>
          <w:tblHeader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el repo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Unitarias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Reglas de validación, enmascaramiento, máquina de estados, política de reintentos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(base)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+ H2; worker + máquina de estados; outbox + relay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*-IntegrationTest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OpenAPI/JSON del evento; compatibilidad de esquema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(extensible)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Flujo completo API → worker → callback → publisher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(demo con docker-compose)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</w:t>
            </w:r>
          </w:p>
        </w:tc>
        <w:tc>
          <w:tcPr>
            <w:tcW w:type="dxa" w:w="58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Escalabilidad 10k→1M/día y picos (E10)</w:t>
            </w:r>
          </w:p>
        </w:tc>
        <w:tc>
          <w:tcPr>
            <w:tcW w:type="dxa" w:w="2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scripts/load-test.js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(k6)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Casos obligatorios (E1–E10)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Los 10 escenarios están cubiertos por las pruebas de integración (ver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docs/10-escenarios-y-preguntas.md</w:t>
      </w:r>
      <w:r>
        <w:rPr>
          <w:b w:val="false"/>
          <w:bCs w:val="false"/>
          <w:sz w:val="21"/>
          <w:szCs w:val="21"/>
        </w:rPr>
        <w:t xml:space="preserve">). Ejecución: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mvn verify        # compila, testea y empaqueta todo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Todas las pruebas usan </w:t>
      </w:r>
      <w:r>
        <w:rPr>
          <w:b/>
          <w:bCs/>
          <w:sz w:val="21"/>
          <w:szCs w:val="21"/>
        </w:rPr>
        <w:t xml:space="preserve">H2 en memoria</w:t>
      </w:r>
      <w:r>
        <w:rPr>
          <w:b w:val="false"/>
          <w:bCs w:val="false"/>
          <w:sz w:val="21"/>
          <w:szCs w:val="21"/>
        </w:rPr>
        <w:t xml:space="preserve"> (perfil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test</w:t>
      </w:r>
      <w:r>
        <w:rPr>
          <w:b w:val="false"/>
          <w:bCs w:val="false"/>
          <w:sz w:val="21"/>
          <w:szCs w:val="21"/>
        </w:rPr>
        <w:t xml:space="preserve">) y no requieren infraestructura.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2.b Prueba de carga (k6, E10)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scripts/load-test.js</w:t>
      </w:r>
      <w:r>
        <w:rPr>
          <w:b w:val="false"/>
          <w:bCs w:val="false"/>
          <w:sz w:val="21"/>
          <w:szCs w:val="21"/>
        </w:rPr>
        <w:t xml:space="preserve"> modela 10k→1M/día y picos con un executor de tasa de llegada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ramping-arrival-rate</w:t>
      </w:r>
      <w:r>
        <w:rPr>
          <w:b w:val="false"/>
          <w:bCs w:val="false"/>
          <w:sz w:val="21"/>
          <w:szCs w:val="21"/>
        </w:rPr>
        <w:t xml:space="preserve">) y umbrales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http_req_failed &lt; 1%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p95 &lt; 800 ms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Para medir capacidad real, desactivar el rate limiting de la API: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$env:RATE_LIMIT_ENABLED="false"   # y reiniciar la API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k6 run scripts/load-test.js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k6 run -e BASE_URL=http://localhost:8081 scripts/load-test.js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Palancas al escalar ×100: más réplicas de api/worker/publisher (stateless), más particiones de Kafka, particionado/archivado de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</w:t>
      </w:r>
      <w:r>
        <w:rPr>
          <w:b w:val="false"/>
          <w:bCs w:val="false"/>
          <w:sz w:val="21"/>
          <w:szCs w:val="21"/>
        </w:rPr>
        <w:t xml:space="preserve">, réplicas de lectura para consultas y autoscaling por backlog.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Pruebas end-to-end manuales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docker compose up -d</w:t>
      </w:r>
      <w:r>
        <w:rPr>
          <w:b w:val="false"/>
          <w:bCs w:val="false"/>
          <w:sz w:val="21"/>
          <w:szCs w:val="21"/>
        </w:rPr>
        <w:t xml:space="preserve"> y los 3 servicios levantados (worker con perfil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mock-abm</w:t>
      </w:r>
      <w:r>
        <w:rPr>
          <w:b w:val="false"/>
          <w:bCs w:val="false"/>
          <w:sz w:val="21"/>
          <w:szCs w:val="21"/>
        </w:rPr>
        <w:t xml:space="preserve">), los sufijos de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account_id</w:t>
      </w:r>
      <w:r>
        <w:rPr>
          <w:b w:val="false"/>
          <w:bCs w:val="false"/>
          <w:sz w:val="21"/>
          <w:szCs w:val="21"/>
        </w:rPr>
        <w:t xml:space="preserve"> reproducen los escenarios: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4"/>
        <w:gridCol w:w="6444"/>
      </w:tblGrid>
      <w:tr>
        <w:trPr>
          <w:cantSplit/>
          <w:tblHeader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Sufijo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account_id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</w:tr>
      <w:tr>
        <w:trPr>
          <w:cantSplit/>
          <w:tblHeader w:val="false"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(ninguno)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E1/E4 aprobación</w:t>
            </w:r>
          </w:p>
        </w:tc>
      </w:tr>
      <w:tr>
        <w:trPr>
          <w:cantSplit/>
          <w:tblHeader w:val="false"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_REJ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E5 rechazo funcional</w:t>
            </w:r>
          </w:p>
        </w:tc>
      </w:tr>
      <w:tr>
        <w:trPr>
          <w:cantSplit/>
          <w:tblHeader w:val="false"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_TO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E6 timeout / recuperación</w:t>
            </w:r>
          </w:p>
        </w:tc>
      </w:tr>
      <w:tr>
        <w:trPr>
          <w:cantSplit/>
          <w:tblHeader w:val="false"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_DUP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E7 respuesta duplicada</w:t>
            </w:r>
          </w:p>
        </w:tc>
      </w:tr>
      <w:tr>
        <w:trPr>
          <w:cantSplit/>
          <w:tblHeader w:val="false"/>
        </w:trPr>
        <w:tc>
          <w:tcPr>
            <w:tcW w:type="dxa" w:w="3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_FAIL</w:t>
            </w:r>
          </w:p>
        </w:tc>
        <w:tc>
          <w:tcPr>
            <w:tcW w:type="dxa" w:w="6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falla técnica + reintento</w:t>
            </w:r>
          </w:p>
        </w:tc>
      </w:tr>
    </w:tbl>
    <w:p>
      <w:pPr>
        <w:spacing w:after="160" w:before="0"/>
      </w:pPr>
    </w:p>
    <w:p>
      <w:pPr>
        <w:pBdr>
          <w:left w:val="single" w:color="2E5C9A" w:sz="24" w:space="8"/>
        </w:pBdr>
        <w:shd w:fill="EFF6FF" w:color="auto" w:val="clear"/>
        <w:spacing w:after="160" w:before="80" w:line="276"/>
        <w:ind w:left="200" w:right="100"/>
      </w:pPr>
      <w:r>
        <w:rPr>
          <w:b w:val="false"/>
          <w:bCs w:val="false"/>
          <w:color w:val="334155"/>
          <w:sz w:val="20"/>
          <w:szCs w:val="20"/>
        </w:rPr>
        <w:t xml:space="preserve">En el entorno de desarrollo el PostgreSQL local ocupaba el puerto 5432, por eso el contenedor publica el </w:t>
      </w:r>
      <w:r>
        <w:rPr>
          <w:b/>
          <w:bCs/>
          <w:color w:val="334155"/>
          <w:sz w:val="20"/>
          <w:szCs w:val="20"/>
        </w:rPr>
        <w:t xml:space="preserve">55432</w:t>
      </w:r>
      <w:r>
        <w:rPr>
          <w:b w:val="false"/>
          <w:bCs w:val="false"/>
          <w:color w:val="334155"/>
          <w:sz w:val="20"/>
          <w:szCs w:val="20"/>
        </w:rPr>
        <w:t xml:space="preserve"> y los servicios se levantan con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--spring.datasource.url=jdbc:postgresql://localhost:55432/nominations</w:t>
      </w:r>
      <w:r>
        <w:rPr>
          <w:b w:val="false"/>
          <w:bCs w:val="false"/>
          <w:color w:val="334155"/>
          <w:sz w:val="20"/>
          <w:szCs w:val="20"/>
        </w:rPr>
        <w:t xml:space="preserve">. La API aplica </w:t>
      </w:r>
      <w:r>
        <w:rPr>
          <w:b/>
          <w:bCs/>
          <w:color w:val="334155"/>
          <w:sz w:val="20"/>
          <w:szCs w:val="20"/>
        </w:rPr>
        <w:t xml:space="preserve">Flyway</w:t>
      </w:r>
      <w:r>
        <w:rPr>
          <w:b w:val="false"/>
          <w:bCs w:val="false"/>
          <w:color w:val="334155"/>
          <w:sz w:val="20"/>
          <w:szCs w:val="20"/>
        </w:rPr>
        <w:t xml:space="preserve"> al arrancar (crea el esquema); worker y publisher validan que ya esté en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v1</w:t>
      </w:r>
      <w:r>
        <w:rPr>
          <w:b w:val="false"/>
          <w:bCs w:val="false"/>
          <w:color w:val="334155"/>
          <w:sz w:val="20"/>
          <w:szCs w:val="20"/>
        </w:rPr>
        <w:t xml:space="preserve">. El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event-publisher</w:t>
      </w:r>
      <w:r>
        <w:rPr>
          <w:b w:val="false"/>
          <w:bCs w:val="false"/>
          <w:color w:val="334155"/>
          <w:sz w:val="20"/>
          <w:szCs w:val="20"/>
        </w:rPr>
        <w:t xml:space="preserve"> no expone servidor HTTP (es un worker de relay); se verifica por su métrica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outbox_published_total</w:t>
      </w:r>
      <w:r>
        <w:rPr>
          <w:b w:val="false"/>
          <w:bCs w:val="false"/>
          <w:color w:val="334155"/>
          <w:sz w:val="20"/>
          <w:szCs w:val="20"/>
        </w:rPr>
        <w:t xml:space="preserve"> o consumiendo el topic en Redpanda: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docker exec prisma-redpanda rpk topic consume prisma.nominations.result.v1 --offset start --num 10</w:t>
      </w:r>
      <w:r>
        <w:rPr>
          <w:b w:val="false"/>
          <w:bCs w:val="false"/>
          <w:color w:val="334155"/>
          <w:sz w:val="20"/>
          <w:szCs w:val="20"/>
        </w:rPr>
        <w:t xml:space="preserve">. Rate limiting verificable con una ráfaga de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POST /v1/nominations</w:t>
      </w:r>
      <w:r>
        <w:rPr>
          <w:b w:val="false"/>
          <w:bCs w:val="false"/>
          <w:color w:val="334155"/>
          <w:sz w:val="20"/>
          <w:szCs w:val="20"/>
        </w:rPr>
        <w:t xml:space="preserve"> (comienza a responder 429 + </w:t>
      </w:r>
      <w:r>
        <w:rPr>
          <w:rFonts w:ascii="Consolas" w:cs="Consolas" w:eastAsia="Consolas" w:hAnsi="Consolas"/>
          <w:color w:val="9F1239"/>
          <w:sz w:val="18"/>
          <w:szCs w:val="18"/>
          <w:shd w:fill="F1F5F9" w:color="auto" w:val="clear"/>
        </w:rPr>
        <w:t xml:space="preserve">Retry-After</w:t>
      </w:r>
      <w:r>
        <w:rPr>
          <w:b w:val="false"/>
          <w:bCs w:val="false"/>
          <w:color w:val="334155"/>
          <w:sz w:val="20"/>
          <w:szCs w:val="20"/>
        </w:rPr>
        <w:t xml:space="preserve">).</w:t>
      </w:r>
    </w:p>
    <w:p>
      <w:pPr>
        <w:spacing w:after="120" w:before="0" w:line="288"/>
      </w:pPr>
      <w:r>
        <w:rPr>
          <w:b/>
          <w:bCs/>
          <w:sz w:val="21"/>
          <w:szCs w:val="21"/>
        </w:rPr>
        <w:t xml:space="preserve">Resultado observado en la corrida E2E</w:t>
      </w:r>
      <w:r>
        <w:rPr>
          <w:b w:val="false"/>
          <w:bCs w:val="false"/>
          <w:sz w:val="21"/>
          <w:szCs w:val="21"/>
        </w:rPr>
        <w:t xml:space="preserve">: aprobación→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APPROVED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_REJ</w:t>
      </w:r>
      <w:r>
        <w:rPr>
          <w:b w:val="false"/>
          <w:bCs w:val="false"/>
          <w:sz w:val="21"/>
          <w:szCs w:val="21"/>
        </w:rPr>
        <w:t xml:space="preserve">→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 (CUSTOMER_BLOCKED),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_FAIL</w:t>
      </w:r>
      <w:r>
        <w:rPr>
          <w:b w:val="false"/>
          <w:bCs w:val="false"/>
          <w:sz w:val="21"/>
          <w:szCs w:val="21"/>
        </w:rPr>
        <w:t xml:space="preserve">→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APPROVED</w:t>
      </w:r>
      <w:r>
        <w:rPr>
          <w:b w:val="false"/>
          <w:bCs w:val="false"/>
          <w:sz w:val="21"/>
          <w:szCs w:val="21"/>
        </w:rPr>
        <w:t xml:space="preserve"> tras 1 reintento (attempts=2),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_DUP</w:t>
      </w:r>
      <w:r>
        <w:rPr>
          <w:b w:val="false"/>
          <w:bCs w:val="false"/>
          <w:sz w:val="21"/>
          <w:szCs w:val="21"/>
        </w:rPr>
        <w:t xml:space="preserve">→ 1 solo evento,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_TO</w:t>
      </w:r>
      <w:r>
        <w:rPr>
          <w:b w:val="false"/>
          <w:b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SENT_TO_ABM</w:t>
      </w:r>
      <w:r>
        <w:rPr>
          <w:b w:val="false"/>
          <w:bCs w:val="false"/>
          <w:sz w:val="21"/>
          <w:szCs w:val="21"/>
        </w:rPr>
        <w:t xml:space="preserve"> (callback pendiente), idempotencia→ mismo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nomination_id</w:t>
      </w:r>
      <w:r>
        <w:rPr>
          <w:b w:val="false"/>
          <w:bCs w:val="false"/>
          <w:sz w:val="21"/>
          <w:szCs w:val="21"/>
        </w:rPr>
        <w:t xml:space="preserve">, validación→ 400. </w:t>
      </w:r>
      <w:r>
        <w:rPr>
          <w:b/>
          <w:bCs/>
          <w:sz w:val="21"/>
          <w:szCs w:val="21"/>
        </w:rPr>
        <w:t xml:space="preserve">5 eventos</w:t>
      </w:r>
      <w:r>
        <w:rPr>
          <w:b w:val="false"/>
          <w:bCs w:val="false"/>
          <w:sz w:val="21"/>
          <w:szCs w:val="21"/>
        </w:rPr>
        <w:t xml:space="preserve"> publicados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prisma.nominations.result.v1</w:t>
      </w:r>
      <w:r>
        <w:rPr>
          <w:b w:val="false"/>
          <w:bCs w:val="false"/>
          <w:sz w:val="21"/>
          <w:szCs w:val="21"/>
        </w:rPr>
        <w:t xml:space="preserve">, con datos enmascarados y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Despliegue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Artefactos</w:t>
      </w:r>
      <w:r>
        <w:rPr>
          <w:b w:val="false"/>
          <w:bCs w:val="false"/>
          <w:sz w:val="21"/>
          <w:szCs w:val="21"/>
        </w:rPr>
        <w:t xml:space="preserve">: jar ejecutable por servicio (Spring Boot) → imagen de contenedor.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CI/CD</w:t>
      </w:r>
      <w:r>
        <w:rPr>
          <w:b w:val="false"/>
          <w:bCs w:val="false"/>
          <w:sz w:val="21"/>
          <w:szCs w:val="21"/>
        </w:rPr>
        <w:t xml:space="preserve">: build → tests → análisis → imagen → despliegue.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Migraciones de base versionadas con Flyway</w:t>
      </w:r>
      <w:r>
        <w:rPr>
          <w:b w:val="false"/>
          <w:bCs w:val="false"/>
          <w:sz w:val="21"/>
          <w:szCs w:val="21"/>
        </w:rPr>
        <w:t xml:space="preserve">: las migraciones viven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nomination-persistence/src/main/resources/db/migration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V1__init.sql</w:t>
      </w:r>
      <w:r>
        <w:rPr>
          <w:b w:val="false"/>
          <w:bCs w:val="false"/>
          <w:sz w:val="21"/>
          <w:szCs w:val="21"/>
        </w:rPr>
        <w:t xml:space="preserve">) y viajan con la librería, de modo que cualquier servicio que arranque primero crea el esquema (lock de Flyway) y el resto valida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v1</w:t>
      </w:r>
      <w:r>
        <w:rPr>
          <w:b w:val="false"/>
          <w:bCs w:val="false"/>
          <w:sz w:val="21"/>
          <w:szCs w:val="21"/>
        </w:rPr>
        <w:t xml:space="preserve">. Los servicios usan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spring.jpa.hibernate.ddl-auto=none</w:t>
      </w:r>
      <w:r>
        <w:rPr>
          <w:b w:val="false"/>
          <w:bCs w:val="false"/>
          <w:sz w:val="21"/>
          <w:szCs w:val="21"/>
        </w:rPr>
        <w:t xml:space="preserve">; en tests Flyway se desactiva y H2 crea el esquema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create-drop</w:t>
      </w:r>
      <w:r>
        <w:rPr>
          <w:b w:val="false"/>
          <w:bCs w:val="false"/>
          <w:sz w:val="21"/>
          <w:szCs w:val="21"/>
        </w:rPr>
        <w:t xml:space="preserve">). Cambios futuros: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V2__...sql</w:t>
      </w:r>
      <w:r>
        <w:rPr>
          <w:b w:val="false"/>
          <w:bCs w:val="false"/>
          <w:sz w:val="21"/>
          <w:szCs w:val="21"/>
        </w:rPr>
        <w:t xml:space="preserve">, aditivos y reversibles.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Configuración por entorno</w:t>
      </w:r>
      <w:r>
        <w:rPr>
          <w:b w:val="false"/>
          <w:bCs w:val="false"/>
          <w:sz w:val="21"/>
          <w:szCs w:val="21"/>
        </w:rPr>
        <w:t xml:space="preserve">: variables de entorno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DB_URL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KAFKA_BOOTSTRAP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SECURITY_ENABLED</w:t>
      </w:r>
      <w:r>
        <w:rPr>
          <w:b w:val="false"/>
          <w:bCs w:val="false"/>
          <w:sz w:val="21"/>
          <w:szCs w:val="21"/>
        </w:rPr>
        <w:t xml:space="preserve">, …).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Escalado</w:t>
      </w:r>
      <w:r>
        <w:rPr>
          <w:b w:val="false"/>
          <w:bCs w:val="false"/>
          <w:sz w:val="21"/>
          <w:szCs w:val="21"/>
        </w:rPr>
        <w:t xml:space="preserve">: API y worker sin estado → réplicas horizontales; publisher con reclamo optimista.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Despliegue progresivo</w:t>
      </w:r>
      <w:r>
        <w:rPr>
          <w:b w:val="false"/>
          <w:bCs w:val="false"/>
          <w:sz w:val="21"/>
          <w:szCs w:val="21"/>
        </w:rPr>
        <w:t xml:space="preserve">: rolling update / canary; versionado de API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/v1</w:t>
      </w:r>
      <w:r>
        <w:rPr>
          <w:b w:val="false"/>
          <w:bCs w:val="false"/>
          <w:sz w:val="21"/>
          <w:szCs w:val="21"/>
        </w:rPr>
        <w:t xml:space="preserve">) y eventos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eventVersion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Rollback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Rollback por </w:t>
      </w:r>
      <w:r>
        <w:rPr>
          <w:b/>
          <w:bCs/>
          <w:sz w:val="21"/>
          <w:szCs w:val="21"/>
        </w:rPr>
        <w:t xml:space="preserve">imagen/versión</w:t>
      </w:r>
      <w:r>
        <w:rPr>
          <w:b w:val="false"/>
          <w:bCs w:val="false"/>
          <w:sz w:val="21"/>
          <w:szCs w:val="21"/>
        </w:rPr>
        <w:t xml:space="preserve"> anterior (inmutable). Al ser contenedores sin estado, el rollback es inmediato.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Los eventos y contratos son </w:t>
      </w:r>
      <w:r>
        <w:rPr>
          <w:b/>
          <w:bCs/>
          <w:sz w:val="21"/>
          <w:szCs w:val="21"/>
        </w:rPr>
        <w:t xml:space="preserve">compatibles hacia atrás</w:t>
      </w:r>
      <w:r>
        <w:rPr>
          <w:b w:val="false"/>
          <w:bCs w:val="false"/>
          <w:sz w:val="21"/>
          <w:szCs w:val="21"/>
        </w:rPr>
        <w:t xml:space="preserve">; un rollback no debe romper consumidores.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Migraciones de base: cambios aditivos y reversibles; nunca destructivos en el mismo release.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Ante DLQ/inconsistencias: reproceso controlado desde el outbox (fuente de verdad).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6. Operación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Runbooks</w:t>
      </w:r>
      <w:r>
        <w:rPr>
          <w:b w:val="false"/>
          <w:bCs w:val="false"/>
          <w:sz w:val="21"/>
          <w:szCs w:val="21"/>
        </w:rPr>
        <w:t xml:space="preserve"> por alerta (ver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docs/07-observabilidad.md</w:t>
      </w:r>
      <w:r>
        <w:rPr>
          <w:b w:val="false"/>
          <w:bCs w:val="false"/>
          <w:sz w:val="21"/>
          <w:szCs w:val="21"/>
        </w:rPr>
        <w:t xml:space="preserve">): backlog, circuit breaker abierto, DLQ, 5xx.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Reproceso</w:t>
      </w:r>
      <w:r>
        <w:rPr>
          <w:b w:val="false"/>
          <w:bCs w:val="false"/>
          <w:sz w:val="21"/>
          <w:szCs w:val="21"/>
        </w:rPr>
        <w:t xml:space="preserve">: reencolar eventos de DLQ/outbox sin pérdida, idempotente por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Capacidad</w:t>
      </w:r>
      <w:r>
        <w:rPr>
          <w:b w:val="false"/>
          <w:bCs w:val="false"/>
          <w:sz w:val="21"/>
          <w:szCs w:val="21"/>
        </w:rPr>
        <w:t xml:space="preserve">: monitorear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nominations.pending</w:t>
      </w:r>
      <w:r>
        <w:rPr>
          <w:b w:val="false"/>
          <w:bCs w:val="false"/>
          <w:sz w:val="21"/>
          <w:szCs w:val="21"/>
        </w:rPr>
        <w:t xml:space="preserve">, latencia ABM y saturación de workers para escalar antes del incidente.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Ventanas de mantenimiento</w:t>
      </w:r>
      <w:r>
        <w:rPr>
          <w:b w:val="false"/>
          <w:bCs w:val="false"/>
          <w:sz w:val="21"/>
          <w:szCs w:val="21"/>
        </w:rPr>
        <w:t xml:space="preserve">: ABM puede degradarse; el circuit breaker y los reintentos absorben la carga.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7. Cómo evoluciona el contrato (resumen)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Cambios </w:t>
      </w:r>
      <w:r>
        <w:rPr>
          <w:b/>
          <w:bCs/>
          <w:sz w:val="21"/>
          <w:szCs w:val="21"/>
        </w:rPr>
        <w:t xml:space="preserve">aditivos y opcionales</w:t>
      </w:r>
      <w:r>
        <w:rPr>
          <w:b w:val="false"/>
          <w:bCs w:val="false"/>
          <w:sz w:val="21"/>
          <w:szCs w:val="21"/>
        </w:rPr>
        <w:t xml:space="preserve"> se despliegan sin coordinar consumidores.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Cambios incompatibles → nueva versión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/v2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eventVersion=2</w:t>
      </w:r>
      <w:r>
        <w:rPr>
          <w:b w:val="false"/>
          <w:bCs w:val="false"/>
          <w:sz w:val="21"/>
          <w:szCs w:val="21"/>
        </w:rPr>
        <w:t xml:space="preserve"> + topic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v2</w:t>
      </w:r>
      <w:r>
        <w:rPr>
          <w:b w:val="false"/>
          <w:bCs w:val="false"/>
          <w:sz w:val="21"/>
          <w:szCs w:val="21"/>
        </w:rPr>
        <w:t xml:space="preserve">) con </w:t>
      </w:r>
      <w:r>
        <w:rPr>
          <w:b/>
          <w:bCs/>
          <w:sz w:val="21"/>
          <w:szCs w:val="21"/>
        </w:rPr>
        <w:t xml:space="preserve">doble publicación</w:t>
      </w:r>
      <w:r>
        <w:rPr>
          <w:b w:val="false"/>
          <w:bCs w:val="false"/>
          <w:sz w:val="21"/>
          <w:szCs w:val="21"/>
        </w:rPr>
        <w:t xml:space="preserve"> transitoria.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Los consumidores ignoran campos desconocidos y deduplican por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Schema Registry en CI bloquea cambios incompatibles antes de llegar a producción.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08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08 - Estrategia de pruebas, despliegue y operación</dc:title>
  <dc:creator>Documentación técnica</dc:creator>
  <cp:lastModifiedBy>Un-named</cp:lastModifiedBy>
  <cp:revision>1</cp:revision>
  <dcterms:created xsi:type="dcterms:W3CDTF">2026-10-13T01:26:40.563Z</dcterms:created>
  <dcterms:modified xsi:type="dcterms:W3CDTF">2026-10-13T01:26:40.563Z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