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09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Supuestos, decisiones, alternativas descartadas y riesgos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Supuestos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ABM es un sistema externo que: (a) acepta el envío de forma asincrónica, (b) entrega el resultado después (callback o sondeo) y (c) puede demorar varios minutos.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La respuesta de ABM es programática y categorizable en resultado + motivo.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card_id</w:t>
      </w:r>
      <w:r>
        <w:rPr>
          <w:b w:val="false"/>
          <w:bCs w:val="false"/>
          <w:sz w:val="21"/>
          <w:szCs w:val="21"/>
        </w:rPr>
        <w:t xml:space="preserve"> recibido ya es un token o referencia enmascarada (la plataforma no tokeniza PAN).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Existe una base relacional compartida por la API, el worker y el publisher (en la solución de demostración).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Se trata de operaciones del negocio financiero, por lo que la exactitud y la auditabilidad priman sobre la latencia extrema.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Decisiones (con justificación)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6"/>
        <w:gridCol w:w="5992"/>
      </w:tblGrid>
      <w:tr>
        <w:trPr>
          <w:cantSplit/>
          <w:tblHeader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 servicios (API / worker / publisher)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Separan ritmo de cambio, modo de fallo y perfil de carga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Transactional Outbox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Consistencia estado⇔evento sin 2PC ni transacciones distribuidas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Java 21 + Spring Boot 3.3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Madurez, ecosistema, LTS, lenguaje moderno (records, virtual threads)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Transaccional, constraints de unicidad, robustez para auditoría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Kafka (con fallback a log)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Desacople, orden por partición, replay; transporte sustituible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Bloqueo optimista 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@Version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 doble despacho/procesamiento entre instancias sin locks distribuidos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Callback idempotente de ABM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Cubre E7 y reentregas at-least-once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Reintentos exponenciales + jitter + circuit breaker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Tolerancia a fallas parciales sin martillar ABM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DLQ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Aísla eventos no publicables y permite reproceso con trazabilidad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Estados explícitos y terminales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Claridad de máquina de estados y distinción funcional vs. técnica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Motivos normalizados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filtrar texto crudo de ABM; contrato estable para consumidores</w:t>
            </w:r>
          </w:p>
        </w:tc>
      </w:tr>
      <w:tr>
        <w:trPr>
          <w:cantSplit/>
          <w:tblHeader w:val="false"/>
        </w:trPr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Versionado por ruta +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eventVersion</w:t>
            </w:r>
          </w:p>
        </w:tc>
        <w:tc>
          <w:tcPr>
            <w:tcW w:type="dxa" w:w="5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Evolución sin romper consumidores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Alternativas descartadas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9"/>
        <w:gridCol w:w="5749"/>
      </w:tblGrid>
      <w:tr>
        <w:trPr>
          <w:cantSplit/>
          <w:tblHeader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se descartó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Monolito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Acopla disponibilidad del borde a ABM y al broker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Microservicio por función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Fragmentación excesiva sin límites de dominio claros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2PC / XA entre estado y publicación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Complejo, frágil y costoso; el outbox resuelve el mismo problema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Publicar dentro de la transacción de negocio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broker no participa de la transacción → riesgo de inconsistencia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Polling sincrónico de ABM bloqueando el request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Rompe el requisito de no bloquear al consumidor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el PAN completo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Violación de PCI-DSS; se usa token + máscara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Reintentar rechazos funcionales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cambia el resultado; genera ruido y carga</w:t>
            </w:r>
          </w:p>
        </w:tc>
      </w:tr>
      <w:tr>
        <w:trPr>
          <w:cantSplit/>
          <w:tblHeader w:val="false"/>
        </w:trPr>
        <w:tc>
          <w:tcPr>
            <w:tcW w:type="dxa" w:w="38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eventId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autogenerado en el broker</w:t>
            </w:r>
          </w:p>
        </w:tc>
        <w:tc>
          <w:tcPr>
            <w:tcW w:type="dxa" w:w="5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Dificulta la deduplicación; se usa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eventId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propio en el outbox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Riesgos conocidos y mitigación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4"/>
        <w:gridCol w:w="5474"/>
      </w:tblGrid>
      <w:tr>
        <w:trPr>
          <w:cantSplit/>
          <w:tblHeader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compartida entre servicios (acoplamiento)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Frontera clara por schema/rol; alternativa: CDC (Debezium) sobre el outbox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at-least-once puede duplicar en consumidores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Deduplicación por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eventId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documentado en el contrato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Crecimiento de la tabla de outbox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Archivado/purga de publicados; particionado por fecha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ABM sin respuesta prolongada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Timeout + sweeper + circuit breaker + DLQ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Reintentos que amplifican carga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Backoff + jitter + circuit breaker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Idempotencia si el cliente no envía clave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usa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request_id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se documenta la recomendación de enviar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Idempotency-Key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Deriva de esquema de eventos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 Registry + reglas de compatibilidad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Picos de volumen (E10)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Escalado horizontal sin estado + reclamo optimista + backpressure</w:t>
            </w:r>
          </w:p>
        </w:tc>
      </w:tr>
      <w:tr>
        <w:trPr>
          <w:cantSplit/>
          <w:tblHeader w:val="false"/>
        </w:trPr>
        <w:tc>
          <w:tcPr>
            <w:tcW w:type="dxa" w:w="4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Fuga de datos en logs</w:t>
            </w:r>
          </w:p>
        </w:tc>
        <w:tc>
          <w:tcPr>
            <w:tcW w:type="dxa" w:w="54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Exclusión explícita de campos sensibles en el logging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5. Qué cambiaría al multiplicar por 100 el volumen (E10)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Escalar réplicas de API/worker/publisher; particionar el outbox y las consultas por fecha/estado.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Aumentar particiones de Kafka para paralelizar consumidores.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Introducir archiving de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outbox</w:t>
      </w:r>
      <w:r>
        <w:rPr>
          <w:b w:val="false"/>
          <w:bCs w:val="false"/>
          <w:sz w:val="21"/>
          <w:szCs w:val="21"/>
        </w:rPr>
        <w:t xml:space="preserve"> históricos y réplicas de lectura para consultas.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Ajustar pools de conexión, batch sizes y ventanas de polling; métricas y autoscaling por backlog.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09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09 - Supuestos, decisiones, alternativas descartadas y riesgos</dc:title>
  <dc:creator>Documentación técnica</dc:creator>
  <cp:lastModifiedBy>Un-named</cp:lastModifiedBy>
  <cp:revision>1</cp:revision>
  <dcterms:created xsi:type="dcterms:W3CDTF">2026-10-13T01:26:40.620Z</dcterms:created>
  <dcterms:modified xsi:type="dcterms:W3CDTF">2026-10-13T01:26:40.620Z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