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2E5C9A"/>
          <w:spacing w:val="40"/>
          <w:sz w:val="18"/>
          <w:szCs w:val="18"/>
        </w:rPr>
        <w:t xml:space="preserve">DOCUMENTO 10</w:t>
      </w:r>
    </w:p>
    <w:p>
      <w:pPr>
        <w:pBdr>
          <w:bottom w:val="single" w:color="2E5C9A" w:sz="12" w:space="8"/>
        </w:pBdr>
        <w:spacing w:after="160" w:before="0" w:line="320"/>
      </w:pPr>
      <w:r>
        <w:rPr>
          <w:b/>
          <w:bCs/>
          <w:color w:val="1F3A5F"/>
          <w:sz w:val="40"/>
          <w:szCs w:val="40"/>
        </w:rPr>
        <w:t xml:space="preserve">Escenarios obligatorios (E1–E10) y respuestas a las preguntas mínimas</w:t>
      </w:r>
    </w:p>
    <w:p>
      <w:pPr>
        <w:spacing w:after="120"/>
      </w:pP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1. Escenarios E1–E10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977"/>
        <w:gridCol w:w="2623"/>
        <w:gridCol w:w="1265"/>
        <w:gridCol w:w="2823"/>
      </w:tblGrid>
      <w:tr>
        <w:trPr>
          <w:cantSplit/>
          <w:tblHeader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Escenario</w:t>
            </w:r>
          </w:p>
        </w:tc>
        <w:tc>
          <w:tcPr>
            <w:tcW w:type="dxa" w:w="26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Comportamiento esperado</w:t>
            </w:r>
          </w:p>
        </w:tc>
        <w:tc>
          <w:tcPr>
            <w:tcW w:type="dxa" w:w="12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Dónde</w:t>
            </w:r>
          </w:p>
        </w:tc>
        <w:tc>
          <w:tcPr>
            <w:tcW w:type="dxa" w:w="28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Cubierto por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E1</w:t>
            </w:r>
          </w:p>
        </w:tc>
        <w:tc>
          <w:tcPr>
            <w:tcW w:type="dxa" w:w="1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Solicitud válida</w:t>
            </w:r>
          </w:p>
        </w:tc>
        <w:tc>
          <w:tcPr>
            <w:tcW w:type="dxa" w:w="26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202,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  <w:shd w:fill="F1F5F9" w:color="auto" w:val="clear"/>
              </w:rPr>
              <w:t xml:space="preserve">RECEIVED</w:t>
            </w:r>
            <w:r>
              <w:rPr>
                <w:b w:val="false"/>
                <w:bCs w:val="false"/>
                <w:sz w:val="17"/>
                <w:szCs w:val="17"/>
              </w:rPr>
              <w:t xml:space="preserve">, trazabilidad</w:t>
            </w:r>
          </w:p>
        </w:tc>
        <w:tc>
          <w:tcPr>
            <w:tcW w:type="dxa" w:w="12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  <w:shd w:fill="F1F5F9" w:color="auto" w:val="clear"/>
              </w:rPr>
              <w:t xml:space="preserve">nomination-api</w:t>
            </w:r>
          </w:p>
        </w:tc>
        <w:tc>
          <w:tcPr>
            <w:tcW w:type="dxa" w:w="28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  <w:shd w:fill="F1F5F9" w:color="auto" w:val="clear"/>
              </w:rPr>
              <w:t xml:space="preserve">e1_validRequestIsAcceptedAndTraced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E2</w:t>
            </w:r>
          </w:p>
        </w:tc>
        <w:tc>
          <w:tcPr>
            <w:tcW w:type="dxa" w:w="1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Datos obligatorios ausentes / formato</w:t>
            </w:r>
          </w:p>
        </w:tc>
        <w:tc>
          <w:tcPr>
            <w:tcW w:type="dxa" w:w="26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400 con error claro y consistente</w:t>
            </w:r>
          </w:p>
        </w:tc>
        <w:tc>
          <w:tcPr>
            <w:tcW w:type="dxa" w:w="12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  <w:shd w:fill="F1F5F9" w:color="auto" w:val="clear"/>
              </w:rPr>
              <w:t xml:space="preserve">nomination-api</w:t>
            </w:r>
          </w:p>
        </w:tc>
        <w:tc>
          <w:tcPr>
            <w:tcW w:type="dxa" w:w="28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  <w:shd w:fill="F1F5F9" w:color="auto" w:val="clear"/>
              </w:rPr>
              <w:t xml:space="preserve">e2_missingFieldsReturnsBadRequest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  <w:shd w:fill="F1F5F9" w:color="auto" w:val="clear"/>
              </w:rPr>
              <w:t xml:space="preserve">e2b_invalidFormatReturnsBadRequest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E3</w:t>
            </w:r>
          </w:p>
        </w:tc>
        <w:tc>
          <w:tcPr>
            <w:tcW w:type="dxa" w:w="1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Solicitud repetida</w:t>
            </w:r>
          </w:p>
        </w:tc>
        <w:tc>
          <w:tcPr>
            <w:tcW w:type="dxa" w:w="26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Idempotente: mismo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  <w:shd w:fill="F1F5F9" w:color="auto" w:val="clear"/>
              </w:rPr>
              <w:t xml:space="preserve">nomination_id</w:t>
            </w:r>
            <w:r>
              <w:rPr>
                <w:b w:val="false"/>
                <w:bCs w:val="false"/>
                <w:sz w:val="17"/>
                <w:szCs w:val="17"/>
              </w:rPr>
              <w:t xml:space="preserve">, sin doble envío ni evento</w:t>
            </w:r>
          </w:p>
        </w:tc>
        <w:tc>
          <w:tcPr>
            <w:tcW w:type="dxa" w:w="12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  <w:shd w:fill="F1F5F9" w:color="auto" w:val="clear"/>
              </w:rPr>
              <w:t xml:space="preserve">nomination-api</w:t>
            </w:r>
          </w:p>
        </w:tc>
        <w:tc>
          <w:tcPr>
            <w:tcW w:type="dxa" w:w="28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  <w:shd w:fill="F1F5F9" w:color="auto" w:val="clear"/>
              </w:rPr>
              <w:t xml:space="preserve">e3_duplicateRequestIsIdempotent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  <w:shd w:fill="F1F5F9" w:color="auto" w:val="clear"/>
              </w:rPr>
              <w:t xml:space="preserve">e3b_sameKeyDifferentBodyConflicts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E4</w:t>
            </w:r>
          </w:p>
        </w:tc>
        <w:tc>
          <w:tcPr>
            <w:tcW w:type="dxa" w:w="1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ABM aprueba</w:t>
            </w:r>
          </w:p>
        </w:tc>
        <w:tc>
          <w:tcPr>
            <w:tcW w:type="dxa" w:w="26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  <w:shd w:fill="F1F5F9" w:color="auto" w:val="clear"/>
              </w:rPr>
              <w:t xml:space="preserve">APPROVED</w:t>
            </w:r>
            <w:r>
              <w:rPr>
                <w:b w:val="false"/>
                <w:bCs w:val="false"/>
                <w:sz w:val="17"/>
                <w:szCs w:val="17"/>
              </w:rPr>
              <w:t xml:space="preserve"> + evento único</w:t>
            </w:r>
          </w:p>
        </w:tc>
        <w:tc>
          <w:tcPr>
            <w:tcW w:type="dxa" w:w="12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  <w:shd w:fill="F1F5F9" w:color="auto" w:val="clear"/>
              </w:rPr>
              <w:t xml:space="preserve">nomination-worker</w:t>
            </w:r>
          </w:p>
        </w:tc>
        <w:tc>
          <w:tcPr>
            <w:tcW w:type="dxa" w:w="28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  <w:shd w:fill="F1F5F9" w:color="auto" w:val="clear"/>
              </w:rPr>
              <w:t xml:space="preserve">e4_abmApproves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E5</w:t>
            </w:r>
          </w:p>
        </w:tc>
        <w:tc>
          <w:tcPr>
            <w:tcW w:type="dxa" w:w="1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ABM rechaza por regla funcional</w:t>
            </w:r>
          </w:p>
        </w:tc>
        <w:tc>
          <w:tcPr>
            <w:tcW w:type="dxa" w:w="26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  <w:shd w:fill="F1F5F9" w:color="auto" w:val="clear"/>
              </w:rPr>
              <w:t xml:space="preserve">REJECTED</w:t>
            </w:r>
            <w:r>
              <w:rPr>
                <w:b w:val="false"/>
                <w:bCs w:val="false"/>
                <w:sz w:val="17"/>
                <w:szCs w:val="17"/>
              </w:rPr>
              <w:t xml:space="preserve">, motivo normalizado, evento</w:t>
            </w:r>
          </w:p>
        </w:tc>
        <w:tc>
          <w:tcPr>
            <w:tcW w:type="dxa" w:w="12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  <w:shd w:fill="F1F5F9" w:color="auto" w:val="clear"/>
              </w:rPr>
              <w:t xml:space="preserve">nomination-worker</w:t>
            </w:r>
          </w:p>
        </w:tc>
        <w:tc>
          <w:tcPr>
            <w:tcW w:type="dxa" w:w="28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  <w:shd w:fill="F1F5F9" w:color="auto" w:val="clear"/>
              </w:rPr>
              <w:t xml:space="preserve">e5_abmRejectsWithNormalizedReason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E6</w:t>
            </w:r>
          </w:p>
        </w:tc>
        <w:tc>
          <w:tcPr>
            <w:tcW w:type="dxa" w:w="1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ABM no responde</w:t>
            </w:r>
          </w:p>
        </w:tc>
        <w:tc>
          <w:tcPr>
            <w:tcW w:type="dxa" w:w="26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Timeout, reintentos limitados, recuperación</w:t>
            </w:r>
          </w:p>
        </w:tc>
        <w:tc>
          <w:tcPr>
            <w:tcW w:type="dxa" w:w="12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  <w:shd w:fill="F1F5F9" w:color="auto" w:val="clear"/>
              </w:rPr>
              <w:t xml:space="preserve">nomination-worker</w:t>
            </w:r>
          </w:p>
        </w:tc>
        <w:tc>
          <w:tcPr>
            <w:tcW w:type="dxa" w:w="28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  <w:shd w:fill="F1F5F9" w:color="auto" w:val="clear"/>
              </w:rPr>
              <w:t xml:space="preserve">e6a_timeoutAfterExhaustedRetries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  <w:shd w:fill="F1F5F9" w:color="auto" w:val="clear"/>
              </w:rPr>
              <w:t xml:space="preserve">e6b_timeoutSchedulesRetry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E7</w:t>
            </w:r>
          </w:p>
        </w:tc>
        <w:tc>
          <w:tcPr>
            <w:tcW w:type="dxa" w:w="1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ABM envía respuesta duplicada</w:t>
            </w:r>
          </w:p>
        </w:tc>
        <w:tc>
          <w:tcPr>
            <w:tcW w:type="dxa" w:w="26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Procesamiento idempotente del retorno</w:t>
            </w:r>
          </w:p>
        </w:tc>
        <w:tc>
          <w:tcPr>
            <w:tcW w:type="dxa" w:w="12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  <w:shd w:fill="F1F5F9" w:color="auto" w:val="clear"/>
              </w:rPr>
              <w:t xml:space="preserve">nomination-worker</w:t>
            </w:r>
          </w:p>
        </w:tc>
        <w:tc>
          <w:tcPr>
            <w:tcW w:type="dxa" w:w="28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  <w:shd w:fill="F1F5F9" w:color="auto" w:val="clear"/>
              </w:rPr>
              <w:t xml:space="preserve">e7_duplicateCallbackIgnored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E8</w:t>
            </w:r>
          </w:p>
        </w:tc>
        <w:tc>
          <w:tcPr>
            <w:tcW w:type="dxa" w:w="1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Falla al publicar el evento</w:t>
            </w:r>
          </w:p>
        </w:tc>
        <w:tc>
          <w:tcPr>
            <w:tcW w:type="dxa" w:w="26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Consistencia estado⇔publicación</w:t>
            </w:r>
          </w:p>
        </w:tc>
        <w:tc>
          <w:tcPr>
            <w:tcW w:type="dxa" w:w="12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  <w:shd w:fill="F1F5F9" w:color="auto" w:val="clear"/>
              </w:rPr>
              <w:t xml:space="preserve">event-publisher</w:t>
            </w:r>
          </w:p>
        </w:tc>
        <w:tc>
          <w:tcPr>
            <w:tcW w:type="dxa" w:w="28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  <w:shd w:fill="F1F5F9" w:color="auto" w:val="clear"/>
              </w:rPr>
              <w:t xml:space="preserve">e8_successfulPublication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  <w:shd w:fill="F1F5F9" w:color="auto" w:val="clear"/>
              </w:rPr>
              <w:t xml:space="preserve">e8b_failureLeadsToDlq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E9</w:t>
            </w:r>
          </w:p>
        </w:tc>
        <w:tc>
          <w:tcPr>
            <w:tcW w:type="dxa" w:w="1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Consumidor temporalmente fuera de servicio</w:t>
            </w:r>
          </w:p>
        </w:tc>
        <w:tc>
          <w:tcPr>
            <w:tcW w:type="dxa" w:w="26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Entrega desacoplada y recuperación</w:t>
            </w:r>
          </w:p>
        </w:tc>
        <w:tc>
          <w:tcPr>
            <w:tcW w:type="dxa" w:w="12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  <w:shd w:fill="F1F5F9" w:color="auto" w:val="clear"/>
              </w:rPr>
              <w:t xml:space="preserve">event-publisher</w:t>
            </w:r>
          </w:p>
        </w:tc>
        <w:tc>
          <w:tcPr>
            <w:tcW w:type="dxa" w:w="28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5"/>
                <w:szCs w:val="15"/>
                <w:shd w:fill="F1F5F9" w:color="auto" w:val="clear"/>
              </w:rPr>
              <w:t xml:space="preserve">e9_consumerRecoversWithoutLoss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E10</w:t>
            </w:r>
          </w:p>
        </w:tc>
        <w:tc>
          <w:tcPr>
            <w:tcW w:type="dxa" w:w="1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Pico de volumen</w:t>
            </w:r>
          </w:p>
        </w:tc>
        <w:tc>
          <w:tcPr>
            <w:tcW w:type="dxa" w:w="26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Escalado sin perder trazabilidad</w:t>
            </w:r>
          </w:p>
        </w:tc>
        <w:tc>
          <w:tcPr>
            <w:tcW w:type="dxa" w:w="12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Arquitectura</w:t>
            </w:r>
          </w:p>
        </w:tc>
        <w:tc>
          <w:tcPr>
            <w:tcW w:type="dxa" w:w="28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Ver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  <w:shd w:fill="F1F5F9" w:color="auto" w:val="clear"/>
              </w:rPr>
              <w:t xml:space="preserve">docs/01</w:t>
            </w:r>
            <w:r>
              <w:rPr>
                <w:b w:val="false"/>
                <w:bCs w:val="false"/>
                <w:sz w:val="17"/>
                <w:szCs w:val="17"/>
              </w:rPr>
              <w:t xml:space="preserve"> §5 y </w:t>
            </w:r>
            <w:r>
              <w:rPr>
                <w:rFonts w:ascii="Consolas" w:cs="Consolas" w:eastAsia="Consolas" w:hAnsi="Consolas"/>
                <w:color w:val="9F1239"/>
                <w:sz w:val="15"/>
                <w:szCs w:val="15"/>
                <w:shd w:fill="F1F5F9" w:color="auto" w:val="clear"/>
              </w:rPr>
              <w:t xml:space="preserve">docs/09</w:t>
            </w:r>
            <w:r>
              <w:rPr>
                <w:b w:val="false"/>
                <w:bCs w:val="false"/>
                <w:sz w:val="17"/>
                <w:szCs w:val="17"/>
              </w:rPr>
              <w:t xml:space="preserve"> §5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2. Respuestas a las preguntas mínimas</w:t>
      </w:r>
    </w:p>
    <w:p>
      <w:pPr>
        <w:keepNext/>
        <w:spacing w:after="60" w:before="220"/>
      </w:pPr>
      <w:r>
        <w:rPr>
          <w:b/>
          <w:bCs/>
          <w:color w:val="1F3A5F"/>
          <w:sz w:val="21"/>
          <w:szCs w:val="21"/>
        </w:rPr>
        <w:t xml:space="preserve">1. ¿Cuál es la frontera de responsabilidad de cada componente?</w:t>
      </w:r>
    </w:p>
    <w:p>
      <w:pPr>
        <w:spacing w:after="120" w:before="0" w:line="288"/>
      </w:pPr>
      <w:r>
        <w:rPr>
          <w:b w:val="false"/>
          <w:bCs w:val="false"/>
          <w:sz w:val="21"/>
          <w:szCs w:val="21"/>
        </w:rPr>
        <w:t xml:space="preserve">API: validación, idempotencia de ingreso, persistencia inicial y consultas. Worker: envío a ABM, resiliencia, máquina de estados y outbox. Publisher: publicación del evento, reintentos y DLQ. La base es la fuente de verdad; el broker solo transporta. (Ver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docs/01</w:t>
      </w:r>
      <w:r>
        <w:rPr>
          <w:b w:val="false"/>
          <w:bCs w:val="false"/>
          <w:sz w:val="21"/>
          <w:szCs w:val="21"/>
        </w:rPr>
        <w:t xml:space="preserve"> §1.)</w:t>
      </w:r>
    </w:p>
    <w:p>
      <w:pPr>
        <w:keepNext/>
        <w:spacing w:after="60" w:before="220"/>
      </w:pPr>
      <w:r>
        <w:rPr>
          <w:b/>
          <w:bCs/>
          <w:color w:val="1F3A5F"/>
          <w:sz w:val="21"/>
          <w:szCs w:val="21"/>
        </w:rPr>
        <w:t xml:space="preserve">2. ¿Qué devuelve la API al aceptar una operación asincrónica?</w:t>
      </w:r>
    </w:p>
    <w:p>
      <w:pPr>
        <w:spacing w:after="120" w:before="0" w:line="288"/>
      </w:pPr>
      <w:r>
        <w:rPr>
          <w:b/>
          <w:bCs/>
          <w:sz w:val="21"/>
          <w:szCs w:val="21"/>
        </w:rPr>
        <w:t xml:space="preserve">202 Accepted</w:t>
      </w:r>
      <w:r>
        <w:rPr>
          <w:b w:val="false"/>
          <w:bCs w:val="false"/>
          <w:sz w:val="21"/>
          <w:szCs w:val="21"/>
        </w:rPr>
        <w:t xml:space="preserve"> con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nomination_id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request_id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status = RECEIVED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created_at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status_url</w:t>
      </w:r>
      <w:r>
        <w:rPr>
          <w:b w:val="false"/>
          <w:bCs w:val="false"/>
          <w:sz w:val="21"/>
          <w:szCs w:val="21"/>
        </w:rPr>
        <w:t xml:space="preserve"> y cabecera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Location</w:t>
      </w:r>
      <w:r>
        <w:rPr>
          <w:b w:val="false"/>
          <w:bCs w:val="false"/>
          <w:sz w:val="21"/>
          <w:szCs w:val="21"/>
        </w:rPr>
        <w:t xml:space="preserve">. No espera a ABM.</w:t>
      </w:r>
    </w:p>
    <w:p>
      <w:pPr>
        <w:keepNext/>
        <w:spacing w:after="60" w:before="220"/>
      </w:pPr>
      <w:r>
        <w:rPr>
          <w:b/>
          <w:bCs/>
          <w:color w:val="1F3A5F"/>
          <w:sz w:val="21"/>
          <w:szCs w:val="21"/>
        </w:rPr>
        <w:t xml:space="preserve">3. ¿Cómo se define la clave de idempotencia y cuánto tiempo se conserva?</w:t>
      </w:r>
    </w:p>
    <w:p>
      <w:pPr>
        <w:spacing w:after="120" w:before="0" w:line="288"/>
      </w:pPr>
      <w:r>
        <w:rPr>
          <w:b w:val="false"/>
          <w:bCs w:val="false"/>
          <w:sz w:val="21"/>
          <w:szCs w:val="21"/>
        </w:rPr>
        <w:t xml:space="preserve">Header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Idempotency-Key</w:t>
      </w:r>
      <w:r>
        <w:rPr>
          <w:b w:val="false"/>
          <w:bCs w:val="false"/>
          <w:sz w:val="21"/>
          <w:szCs w:val="21"/>
        </w:rPr>
        <w:t xml:space="preserve"> (fallback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request_id</w:t>
      </w:r>
      <w:r>
        <w:rPr>
          <w:b w:val="false"/>
          <w:bCs w:val="false"/>
          <w:sz w:val="21"/>
          <w:szCs w:val="21"/>
        </w:rPr>
        <w:t xml:space="preserve">). Se persiste única con huella SHA-256 del cuerpo. Retención por defecto </w:t>
      </w:r>
      <w:r>
        <w:rPr>
          <w:b/>
          <w:bCs/>
          <w:sz w:val="21"/>
          <w:szCs w:val="21"/>
        </w:rPr>
        <w:t xml:space="preserve">24 h</w:t>
      </w:r>
      <w:r>
        <w:rPr>
          <w:b w:val="false"/>
          <w:bCs w:val="false"/>
          <w:sz w:val="21"/>
          <w:szCs w:val="21"/>
        </w:rPr>
        <w:t xml:space="preserve"> (configurable), mayor que el mayor timeout razonable del cliente.</w:t>
      </w:r>
    </w:p>
    <w:p>
      <w:pPr>
        <w:keepNext/>
        <w:spacing w:after="60" w:before="220"/>
      </w:pPr>
      <w:r>
        <w:rPr>
          <w:b/>
          <w:bCs/>
          <w:color w:val="1F3A5F"/>
          <w:sz w:val="21"/>
          <w:szCs w:val="21"/>
        </w:rPr>
        <w:t xml:space="preserve">4. ¿Cómo se evita publicar un evento si la transacción de negocio no quedó confirmada?</w:t>
      </w:r>
    </w:p>
    <w:p>
      <w:pPr>
        <w:spacing w:after="120" w:before="0" w:line="288"/>
      </w:pPr>
      <w:r>
        <w:rPr>
          <w:b w:val="false"/>
          <w:bCs w:val="false"/>
          <w:sz w:val="21"/>
          <w:szCs w:val="21"/>
        </w:rPr>
        <w:t xml:space="preserve">Patrón </w:t>
      </w:r>
      <w:r>
        <w:rPr>
          <w:b/>
          <w:bCs/>
          <w:sz w:val="21"/>
          <w:szCs w:val="21"/>
        </w:rPr>
        <w:t xml:space="preserve">Outbox transaccional</w:t>
      </w:r>
      <w:r>
        <w:rPr>
          <w:b w:val="false"/>
          <w:bCs w:val="false"/>
          <w:sz w:val="21"/>
          <w:szCs w:val="21"/>
        </w:rPr>
        <w:t xml:space="preserve">: el estado terminal y el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outbox_event</w:t>
      </w:r>
      <w:r>
        <w:rPr>
          <w:b w:val="false"/>
          <w:bCs w:val="false"/>
          <w:sz w:val="21"/>
          <w:szCs w:val="21"/>
        </w:rPr>
        <w:t xml:space="preserve"> se escriben en la </w:t>
      </w:r>
      <w:r>
        <w:rPr>
          <w:b/>
          <w:bCs/>
          <w:sz w:val="21"/>
          <w:szCs w:val="21"/>
        </w:rPr>
        <w:t xml:space="preserve">misma transacción</w:t>
      </w:r>
      <w:r>
        <w:rPr>
          <w:b w:val="false"/>
          <w:bCs w:val="false"/>
          <w:sz w:val="21"/>
          <w:szCs w:val="21"/>
        </w:rPr>
        <w:t xml:space="preserve">. Si la transacción falla, no hay ni estado ni evento. La publicación ocurre después, fuera de la transacción, leyendo el outbox.</w:t>
      </w:r>
    </w:p>
    <w:p>
      <w:pPr>
        <w:keepNext/>
        <w:spacing w:after="60" w:before="220"/>
      </w:pPr>
      <w:r>
        <w:rPr>
          <w:b/>
          <w:bCs/>
          <w:color w:val="1F3A5F"/>
          <w:sz w:val="21"/>
          <w:szCs w:val="21"/>
        </w:rPr>
        <w:t xml:space="preserve">5. ¿Cómo se procesa de forma segura una respuesta duplicada de ABM?</w:t>
      </w:r>
    </w:p>
    <w:p>
      <w:pPr>
        <w:spacing w:after="120" w:before="0" w:line="288"/>
      </w:pPr>
      <w:r>
        <w:rPr>
          <w:b w:val="false"/>
          <w:bCs w:val="false"/>
          <w:sz w:val="21"/>
          <w:szCs w:val="21"/>
        </w:rPr>
        <w:t xml:space="preserve">El callback es idempotente: si la nominación ya es terminal, se ignora (no cambia estado ni publica un segundo evento). Se apoya además en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eventId</w:t>
      </w:r>
      <w:r>
        <w:rPr>
          <w:b w:val="false"/>
          <w:bCs w:val="false"/>
          <w:sz w:val="21"/>
          <w:szCs w:val="21"/>
        </w:rPr>
        <w:t xml:space="preserve"> para deduplicar la publicación.</w:t>
      </w:r>
    </w:p>
    <w:p>
      <w:pPr>
        <w:keepNext/>
        <w:spacing w:after="60" w:before="220"/>
      </w:pPr>
      <w:r>
        <w:rPr>
          <w:b/>
          <w:bCs/>
          <w:color w:val="1F3A5F"/>
          <w:sz w:val="21"/>
          <w:szCs w:val="21"/>
        </w:rPr>
        <w:t xml:space="preserve">6. ¿Cómo se distingue un rechazo funcional de una falla técnica?</w:t>
      </w:r>
    </w:p>
    <w:p>
      <w:pPr>
        <w:spacing w:after="120" w:before="0" w:line="288"/>
      </w:pPr>
      <w:r>
        <w:rPr>
          <w:b w:val="false"/>
          <w:bCs w:val="false"/>
          <w:sz w:val="21"/>
          <w:szCs w:val="21"/>
        </w:rPr>
        <w:t xml:space="preserve">Rechazo funcional →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REJECTED</w:t>
      </w:r>
      <w:r>
        <w:rPr>
          <w:b w:val="false"/>
          <w:bCs w:val="false"/>
          <w:sz w:val="21"/>
          <w:szCs w:val="21"/>
        </w:rPr>
        <w:t xml:space="preserve"> (motivo normalizado, </w:t>
      </w:r>
      <w:r>
        <w:rPr>
          <w:b/>
          <w:bCs/>
          <w:sz w:val="21"/>
          <w:szCs w:val="21"/>
        </w:rPr>
        <w:t xml:space="preserve">no</w:t>
      </w:r>
      <w:r>
        <w:rPr>
          <w:b w:val="false"/>
          <w:bCs w:val="false"/>
          <w:sz w:val="21"/>
          <w:szCs w:val="21"/>
        </w:rPr>
        <w:t xml:space="preserve"> reintentable). Falla técnica →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FAILED</w:t>
      </w:r>
      <w:r>
        <w:rPr>
          <w:b w:val="false"/>
          <w:b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TIMEOUT</w:t>
      </w:r>
      <w:r>
        <w:rPr>
          <w:b w:val="false"/>
          <w:bCs w:val="false"/>
          <w:sz w:val="21"/>
          <w:szCs w:val="21"/>
        </w:rPr>
        <w:t xml:space="preserve"> (con reintentos). La distinción se basa en el tipo de respuesta (regla de negocio vs. timeout/5xx/error).</w:t>
      </w:r>
    </w:p>
    <w:p>
      <w:pPr>
        <w:keepNext/>
        <w:spacing w:after="60" w:before="220"/>
      </w:pPr>
      <w:r>
        <w:rPr>
          <w:b/>
          <w:bCs/>
          <w:color w:val="1F3A5F"/>
          <w:sz w:val="21"/>
          <w:szCs w:val="21"/>
        </w:rPr>
        <w:t xml:space="preserve">7. ¿Qué política de reintentos se aplica y qué errores no deberían reintentarse?</w:t>
      </w:r>
    </w:p>
    <w:p>
      <w:pPr>
        <w:spacing w:after="120" w:before="0" w:line="288"/>
      </w:pPr>
      <w:r>
        <w:rPr>
          <w:b w:val="false"/>
          <w:bCs w:val="false"/>
          <w:sz w:val="21"/>
          <w:szCs w:val="21"/>
        </w:rPr>
        <w:t xml:space="preserve">Backoff exponencial con jitter, máximo configurable. No se reintentan: errores de validación (4xx del cliente) ni rechazos funcionales de ABM. Sí se reintentan: timeout, 5xx, 429.</w:t>
      </w:r>
    </w:p>
    <w:p>
      <w:pPr>
        <w:keepNext/>
        <w:spacing w:after="60" w:before="220"/>
      </w:pPr>
      <w:r>
        <w:rPr>
          <w:b/>
          <w:bCs/>
          <w:color w:val="1F3A5F"/>
          <w:sz w:val="21"/>
          <w:szCs w:val="21"/>
        </w:rPr>
        <w:t xml:space="preserve">8. ¿Cómo se consulta el estado actual y el historial?</w:t>
      </w:r>
    </w:p>
    <w:p>
      <w:pPr>
        <w:spacing w:after="120" w:before="0" w:line="288"/>
      </w:pP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GET /v1/nominations/{id}</w:t>
      </w:r>
      <w:r>
        <w:rPr>
          <w:b w:val="false"/>
          <w:bCs w:val="false"/>
          <w:sz w:val="21"/>
          <w:szCs w:val="21"/>
        </w:rPr>
        <w:t xml:space="preserve"> (estado actual) y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GET /v1/nominations/{id}/history</w:t>
      </w:r>
      <w:r>
        <w:rPr>
          <w:b w:val="false"/>
          <w:bCs w:val="false"/>
          <w:sz w:val="21"/>
          <w:szCs w:val="21"/>
        </w:rPr>
        <w:t xml:space="preserve"> (historial de cambios). Ambos enmascaran datos sensibles.</w:t>
      </w:r>
    </w:p>
    <w:p>
      <w:pPr>
        <w:keepNext/>
        <w:spacing w:after="60" w:before="220"/>
      </w:pPr>
      <w:r>
        <w:rPr>
          <w:b/>
          <w:bCs/>
          <w:color w:val="1F3A5F"/>
          <w:sz w:val="21"/>
          <w:szCs w:val="21"/>
        </w:rPr>
        <w:t xml:space="preserve">9. ¿Cómo se correlaciona una solicitud desde el canal hasta el evento final?</w:t>
      </w:r>
    </w:p>
    <w:p>
      <w:pPr>
        <w:spacing w:after="120" w:before="0" w:line="288"/>
      </w:pP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X-Correlation-Id</w:t>
      </w:r>
      <w:r>
        <w:rPr>
          <w:b w:val="false"/>
          <w:bCs w:val="false"/>
          <w:sz w:val="21"/>
          <w:szCs w:val="21"/>
        </w:rPr>
        <w:t xml:space="preserve"> (generado si falta) →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nomination.correlation_id</w:t>
      </w:r>
      <w:r>
        <w:rPr>
          <w:b w:val="false"/>
          <w:bCs w:val="false"/>
          <w:sz w:val="21"/>
          <w:szCs w:val="21"/>
        </w:rPr>
        <w:t xml:space="preserve"> → logs → llamada a ABM → callback → evento (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correlationId</w:t>
      </w:r>
      <w:r>
        <w:rPr>
          <w:b w:val="false"/>
          <w:bCs w:val="false"/>
          <w:sz w:val="21"/>
          <w:szCs w:val="21"/>
        </w:rPr>
        <w:t xml:space="preserve">). Con ese id se reconstruye el recorrido punta a punta.</w:t>
      </w:r>
    </w:p>
    <w:p>
      <w:pPr>
        <w:keepNext/>
        <w:spacing w:after="60" w:before="220"/>
      </w:pPr>
      <w:r>
        <w:rPr>
          <w:b/>
          <w:bCs/>
          <w:color w:val="1F3A5F"/>
          <w:sz w:val="21"/>
          <w:szCs w:val="21"/>
        </w:rPr>
        <w:t xml:space="preserve">10. ¿Cómo se versionan APIs y eventos sin romper consumidores?</w:t>
      </w:r>
    </w:p>
    <w:p>
      <w:pPr>
        <w:spacing w:after="120" w:before="0" w:line="288"/>
      </w:pPr>
      <w:r>
        <w:rPr>
          <w:b w:val="false"/>
          <w:bCs w:val="false"/>
          <w:sz w:val="21"/>
          <w:szCs w:val="21"/>
        </w:rPr>
        <w:t xml:space="preserve">API versionada por ruta (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/v1</w:t>
      </w:r>
      <w:r>
        <w:rPr>
          <w:b w:val="false"/>
          <w:bCs w:val="false"/>
          <w:sz w:val="21"/>
          <w:szCs w:val="21"/>
        </w:rPr>
        <w:t xml:space="preserve">). Eventos con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eventVersion</w:t>
      </w:r>
      <w:r>
        <w:rPr>
          <w:b w:val="false"/>
          <w:bCs w:val="false"/>
          <w:sz w:val="21"/>
          <w:szCs w:val="21"/>
        </w:rPr>
        <w:t xml:space="preserve"> y topic versionado. Solo cambios aditivos compatibles; cambios incompatibles → nueva versión con doble publicación; Schema Registry en CI.</w:t>
      </w:r>
    </w:p>
    <w:p>
      <w:pPr>
        <w:keepNext/>
        <w:spacing w:after="60" w:before="220"/>
      </w:pPr>
      <w:r>
        <w:rPr>
          <w:b/>
          <w:bCs/>
          <w:color w:val="1F3A5F"/>
          <w:sz w:val="21"/>
          <w:szCs w:val="21"/>
        </w:rPr>
        <w:t xml:space="preserve">11. ¿Qué indicadores permiten detectar degradación antes de un incidente?</w:t>
      </w:r>
    </w:p>
    <w:p>
      <w:pPr>
        <w:spacing w:after="120" w:before="0" w:line="288"/>
      </w:pP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nominations.pending</w:t>
      </w:r>
      <w:r>
        <w:rPr>
          <w:b w:val="false"/>
          <w:b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inflight</w:t>
      </w:r>
      <w:r>
        <w:rPr>
          <w:b w:val="false"/>
          <w:bCs w:val="false"/>
          <w:sz w:val="21"/>
          <w:szCs w:val="21"/>
        </w:rPr>
        <w:t xml:space="preserve"> (backlog), tasa de reintentos/timeouts, estado del circuit breaker,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outbox.pending</w:t>
      </w:r>
      <w:r>
        <w:rPr>
          <w:b w:val="false"/>
          <w:bCs w:val="false"/>
          <w:sz w:val="21"/>
          <w:szCs w:val="21"/>
        </w:rPr>
        <w:t xml:space="preserve"> y antigüedad, tamaño de DLQ, tasa de duplicados. (Ver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docs/07</w:t>
      </w:r>
      <w:r>
        <w:rPr>
          <w:b w:val="false"/>
          <w:bCs w:val="false"/>
          <w:sz w:val="21"/>
          <w:szCs w:val="21"/>
        </w:rPr>
        <w:t xml:space="preserve"> §3.)</w:t>
      </w:r>
    </w:p>
    <w:p>
      <w:pPr>
        <w:keepNext/>
        <w:spacing w:after="60" w:before="220"/>
      </w:pPr>
      <w:r>
        <w:rPr>
          <w:b/>
          <w:bCs/>
          <w:color w:val="1F3A5F"/>
          <w:sz w:val="21"/>
          <w:szCs w:val="21"/>
        </w:rPr>
        <w:t xml:space="preserve">12. ¿Qué cambia al multiplicar por cien el volumen?</w:t>
      </w:r>
    </w:p>
    <w:p>
      <w:pPr>
        <w:spacing w:after="120" w:before="0" w:line="288"/>
      </w:pPr>
      <w:r>
        <w:rPr>
          <w:b w:val="false"/>
          <w:bCs w:val="false"/>
          <w:sz w:val="21"/>
          <w:szCs w:val="21"/>
        </w:rPr>
        <w:t xml:space="preserve">Escalado horizontal (API/worker/publisher sin estado), más particiones de Kafka, particionado/archivado de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nomination</w:t>
      </w:r>
      <w:r>
        <w:rPr>
          <w:b w:val="false"/>
          <w:b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outbox</w:t>
      </w:r>
      <w:r>
        <w:rPr>
          <w:b w:val="false"/>
          <w:bCs w:val="false"/>
          <w:sz w:val="21"/>
          <w:szCs w:val="21"/>
        </w:rPr>
        <w:t xml:space="preserve">, réplicas de lectura, ajuste de pools/batch/polling y autoscaling por backlog. (Ver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docs/09</w:t>
      </w:r>
      <w:r>
        <w:rPr>
          <w:b w:val="false"/>
          <w:bCs w:val="false"/>
          <w:sz w:val="21"/>
          <w:szCs w:val="21"/>
        </w:rPr>
        <w:t xml:space="preserve"> §5.)</w:t>
      </w: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3. Cómo verificar todo localmente</w:t>
      </w:r>
    </w:p>
    <w:p>
      <w:pPr>
        <w:keepLines/>
        <w:pBdr>
          <w:left w:val="single" w:color="2E5C9A" w:sz="18" w:space="6"/>
        </w:pBdr>
        <w:shd w:fill="F1F5F9" w:color="auto" w:val="clear"/>
        <w:spacing w:after="180" w:before="10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mvn verify    # 14 pruebas de integración (E1–E9) + compilación</w:t>
      </w:r>
    </w:p>
    <w:p>
      <w:pPr>
        <w:spacing w:after="120" w:before="0" w:line="288"/>
      </w:pPr>
      <w:r>
        <w:rPr>
          <w:b w:val="false"/>
          <w:bCs w:val="false"/>
          <w:sz w:val="21"/>
          <w:szCs w:val="21"/>
        </w:rPr>
        <w:t xml:space="preserve">Los escenarios E1–E9 quedan cubiertos por pruebas automatizadas; E10 es una propiedad de diseño documentada (escalado horizontal + reclamo optimista + backpressure).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60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Documento 10  ·  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de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jc w:val="right"/>
    </w:pPr>
    <w:r>
      <w:rPr>
        <w:color w:val="64748B"/>
        <w:sz w:val="16"/>
        <w:szCs w:val="16"/>
      </w:rPr>
      <w:t xml:space="preserve">Nominación de cuentas y tarjetas  ·  Documentación de diseño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  <w:rPr>
        <w:color w:val="2E5C9A"/>
      </w:rPr>
    </w:lvl>
    <w:lvl w:ilvl="1" w15:tentative="1">
      <w:start w:val="1"/>
      <w:numFmt w:val="bullet"/>
      <w:lvlText w:val="–"/>
      <w:lvlJc w:val="left"/>
      <w:pPr>
        <w:ind w:left="960" w:hanging="260"/>
      </w:pPr>
      <w:rPr>
        <w:color w:val="2E5C9A"/>
      </w:rPr>
    </w:lvl>
    <w:lvl w:ilvl="2" w15:tentative="1">
      <w:start w:val="1"/>
      <w:numFmt w:val="bullet"/>
      <w:lvlText w:val="▪"/>
      <w:lvlJc w:val="left"/>
      <w:pPr>
        <w:ind w:left="1420" w:hanging="260"/>
      </w:pPr>
      <w:rPr>
        <w:color w:val="2E5C9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BD5E1" w:sz="4" w:space="3"/>
      </w:pBdr>
      <w:spacing w:after="140" w:before="36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2E5C9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10 - Escenarios obligatorios (E1–E10) y respuestas a las preguntas mínimas</dc:title>
  <dc:creator>Documentación técnica</dc:creator>
  <cp:lastModifiedBy>Un-named</cp:lastModifiedBy>
  <cp:revision>1</cp:revision>
  <dcterms:created xsi:type="dcterms:W3CDTF">2026-10-13T01:26:40.676Z</dcterms:created>
  <dcterms:modified xsi:type="dcterms:W3CDTF">2026-10-13T01:26:40.676Z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