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33.png" ContentType="image/png"/>
  <Override PartName="/word/media/rId38.png" ContentType="image/png"/>
  <Override PartName="/word/media/rId47.png" ContentType="image/png"/>
  <Override PartName="/word/media/rId54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42.png" ContentType="image/png"/>
  <Override PartName="/word/media/rId89.png" ContentType="image/png"/>
  <Override PartName="/word/media/rId98.png" ContentType="image/png"/>
  <Override PartName="/word/media/rId107.png" ContentType="image/png"/>
  <Override PartName="/word/media/rId112.png" ContentType="image/png"/>
  <Override PartName="/word/media/rId120.png" ContentType="image/png"/>
  <Override PartName="/word/media/rId133.png" ContentType="image/png"/>
  <Override PartName="/word/media/rId138.png" ContentType="image/png"/>
  <Override PartName="/word/media/rId1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Três regimes, um programa: documentação, identificação causal e equidade do Bolsa Família</w:t>
      </w:r>
    </w:p>
    <w:p>
      <w:pPr>
        <w:pStyle w:val="BodyText"/>
      </w:pPr>
      <w:r>
        <w:rPr>
          <w:i/>
          <w:iCs/>
        </w:rPr>
        <w:t xml:space="preserve">Three regimes, one program: documentation, causal identification, and equity of Bolsa Família</w:t>
      </w:r>
    </w:p>
    <w:p>
      <w:pPr>
        <w:pStyle w:val="BodyText"/>
      </w:pPr>
      <w:r>
        <w:rPr>
          <w:i/>
          <w:iCs/>
        </w:rPr>
        <w:t xml:space="preserve">Tres regímenes, un programa: documentación, identificación causal y equidad de Bolsa Família</w:t>
      </w:r>
    </w:p>
    <w:p>
      <w:pPr>
        <w:pStyle w:val="BodyText"/>
      </w:pPr>
      <w:r>
        <w:t xml:space="preserve">[Identificação dos autores omitida para avaliação por pares às cegas]</w:t>
      </w:r>
    </w:p>
    <w:bookmarkStart w:id="9" w:name="resumo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Este trabalho analisa o Bolsa Família entre 2013 e 2025, integrando três dimensões usualmente tratadas em separado: documentação reproduzível dos microdados, identificação causal das transições institucionais e equidade distributiva. Consolidam-se microdados mensais do Portal da Transparência (mais de 2,2 bilhões de registros) em painel estado</w:t>
      </w:r>
      <m:oMath>
        <m:r>
          <m:rPr>
            <m:sty m:val="p"/>
          </m:rPr>
          <m:t>×</m:t>
        </m:r>
      </m:oMath>
      <w:r>
        <w:t xml:space="preserve">ano, via arquitetura</w:t>
      </w:r>
      <w:r>
        <w:t xml:space="preserve"> </w:t>
      </w:r>
      <w:r>
        <w:rPr>
          <w:i/>
          <w:iCs/>
        </w:rPr>
        <w:t xml:space="preserve">medallion</w:t>
      </w:r>
      <w:r>
        <w:t xml:space="preserve">, com deflação pelo IPCA (base dezembro de 2021). A identificação causal articula diferenças-em-diferenças e efeitos fixos de dois sentidos sobre a Medida Provisória 1.061/2021 e a Lei 14.601/2023, com inferência robusta por</w:t>
      </w:r>
      <w:r>
        <w:t xml:space="preserve"> </w:t>
      </w:r>
      <w:r>
        <w:rPr>
          <w:i/>
          <w:iCs/>
        </w:rPr>
        <w:t xml:space="preserve">wild-cluster bootstrap</w:t>
      </w:r>
      <w:r>
        <w:t xml:space="preserve">, testes de tendências paralelas, placebo e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. A equidade é medida pelo índice de Kakwani, ordenado pelo IDH municipal, e por um índice de necessidade. Um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internacional compara o programa a quatro transferências condicionadas latino-americanas. Em termos reais, o gasto cresceu 283 % entre 2018 e 2024. O efeito causal é grande sob erros HC3, mas indistinguível de zero sob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robusto, e o teste de tendências paralelas é rejeitado — ilustrando o ônus identificacional com poucos</w:t>
      </w:r>
      <w:r>
        <w:t xml:space="preserve"> </w:t>
      </w:r>
      <w:r>
        <w:rPr>
          <w:i/>
          <w:iCs/>
        </w:rPr>
        <w:t xml:space="preserve">clusters</w:t>
      </w:r>
      <w:r>
        <w:t xml:space="preserve">. O índice de Kakwani confirma a progressividade do programa, porém decrescente entre regimes; o índice de necessidade revela que estados líderes em valor per capita estão subatendidos frente à intensidade local da pobreza. O artigo publica o</w:t>
      </w:r>
      <w:r>
        <w:t xml:space="preserve"> </w:t>
      </w:r>
      <w:r>
        <w:rPr>
          <w:i/>
          <w:iCs/>
        </w:rPr>
        <w:t xml:space="preserve">pipeline</w:t>
      </w:r>
      <w:r>
        <w:t xml:space="preserve">, os dados e os testes automatizados, viabilizando reprodução integral.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Bolsa Família; transferência condicionada de renda; avaliação de políticas públicas; equidade distributiva; reprodutibilidade.</w:t>
      </w:r>
    </w:p>
    <w:p>
      <w:pPr>
        <w:pStyle w:val="BodyText"/>
      </w:pPr>
      <w:r>
        <w:rPr>
          <w:b/>
          <w:bCs/>
        </w:rPr>
        <w:t xml:space="preserve">Códigos JEL:</w:t>
      </w:r>
      <w:r>
        <w:t xml:space="preserve"> </w:t>
      </w:r>
      <w:r>
        <w:t xml:space="preserve">H53; I38; I32; D63; C23.</w:t>
      </w:r>
    </w:p>
    <w:bookmarkEnd w:id="9"/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analyzes Brazil’s Bolsa Família program between 2013 and 2025, integrating three dimensions usually treated separately: reproducible microdata documentation, causal identification of the institutional transitions, and distributive equity. Monthly microdata from the federal Transparency Portal (over 2.2 billion records) are consolidated into a state-by-year panel through a</w:t>
      </w:r>
      <w:r>
        <w:t xml:space="preserve"> </w:t>
      </w:r>
      <w:r>
        <w:rPr>
          <w:i/>
          <w:iCs/>
        </w:rPr>
        <w:t xml:space="preserve">medallion</w:t>
      </w:r>
      <w:r>
        <w:t xml:space="preserve"> </w:t>
      </w:r>
      <w:r>
        <w:t xml:space="preserve">architecture, deflated by the IPCA index (December 2021 base). Causal identification combines difference-in-differences and two-way fixed-effects estimators on Provisional Measure 1.061/2021 and Law 14.601/2023, with robust inference via</w:t>
      </w:r>
      <w:r>
        <w:t xml:space="preserve"> </w:t>
      </w:r>
      <w:r>
        <w:rPr>
          <w:i/>
          <w:iCs/>
        </w:rPr>
        <w:t xml:space="preserve">wild-cluster bootstrap</w:t>
      </w:r>
      <w:r>
        <w:t xml:space="preserve">, parallel-trends tests, placebo, and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 </w:t>
      </w:r>
      <w:r>
        <w:t xml:space="preserve">checks. Equity is measured with the Kakwani index ranked by the municipal Human Development Index and with a need index. An international benchmark compares the program with four Latin American conditional cash transfers. In real terms, spending grew 283 % between 2018 and 2024. The causal effect is large under HC3 errors but indistinguishable from zero under robust</w:t>
      </w:r>
      <w:r>
        <w:t xml:space="preserve"> </w:t>
      </w:r>
      <w:r>
        <w:rPr>
          <w:i/>
          <w:iCs/>
        </w:rPr>
        <w:t xml:space="preserve">bootstrap</w:t>
      </w:r>
      <w:r>
        <w:t xml:space="preserve">, and the parallel-trends test is rejected — illustrating the identification burden with few</w:t>
      </w:r>
      <w:r>
        <w:t xml:space="preserve"> </w:t>
      </w:r>
      <w:r>
        <w:rPr>
          <w:i/>
          <w:iCs/>
        </w:rPr>
        <w:t xml:space="preserve">clusters</w:t>
      </w:r>
      <w:r>
        <w:t xml:space="preserve">. The Kakwani index confirms the program’s progressivity, although it declines across regimes; the need index reveals that states leading in per-capita value are underprovisioned relative to local poverty intensity. The paper releases the pipeline, dataset, and automated tests, enabling full reproduction.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Bolsa Família; conditional cash transfers; public policy evaluation; distributive equity; reproducibility.</w:t>
      </w:r>
    </w:p>
    <w:bookmarkEnd w:id="10"/>
    <w:bookmarkStart w:id="11" w:name="resumen"/>
    <w:p>
      <w:pPr>
        <w:pStyle w:val="Heading1"/>
      </w:pPr>
      <w:r>
        <w:t xml:space="preserve">Resumen</w:t>
      </w:r>
    </w:p>
    <w:p>
      <w:pPr>
        <w:pStyle w:val="FirstParagraph"/>
      </w:pPr>
      <w:r>
        <w:t xml:space="preserve">Este trabajo analiza el programa Bolsa Família entre 2013 y 2025 integrando tres dimensiones habitualmente tratadas por separado: documentación reproducible de los microdatos, identificación causal de las transiciones institucionales y equidad distributiva. Se consolidan microdatos mensuales del Portal de la Transparencia (más de 2,2 mil millones de registros) en un panel estado</w:t>
      </w:r>
      <m:oMath>
        <m:r>
          <m:rPr>
            <m:sty m:val="p"/>
          </m:rPr>
          <m:t>×</m:t>
        </m:r>
      </m:oMath>
      <w:r>
        <w:t xml:space="preserve">año, mediante una arquitectura</w:t>
      </w:r>
      <w:r>
        <w:t xml:space="preserve"> </w:t>
      </w:r>
      <w:r>
        <w:rPr>
          <w:i/>
          <w:iCs/>
        </w:rPr>
        <w:t xml:space="preserve">medallion</w:t>
      </w:r>
      <w:r>
        <w:t xml:space="preserve">, con deflación por el IPCA (base diciembre de 2021). La identificación causal combina diferencias-en-diferencias y efectos fijos de dos vías sobre la Medida Provisional 1.061/2021 y la Ley 14.601/2023, con inferencia robusta por</w:t>
      </w:r>
      <w:r>
        <w:t xml:space="preserve"> </w:t>
      </w:r>
      <w:r>
        <w:rPr>
          <w:i/>
          <w:iCs/>
        </w:rPr>
        <w:t xml:space="preserve">wild-cluster bootstrap</w:t>
      </w:r>
      <w:r>
        <w:t xml:space="preserve">, pruebas de tendencias paralelas, placebo y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. La equidad se mide con el índice de Kakwani, ordenado por el IDH municipal, y con un índice de necesidad. Un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internacional compara el programa con cuatro transferencias monetarias condicionadas latinoamericanas. En términos reales, el gasto creció 283 % entre 2018 y 2024. El efecto causal es grande con errores HC3, pero indistinguible de cero bajo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robusto, y la prueba de tendencias paralelas se rechaza, ilustrando la carga de identificación con pocos</w:t>
      </w:r>
      <w:r>
        <w:t xml:space="preserve"> </w:t>
      </w:r>
      <w:r>
        <w:rPr>
          <w:i/>
          <w:iCs/>
        </w:rPr>
        <w:t xml:space="preserve">clusters</w:t>
      </w:r>
      <w:r>
        <w:t xml:space="preserve">. El índice de Kakwani confirma la progresividad del programa, aunque decreciente entre regímenes; el índice de necesidad revela que los estados líderes en valor per cápita están subatendidos frente a la intensidad local de la pobreza. El artículo publica el</w:t>
      </w:r>
      <w:r>
        <w:t xml:space="preserve"> </w:t>
      </w:r>
      <w:r>
        <w:rPr>
          <w:i/>
          <w:iCs/>
        </w:rPr>
        <w:t xml:space="preserve">pipeline</w:t>
      </w:r>
      <w:r>
        <w:t xml:space="preserve">, los datos y las pruebas automatizadas, permitiendo su reproducción integral.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Bolsa Família; transferencias monetarias condicionadas; evaluación de políticas públicas; equidad distributiva; reproducibilidad.</w:t>
      </w:r>
    </w:p>
    <w:bookmarkEnd w:id="11"/>
    <w:bookmarkStart w:id="12" w:name="sec:intro"/>
    <w:p>
      <w:pPr>
        <w:pStyle w:val="Heading1"/>
      </w:pPr>
      <w:r>
        <w:t xml:space="preserve">Introdução</w:t>
      </w:r>
    </w:p>
    <w:p>
      <w:pPr>
        <w:pStyle w:val="FirstParagraph"/>
      </w:pPr>
      <w:r>
        <w:t xml:space="preserve">O Programa Bolsa Família (PBF), criado pela Lei n. 10.836, de 9 de</w:t>
      </w:r>
      <w:r>
        <w:t xml:space="preserve"> </w:t>
      </w:r>
      <w:r>
        <w:t xml:space="preserve">janeiro de 2004, consolidou-se como o principal instrumento brasileiro</w:t>
      </w:r>
      <w:r>
        <w:t xml:space="preserve"> </w:t>
      </w:r>
      <w:r>
        <w:t xml:space="preserve">de transferência condicionada de renda. Em duas décadas, atravessou</w:t>
      </w:r>
      <w:r>
        <w:t xml:space="preserve"> </w:t>
      </w:r>
      <w:r>
        <w:t xml:space="preserve">três regimes institucionais: PBF clássico (2003),</w:t>
      </w:r>
      <w:r>
        <w:t xml:space="preserve"> </w:t>
      </w:r>
      <w:r>
        <w:t xml:space="preserve">Auxílio Brasil (Nov. 2021Fev. 2023, instituído pela</w:t>
      </w:r>
      <w:r>
        <w:t xml:space="preserve"> </w:t>
      </w:r>
      <w:r>
        <w:t xml:space="preserve">Medida Provisória n. 1.061/2021 sob o governo Bolsonaro) e Novo</w:t>
      </w:r>
      <w:r>
        <w:t xml:space="preserve"> </w:t>
      </w:r>
      <w:r>
        <w:t xml:space="preserve">Bolsa Família (Mar. 2023 em diante, restabelecido pela Lei</w:t>
      </w:r>
      <w:r>
        <w:t xml:space="preserve"> </w:t>
      </w:r>
      <w:r>
        <w:t xml:space="preserve">n. 14.601/2023 sob o governo Lula). Cada regime trouxe alterações</w:t>
      </w:r>
      <w:r>
        <w:t xml:space="preserve"> </w:t>
      </w:r>
      <w:r>
        <w:t xml:space="preserve">no desenho do benefício, na cobertura, no valor pago e nos critérios</w:t>
      </w:r>
      <w:r>
        <w:t xml:space="preserve"> </w:t>
      </w:r>
      <w:r>
        <w:t xml:space="preserve">de elegibilidade.</w:t>
      </w:r>
    </w:p>
    <w:p>
      <w:pPr>
        <w:pStyle w:val="BodyText"/>
      </w:pPr>
      <w:r>
        <w:t xml:space="preserve">A literatura acadêmica produziu evidências consistentes sobre os</w:t>
      </w:r>
      <w:r>
        <w:t xml:space="preserve"> </w:t>
      </w:r>
      <w:r>
        <w:t xml:space="preserve">efeitos do PBF na redução da pobreza extrema, na escolarização</w:t>
      </w:r>
      <w:r>
        <w:t xml:space="preserve"> </w:t>
      </w:r>
      <w:r>
        <w:t xml:space="preserve">infantil, na frequência de pré-natal e na ampliação do consumo nas</w:t>
      </w:r>
      <w:r>
        <w:t xml:space="preserve"> </w:t>
      </w:r>
      <w:r>
        <w:t xml:space="preserve">regiões mais pobres do país (SOARES, 2010; PAES-SOUSA et al., 2011; CAMPELLO; NERI, 2013). A literatura internacional reconheceu o</w:t>
      </w:r>
      <w:r>
        <w:t xml:space="preserve"> </w:t>
      </w:r>
      <w:r>
        <w:t xml:space="preserve">programa como referência mundial em transferência</w:t>
      </w:r>
      <w:r>
        <w:t xml:space="preserve"> </w:t>
      </w:r>
      <w:r>
        <w:t xml:space="preserve">condicionada (FISZBEIN; SCHADY, 2009), inspirando desenhos congêneres</w:t>
      </w:r>
      <w:r>
        <w:t xml:space="preserve"> </w:t>
      </w:r>
      <w:r>
        <w:t xml:space="preserve">em mais de quarenta países.</w:t>
      </w:r>
    </w:p>
    <w:p>
      <w:pPr>
        <w:pStyle w:val="BodyText"/>
      </w:pPr>
      <w:r>
        <w:t xml:space="preserve">Apesar dessa centralidade, persistem três lacunas analíticas</w:t>
      </w:r>
      <w:r>
        <w:t xml:space="preserve"> </w:t>
      </w:r>
      <w:r>
        <w:t xml:space="preserve">distintas que este trabalho endereça em estrutura única.</w:t>
      </w:r>
      <w:r>
        <w:t xml:space="preserve"> </w:t>
      </w:r>
      <w:r>
        <w:rPr>
          <w:b/>
          <w:bCs/>
        </w:rPr>
        <w:t xml:space="preserve">Primeiro</w:t>
      </w:r>
      <w:r>
        <w:t xml:space="preserve">, o histórico consolidado dos microdados de</w:t>
      </w:r>
      <w:r>
        <w:t xml:space="preserve"> </w:t>
      </w:r>
      <w:r>
        <w:t xml:space="preserve">execução do programa permanece de acesso custoso: o Portal da</w:t>
      </w:r>
      <w:r>
        <w:t xml:space="preserve"> </w:t>
      </w:r>
      <w:r>
        <w:t xml:space="preserve">Transparência da CGU disponibiliza arquivos mensais (um por</w:t>
      </w:r>
      <w:r>
        <w:t xml:space="preserve"> </w:t>
      </w:r>
      <w:r>
        <w:t xml:space="preserve">competência) em CSV compactado, totalizando mais de 2,2 bilhões de</w:t>
      </w:r>
      <w:r>
        <w:t xml:space="preserve"> </w:t>
      </w:r>
      <w:r>
        <w:t xml:space="preserve">registros e cerca de 280 GB descomprimidos no período</w:t>
      </w:r>
      <w:r>
        <w:t xml:space="preserve"> </w:t>
      </w:r>
      <w:r>
        <w:t xml:space="preserve">2013. A consolidação, deflação e normalização</w:t>
      </w:r>
      <w:r>
        <w:t xml:space="preserve"> </w:t>
      </w:r>
      <w:r>
        <w:t xml:space="preserve">desses dados em painel UF </w:t>
      </w:r>
      <m:oMath>
        <m:r>
          <m:rPr>
            <m:sty m:val="p"/>
          </m:rPr>
          <m:t>×</m:t>
        </m:r>
      </m:oMath>
      <w:r>
        <w:t xml:space="preserve"> Ano exige capacidade técnica</w:t>
      </w:r>
      <w:r>
        <w:t xml:space="preserve"> </w:t>
      </w:r>
      <w:r>
        <w:t xml:space="preserve">não trivial, o que limita o alcance da informação a um público</w:t>
      </w:r>
      <w:r>
        <w:t xml:space="preserve"> </w:t>
      </w:r>
      <w:r>
        <w:t xml:space="preserve">especializado.</w:t>
      </w:r>
      <w:r>
        <w:t xml:space="preserve"> </w:t>
      </w:r>
      <w:r>
        <w:rPr>
          <w:b/>
          <w:bCs/>
        </w:rPr>
        <w:t xml:space="preserve">Segundo</w:t>
      </w:r>
      <w:r>
        <w:t xml:space="preserve">, a literatura empírica brasileira</w:t>
      </w:r>
      <w:r>
        <w:t xml:space="preserve"> </w:t>
      </w:r>
      <w:r>
        <w:t xml:space="preserve">sobre o PBF é majoritariamente descritiva ou ancorada em</w:t>
      </w:r>
      <w:r>
        <w:t xml:space="preserve"> </w:t>
      </w:r>
      <w:r>
        <w:rPr>
          <w:i/>
          <w:iCs/>
        </w:rPr>
        <w:t xml:space="preserve">surveys</w:t>
      </w:r>
      <w:r>
        <w:t xml:space="preserve"> </w:t>
      </w:r>
      <w:r>
        <w:t xml:space="preserve">(PNAD-C, POF) não há estudo</w:t>
      </w:r>
      <w:r>
        <w:t xml:space="preserve"> </w:t>
      </w:r>
      <w:r>
        <w:t xml:space="preserve">quasi-experimental sobre as transições institucionais MP 1.061/2021</w:t>
      </w:r>
      <w:r>
        <w:t xml:space="preserve"> </w:t>
      </w:r>
      <w:r>
        <w:t xml:space="preserve">e Lei 14.601/2023, ainda que ambas constituam choques</w:t>
      </w:r>
      <w:r>
        <w:t xml:space="preserve"> </w:t>
      </w:r>
      <w:r>
        <w:t xml:space="preserve">identificacionais com cutoffs precisos.</w:t>
      </w:r>
      <w:r>
        <w:t xml:space="preserve"> </w:t>
      </w:r>
      <w:r>
        <w:rPr>
          <w:b/>
          <w:bCs/>
        </w:rPr>
        <w:t xml:space="preserve">Terceiro</w:t>
      </w:r>
      <w:r>
        <w:t xml:space="preserve">, o debate</w:t>
      </w:r>
      <w:r>
        <w:t xml:space="preserve"> </w:t>
      </w:r>
      <w:r>
        <w:t xml:space="preserve">público sobre sustentabilidade fiscal do programa em R$ 140 bilhões</w:t>
      </w:r>
      <w:r>
        <w:t xml:space="preserve"> </w:t>
      </w:r>
      <w:r>
        <w:t xml:space="preserve">anuais carece de aparato comparativo internacional sistemático.</w:t>
      </w:r>
    </w:p>
    <w:p>
      <w:pPr>
        <w:pStyle w:val="BodyText"/>
      </w:pPr>
      <w:r>
        <w:t xml:space="preserve">Este artigo organiza-se em sete seções. A Seção</w:t>
      </w:r>
      <w:r>
        <w:t xml:space="preserve"> </w:t>
      </w:r>
      <w:hyperlink w:anchor="sec:teori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revisa a evolução institucional. A Seção</w:t>
      </w:r>
      <w:r>
        <w:t xml:space="preserve"> </w:t>
      </w:r>
      <w:hyperlink w:anchor="sec:metodo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apresenta a metodologia. A Seção</w:t>
      </w:r>
      <w:r>
        <w:t xml:space="preserve"> </w:t>
      </w:r>
      <w:hyperlink w:anchor="sec:resultado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expõe os resultados descritivos. A Seção</w:t>
      </w:r>
      <w:r>
        <w:t xml:space="preserve"> </w:t>
      </w:r>
      <w:hyperlink w:anchor="sec:causal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apresenta a identificação causal das transições</w:t>
      </w:r>
      <w:r>
        <w:t xml:space="preserve"> </w:t>
      </w:r>
      <w:r>
        <w:t xml:space="preserve">institucionais. A Seção</w:t>
      </w:r>
      <w:r>
        <w:t xml:space="preserve"> </w:t>
      </w:r>
      <w:hyperlink w:anchor="sec:equidade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apresenta os índices</w:t>
      </w:r>
      <w:r>
        <w:t xml:space="preserve"> </w:t>
      </w:r>
      <w:r>
        <w:t xml:space="preserve">formais de equidade. A Seção</w:t>
      </w:r>
      <w:r>
        <w:t xml:space="preserve"> </w:t>
      </w:r>
      <w:hyperlink w:anchor="sec:benchmark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apresenta o</w:t>
      </w:r>
      <w:r>
        <w:t xml:space="preserve"> </w:t>
      </w:r>
      <w:r>
        <w:t xml:space="preserve">benchmark internacional. As Seções</w:t>
      </w:r>
      <w:r>
        <w:t xml:space="preserve"> </w:t>
      </w:r>
      <w:hyperlink w:anchor="sec:discussao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e</w:t>
      </w:r>
      <w:r>
        <w:t xml:space="preserve"> </w:t>
      </w:r>
      <w:hyperlink w:anchor="sec:conclusao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discutem implicações e limites.</w:t>
      </w:r>
    </w:p>
    <w:bookmarkEnd w:id="12"/>
    <w:bookmarkStart w:id="21" w:name="sec:teoria"/>
    <w:p>
      <w:pPr>
        <w:pStyle w:val="Heading1"/>
      </w:pPr>
      <w:r>
        <w:t xml:space="preserve">Histórico Institucional</w:t>
      </w:r>
    </w:p>
    <w:bookmarkStart w:id="13" w:name="o-bolsa-família-clássico-2003"/>
    <w:p>
      <w:pPr>
        <w:pStyle w:val="Heading2"/>
      </w:pPr>
      <w:r>
        <w:t xml:space="preserve">O Bolsa Família clássico (2003)</w:t>
      </w:r>
    </w:p>
    <w:p>
      <w:pPr>
        <w:pStyle w:val="FirstParagraph"/>
      </w:pPr>
      <w:r>
        <w:t xml:space="preserve">Criado pela Lei n. 10.836/2004, o PBF unificou em um único arranjo</w:t>
      </w:r>
      <w:r>
        <w:t xml:space="preserve"> </w:t>
      </w:r>
      <w:r>
        <w:t xml:space="preserve">quatro programas anteriores (Bolsa Escola, Bolsa Alimentação,</w:t>
      </w:r>
      <w:r>
        <w:t xml:space="preserve"> </w:t>
      </w:r>
      <w:r>
        <w:t xml:space="preserve">Auxílio Gás e Cartão Alimentação) sob coordenação do então</w:t>
      </w:r>
      <w:r>
        <w:t xml:space="preserve"> </w:t>
      </w:r>
      <w:r>
        <w:t xml:space="preserve">Ministério do Desenvolvimento Social. O critério de elegibilidade</w:t>
      </w:r>
      <w:r>
        <w:t xml:space="preserve"> </w:t>
      </w:r>
      <w:r>
        <w:t xml:space="preserve">central foi a renda familiar per capita: famílias em pobreza</w:t>
      </w:r>
      <w:r>
        <w:t xml:space="preserve"> </w:t>
      </w:r>
      <w:r>
        <w:t xml:space="preserve">extrema (renda &lt; R$ 89/mês até 2018) recebiam o benefício básico</w:t>
      </w:r>
      <w:r>
        <w:t xml:space="preserve"> </w:t>
      </w:r>
      <w:r>
        <w:t xml:space="preserve">acrescido de variáveis por composição familiar; famílias em pobreza</w:t>
      </w:r>
      <w:r>
        <w:t xml:space="preserve"> </w:t>
      </w:r>
      <w:r>
        <w:t xml:space="preserve">(renda entre R$ 89 e R$ 178) recebiam apenas as parcelas</w:t>
      </w:r>
      <w:r>
        <w:t xml:space="preserve"> </w:t>
      </w:r>
      <w:r>
        <w:t xml:space="preserve">variáveis. Ao longo de quase duas décadas, o programa manteve</w:t>
      </w:r>
      <w:r>
        <w:t xml:space="preserve"> </w:t>
      </w:r>
      <w:r>
        <w:t xml:space="preserve">cobertura entre 14 e 17 milhões de famílias, com valor médio anual</w:t>
      </w:r>
      <w:r>
        <w:t xml:space="preserve"> </w:t>
      </w:r>
      <w:r>
        <w:t xml:space="preserve">em R$ 35 bilhões em valores reais (preços</w:t>
      </w:r>
      <w:r>
        <w:t xml:space="preserve"> </w:t>
      </w:r>
      <w:r>
        <w:t xml:space="preserve">dez/2021).</w:t>
      </w:r>
    </w:p>
    <w:bookmarkEnd w:id="13"/>
    <w:bookmarkStart w:id="14" w:name="o-auxílio-brasil-nov.-2021fev.-2023"/>
    <w:p>
      <w:pPr>
        <w:pStyle w:val="Heading2"/>
      </w:pPr>
      <w:r>
        <w:t xml:space="preserve">O Auxílio Brasil (Nov. 2021Fev. 2023)</w:t>
      </w:r>
    </w:p>
    <w:p>
      <w:pPr>
        <w:pStyle w:val="FirstParagraph"/>
      </w:pPr>
      <w:r>
        <w:t xml:space="preserve">A Medida Provisória n. 1.061, de 9 de agosto de 2021,</w:t>
      </w:r>
      <w:r>
        <w:t xml:space="preserve"> </w:t>
      </w:r>
      <w:r>
        <w:t xml:space="preserve">posteriormente convertida na Lei n. 14.284/2021, extinguiu o PBF e</w:t>
      </w:r>
      <w:r>
        <w:t xml:space="preserve"> </w:t>
      </w:r>
      <w:r>
        <w:t xml:space="preserve">criou o Auxílio Brasil em seu lugar. As principais alterações:</w:t>
      </w:r>
      <w:r>
        <w:t xml:space="preserve"> </w:t>
      </w:r>
      <w:r>
        <w:t xml:space="preserve">(i) elevação do piso para R$ 400/família, posteriormente</w:t>
      </w:r>
      <w:r>
        <w:t xml:space="preserve"> </w:t>
      </w:r>
      <w:r>
        <w:t xml:space="preserve">R$ 600/família em meio à campanha eleitoral de 2022;</w:t>
      </w:r>
      <w:r>
        <w:t xml:space="preserve"> </w:t>
      </w:r>
      <w:r>
        <w:t xml:space="preserve">(ii) ampliação da cobertura para aproximadamente 24 milhões de</w:t>
      </w:r>
      <w:r>
        <w:t xml:space="preserve"> </w:t>
      </w:r>
      <w:r>
        <w:t xml:space="preserve">famílias mediante incorporação de beneficiários do Cadastro Único</w:t>
      </w:r>
      <w:r>
        <w:t xml:space="preserve"> </w:t>
      </w:r>
      <w:r>
        <w:t xml:space="preserve">previamente fora da fila; (iii) modificação dos critérios de</w:t>
      </w:r>
      <w:r>
        <w:t xml:space="preserve"> </w:t>
      </w:r>
      <w:r>
        <w:t xml:space="preserve">condicionalidade. O período é caracterizado por forte politização e</w:t>
      </w:r>
      <w:r>
        <w:t xml:space="preserve"> </w:t>
      </w:r>
      <w:r>
        <w:t xml:space="preserve">vinculação ao calendário eleitoral.</w:t>
      </w:r>
    </w:p>
    <w:bookmarkEnd w:id="14"/>
    <w:bookmarkStart w:id="15" w:name="o-novo-bolsa-família-mar.-2023atual"/>
    <w:p>
      <w:pPr>
        <w:pStyle w:val="Heading2"/>
      </w:pPr>
      <w:r>
        <w:t xml:space="preserve">O Novo Bolsa Família (Mar. 2023atual)</w:t>
      </w:r>
    </w:p>
    <w:p>
      <w:pPr>
        <w:pStyle w:val="FirstParagraph"/>
      </w:pPr>
      <w:r>
        <w:t xml:space="preserve">A Lei n. 14.601, de 19 de junho de 2023, revogou o Auxílio Brasil e</w:t>
      </w:r>
      <w:r>
        <w:t xml:space="preserve"> </w:t>
      </w:r>
      <w:r>
        <w:t xml:space="preserve">restabeleceu o Bolsa Família com nova configuração: (i) piso de</w:t>
      </w:r>
      <w:r>
        <w:t xml:space="preserve"> </w:t>
      </w:r>
      <w:r>
        <w:t xml:space="preserve">R$ 600/família mais adicionais por composição familiar (crianças,</w:t>
      </w:r>
      <w:r>
        <w:t xml:space="preserve"> </w:t>
      </w:r>
      <w:r>
        <w:t xml:space="preserve">gestantes, nutrizes); (ii) restabelecimento das condicionalidades</w:t>
      </w:r>
      <w:r>
        <w:t xml:space="preserve"> </w:t>
      </w:r>
      <w:r>
        <w:t xml:space="preserve">de educação e saúde; (iii) ampliação da cobertura, com inclusão de</w:t>
      </w:r>
      <w:r>
        <w:t xml:space="preserve"> </w:t>
      </w:r>
      <w:r>
        <w:t xml:space="preserve">famílias unipessoais antes restritas; (iv) integração com</w:t>
      </w:r>
      <w:r>
        <w:t xml:space="preserve"> </w:t>
      </w:r>
      <w:r>
        <w:t xml:space="preserve">Cadastro Único modernizado.</w:t>
      </w:r>
    </w:p>
    <w:bookmarkEnd w:id="15"/>
    <w:bookmarkStart w:id="20" w:name="os-marcos-institucionais-visualizados"/>
    <w:p>
      <w:pPr>
        <w:pStyle w:val="Heading2"/>
      </w:pPr>
      <w:r>
        <w:t xml:space="preserve">Os marcos institucionais visualizados</w:t>
      </w:r>
    </w:p>
    <w:p>
      <w:pPr>
        <w:pStyle w:val="FirstParagraph"/>
      </w:pPr>
      <w:r>
        <w:t xml:space="preserve">A Figura</w:t>
      </w:r>
      <w:r>
        <w:t xml:space="preserve"> </w:t>
      </w:r>
      <w:hyperlink w:anchor="fig:timelin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sintetiza os marcos discutidos com as</w:t>
      </w:r>
      <w:r>
        <w:t xml:space="preserve"> </w:t>
      </w:r>
      <w:r>
        <w:t xml:space="preserve">faixas temporais correspondentes a cada regime.</w:t>
      </w:r>
    </w:p>
    <w:bookmarkStart w:id="19" w:name="fig:timeline"/>
    <w:p>
      <w:pPr>
        <w:pStyle w:val="CaptionedFigure"/>
      </w:pPr>
      <w:r>
        <w:drawing>
          <wp:inline>
            <wp:extent cx="5522976" cy="2383701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fig01-timeline-pbf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976" cy="2383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Linha do tempo institucional do Bolsa Família, Auxílio Brasil e Novo Bolsa Família (2003)</w:t>
      </w:r>
    </w:p>
    <w:bookmarkEnd w:id="19"/>
    <w:bookmarkEnd w:id="20"/>
    <w:bookmarkEnd w:id="21"/>
    <w:bookmarkStart w:id="30" w:name="sec:metodo"/>
    <w:p>
      <w:pPr>
        <w:pStyle w:val="Heading1"/>
      </w:pPr>
      <w:r>
        <w:t xml:space="preserve">Metodologia</w:t>
      </w:r>
    </w:p>
    <w:bookmarkStart w:id="22" w:name="fontes-de-dados"/>
    <w:p>
      <w:pPr>
        <w:pStyle w:val="Heading2"/>
      </w:pPr>
      <w:r>
        <w:t xml:space="preserve">Fontes de dados</w:t>
      </w:r>
    </w:p>
    <w:p>
      <w:pPr>
        <w:pStyle w:val="FirstParagraph"/>
      </w:pPr>
      <w:r>
        <w:t xml:space="preserve">Três fontes oficiais públicas: (i) microdados mensais do Portal da</w:t>
      </w:r>
      <w:r>
        <w:t xml:space="preserve"> </w:t>
      </w:r>
      <w:r>
        <w:t xml:space="preserve">Transparência da CGU (CGU, 2025), abrangendo PBF</w:t>
      </w:r>
      <w:r>
        <w:t xml:space="preserve"> </w:t>
      </w:r>
      <w:r>
        <w:t xml:space="preserve">(2013), Auxílio Brasil (2021) e</w:t>
      </w:r>
      <w:r>
        <w:t xml:space="preserve"> </w:t>
      </w:r>
      <w:r>
        <w:t xml:space="preserve">Novo Bolsa Família (2023atual); (ii) IBGE/SIDRA Tabela</w:t>
      </w:r>
      <w:r>
        <w:t xml:space="preserve"> </w:t>
      </w:r>
      <w:r>
        <w:t xml:space="preserve">6579 (população residente estimada por UF) (IBGE, 2024);</w:t>
      </w:r>
      <w:r>
        <w:t xml:space="preserve"> </w:t>
      </w:r>
      <w:r>
        <w:t xml:space="preserve">(iii) Banco Central do Brasil, série SGS 433 (IPCA mensal para</w:t>
      </w:r>
      <w:r>
        <w:t xml:space="preserve"> </w:t>
      </w:r>
      <w:r>
        <w:t xml:space="preserve">deflação base dezembro/2021) (BANCO CENTRAL DO BRASIL, 2024). Para o índice</w:t>
      </w:r>
      <w:r>
        <w:t xml:space="preserve"> </w:t>
      </w:r>
      <w:r>
        <w:t xml:space="preserve">de Kakwani, IDH-M PNUD/Atlas Brasil 2010 (último Censo</w:t>
      </w:r>
      <w:r>
        <w:t xml:space="preserve"> </w:t>
      </w:r>
      <w:r>
        <w:t xml:space="preserve">completo) (PNUD; IPEA; FUNDAÇÃO JOÃO PINHEIRO, 2013). Para a construção do</w:t>
      </w:r>
      <w:r>
        <w:t xml:space="preserve"> </w:t>
      </w:r>
      <w:r>
        <w:t xml:space="preserve">tratamento da identificação causal, taxa de pobreza monetária</w:t>
      </w:r>
      <w:r>
        <w:t xml:space="preserve"> </w:t>
      </w:r>
      <w:r>
        <w:t xml:space="preserve">PNAD-C 2019 (linha US$ 5,50/dia PPP, IBGE Tabela</w:t>
      </w:r>
      <w:r>
        <w:t xml:space="preserve"> </w:t>
      </w:r>
      <w:r>
        <w:t xml:space="preserve">6688) (IBGE, 2019). Para o benchmark internacional,</w:t>
      </w:r>
      <w:r>
        <w:t xml:space="preserve"> </w:t>
      </w:r>
      <w:r>
        <w:rPr>
          <w:i/>
          <w:iCs/>
        </w:rPr>
        <w:t xml:space="preserve">World Bank ASPIRE</w:t>
      </w:r>
      <w:r>
        <w:t xml:space="preserve"> </w:t>
      </w:r>
      <w:r>
        <w:t xml:space="preserve">(WORLD BANK, 2024a), CEPAL</w:t>
      </w:r>
      <w:r>
        <w:t xml:space="preserve"> </w:t>
      </w:r>
      <w:r>
        <w:rPr>
          <w:i/>
          <w:iCs/>
        </w:rPr>
        <w:t xml:space="preserve">Panorama Social</w:t>
      </w:r>
      <w:r>
        <w:t xml:space="preserve"> </w:t>
      </w:r>
      <w:r>
        <w:t xml:space="preserve">(CEPAL, 2024) e fontes nacionais por</w:t>
      </w:r>
      <w:r>
        <w:t xml:space="preserve"> </w:t>
      </w:r>
      <w:r>
        <w:t xml:space="preserve">programa (ANSES, SEDESOL, DPS, MEFP / UDAPE).</w:t>
      </w:r>
    </w:p>
    <w:bookmarkEnd w:id="22"/>
    <w:bookmarkStart w:id="24" w:name="pipeline-de-dados"/>
    <w:p>
      <w:pPr>
        <w:pStyle w:val="Heading2"/>
      </w:pPr>
      <w:r>
        <w:t xml:space="preserve">Pipeline de dados</w:t>
      </w:r>
    </w:p>
    <w:p>
      <w:pPr>
        <w:pStyle w:val="FirstParagraph"/>
      </w:pPr>
      <w:r>
        <w:t xml:space="preserve">O pipeline adota arquitetura medallion (ARMBRUST et al., 2021; KUKREJA, 2021) implementada em Apache</w:t>
      </w:r>
      <w:r>
        <w:t xml:space="preserve"> </w:t>
      </w:r>
      <w:r>
        <w:t xml:space="preserve">Spark (ZAHARIA et al., 2016) sobre Databricks Free Edition com</w:t>
      </w:r>
      <w:r>
        <w:t xml:space="preserve"> </w:t>
      </w:r>
      <w:r>
        <w:t xml:space="preserve">persistência em Delta Lake.</w:t>
      </w:r>
      <w:r>
        <w:t xml:space="preserve"> </w:t>
      </w:r>
      <w:r>
        <w:rPr>
          <w:b/>
          <w:bCs/>
        </w:rPr>
        <w:t xml:space="preserve">Bronze</w:t>
      </w:r>
      <w:r>
        <w:t xml:space="preserve"> </w:t>
      </w:r>
      <w:r>
        <w:t xml:space="preserve">ingere os ZIPs mensais via Auto Loader (Spark</w:t>
      </w:r>
      <w:r>
        <w:t xml:space="preserve"> </w:t>
      </w:r>
      <w:r>
        <w:t xml:space="preserve">Structured Streaming) preservando o registro original em</w:t>
      </w:r>
      <w:r>
        <w:t xml:space="preserve"> </w:t>
      </w:r>
      <w:r>
        <w:rPr>
          <w:i/>
          <w:iCs/>
        </w:rPr>
        <w:t xml:space="preserve">string-only</w:t>
      </w:r>
      <w:r>
        <w:t xml:space="preserve"> </w:t>
      </w:r>
      <w:r>
        <w:t xml:space="preserve">padrão da plataforma para evitar</w:t>
      </w:r>
      <w:r>
        <w:t xml:space="preserve"> </w:t>
      </w:r>
      <w:r>
        <w:t xml:space="preserve">divergências entre o que está no arquivo (latin-1, separador</w:t>
      </w:r>
      <w:r>
        <w:t xml:space="preserve"> </w:t>
      </w:r>
      <w:r>
        <w:t xml:space="preserve">decimal vírgula) e o esquema Delta inferido.</w:t>
      </w:r>
      <w:r>
        <w:t xml:space="preserve"> </w:t>
      </w:r>
      <w:r>
        <w:rPr>
          <w:b/>
          <w:bCs/>
        </w:rPr>
        <w:t xml:space="preserve">Silver</w:t>
      </w:r>
      <w:r>
        <w:t xml:space="preserve"> </w:t>
      </w:r>
      <w:r>
        <w:t xml:space="preserve">aplica deduplicação de beneficiários por NIS,</w:t>
      </w:r>
      <w:r>
        <w:t xml:space="preserve"> </w:t>
      </w:r>
      <w:r>
        <w:t xml:space="preserve">correção do swap</w:t>
      </w:r>
      <w:r>
        <w:t xml:space="preserve"> </w:t>
      </w:r>
      <w:r>
        <w:rPr>
          <w:rStyle w:val="VerbatimChar"/>
        </w:rPr>
        <w:t xml:space="preserve">mes_competencia</w:t>
      </w:r>
      <w:r>
        <w:t xml:space="preserve">/</w:t>
      </w:r>
      <w:r>
        <w:rPr>
          <w:rStyle w:val="VerbatimChar"/>
        </w:rPr>
        <w:t xml:space="preserve">mes_referencia</w:t>
      </w:r>
      <w:r>
        <w:t xml:space="preserve"> </w:t>
      </w:r>
      <w:r>
        <w:t xml:space="preserve">presente nos arquivos de novembro/2021 (transição PBF </w:t>
      </w:r>
      <m:oMath>
        <m:r>
          <m:rPr>
            <m:sty m:val="p"/>
          </m:rPr>
          <m:t>→</m:t>
        </m:r>
      </m:oMath>
      <w:r>
        <w:t xml:space="preserve"> AB),</w:t>
      </w:r>
      <w:r>
        <w:t xml:space="preserve"> </w:t>
      </w:r>
      <w:r>
        <w:t xml:space="preserve">parsing dos valores monetários no formato brasileiro e agregação</w:t>
      </w:r>
      <w:r>
        <w:t xml:space="preserve"> </w:t>
      </w:r>
      <w:r>
        <w:t xml:space="preserve">mensal por (UF, Ano, Mês).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consolida em painel UF </w:t>
      </w:r>
      <m:oMath>
        <m:r>
          <m:rPr>
            <m:sty m:val="p"/>
          </m:rPr>
          <m:t>×</m:t>
        </m:r>
      </m:oMath>
      <w:r>
        <w:t xml:space="preserve"> Ano com deflação</w:t>
      </w:r>
      <w:r>
        <w:t xml:space="preserve"> </w:t>
      </w:r>
      <w:r>
        <w:t xml:space="preserve">IPCA, normalização per capita (IBGE) e cálculo dos indicadores</w:t>
      </w:r>
      <w:r>
        <w:t xml:space="preserve"> </w:t>
      </w:r>
      <w:r>
        <w:t xml:space="preserve">derivados, filtrando anos não-completos pelo invariante</w:t>
      </w:r>
      <w:r>
        <w:t xml:space="preserve"> </w:t>
      </w:r>
      <w:r>
        <w:rPr>
          <w:rStyle w:val="VerbatimChar"/>
        </w:rPr>
        <w:t xml:space="preserve">n_months == 12</w:t>
      </w:r>
      <w:r>
        <w:t xml:space="preserve"> </w:t>
      </w:r>
      <w:r>
        <w:t xml:space="preserve">(com</w:t>
      </w:r>
      <w:r>
        <w:t xml:space="preserve"> </w:t>
      </w:r>
      <w:r>
        <w:rPr>
          <w:i/>
          <w:iCs/>
        </w:rPr>
        <w:t xml:space="preserve">logging</w:t>
      </w:r>
      <w:r>
        <w:t xml:space="preserve"> </w:t>
      </w:r>
      <w:r>
        <w:t xml:space="preserve">dos descartados).</w:t>
      </w:r>
    </w:p>
    <w:p>
      <w:pPr>
        <w:pStyle w:val="BodyText"/>
      </w:pPr>
      <w:r>
        <w:t xml:space="preserve">O mês de novembro de 2021 contém registros simultâneos de PBF e</w:t>
      </w:r>
      <w:r>
        <w:t xml:space="preserve"> </w:t>
      </w:r>
      <w:r>
        <w:t xml:space="preserve">Auxílio Brasil, reflexo da transição administrativa. Nesse mês,</w:t>
      </w:r>
      <w:r>
        <w:t xml:space="preserve"> </w:t>
      </w:r>
      <w:r>
        <w:t xml:space="preserve">os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14,36 milhões de beneficiários do Auxílio Brasil são um</w:t>
      </w:r>
      <w:r>
        <w:t xml:space="preserve"> </w:t>
      </w:r>
      <w:r>
        <w:t xml:space="preserve">subconjunto exato dos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14,51 milhões do PBF: todos receberam as</w:t>
      </w:r>
      <w:r>
        <w:t xml:space="preserve"> </w:t>
      </w:r>
      <w:r>
        <w:t xml:space="preserve">duas parcelas. O silver mantém as duas folhas como registros brutos e</w:t>
      </w:r>
      <w:r>
        <w:t xml:space="preserve"> </w:t>
      </w:r>
      <w:r>
        <w:t xml:space="preserve">agrega normalmente, de modo que</w:t>
      </w:r>
      <w:r>
        <w:t xml:space="preserve"> </w:t>
      </w:r>
      <w:r>
        <w:rPr>
          <w:rStyle w:val="VerbatimChar"/>
        </w:rPr>
        <w:t xml:space="preserve">total_estado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rPr>
          <w:rStyle w:val="VerbatimChar"/>
        </w:rPr>
        <w:t xml:space="preserve">sum(valor_parcela)</w:t>
      </w:r>
      <w:r>
        <w:t xml:space="preserve"> </w:t>
      </w:r>
      <w:r>
        <w:t xml:space="preserve">soma as duas parcelas (R$ efetivamente</w:t>
      </w:r>
      <w:r>
        <w:t xml:space="preserve"> </w:t>
      </w:r>
      <w:r>
        <w:t xml:space="preserve">transferidos) e</w:t>
      </w:r>
      <w:r>
        <w:t xml:space="preserve"> </w:t>
      </w:r>
      <w:r>
        <w:rPr>
          <w:rStyle w:val="VerbatimChar"/>
        </w:rPr>
        <w:t xml:space="preserve">countDistinct(NIS)</w:t>
      </w:r>
      <w:r>
        <w:t xml:space="preserve"> </w:t>
      </w:r>
      <w:r>
        <w:t xml:space="preserve">deduplica os beneficiários</w:t>
      </w:r>
      <w:r>
        <w:t xml:space="preserve"> </w:t>
      </w:r>
      <w:r>
        <w:t xml:space="preserve">— sem síntese auxiliar. O ano de competência é derivado de</w:t>
      </w:r>
      <w:r>
        <w:t xml:space="preserve"> </w:t>
      </w:r>
      <w:r>
        <w:rPr>
          <w:rStyle w:val="VerbatimChar"/>
        </w:rPr>
        <w:t xml:space="preserve">mes_competencia</w:t>
      </w:r>
      <w:r>
        <w:t xml:space="preserve">. Os detalhes de implementação constam no</w:t>
      </w:r>
      <w:r>
        <w:t xml:space="preserve"> </w:t>
      </w:r>
      <w:r>
        <w:t xml:space="preserve">repositório público de código e dados, disponível de forma anônima para</w:t>
      </w:r>
      <w:r>
        <w:t xml:space="preserve"> </w:t>
      </w:r>
      <w:r>
        <w:t xml:space="preserve">avaliação em</w:t>
      </w:r>
      <w:r>
        <w:t xml:space="preserve"> </w:t>
      </w:r>
      <w:hyperlink r:id="rId23">
        <w:r>
          <w:rPr>
            <w:rStyle w:val="Hyperlink"/>
          </w:rPr>
          <w:t xml:space="preserve">https://anonymous.4open.science/r/artigo_bolsa_familia-5E34/</w:t>
        </w:r>
      </w:hyperlink>
      <w:r>
        <w:t xml:space="preserve">.</w:t>
      </w:r>
    </w:p>
    <w:bookmarkEnd w:id="24"/>
    <w:bookmarkStart w:id="25" w:name="indicadores-construídos"/>
    <w:p>
      <w:pPr>
        <w:pStyle w:val="Heading2"/>
      </w:pPr>
      <w:r>
        <w:t xml:space="preserve">Indicadores construídos</w:t>
      </w:r>
    </w:p>
    <w:p>
      <w:pPr>
        <w:pStyle w:val="FirstParagraph"/>
      </w:pPr>
      <w:r>
        <w:t xml:space="preserve">Para cada par (UF, Ano): (i) número de beneficiários distintos</w:t>
      </w:r>
      <w:r>
        <w:t xml:space="preserve"> </w:t>
      </w:r>
      <w:r>
        <w:t xml:space="preserve">(</w:t>
      </w:r>
      <w:r>
        <w:rPr>
          <w:i/>
          <w:iCs/>
        </w:rPr>
        <w:t xml:space="preserve">deduplicação por NIS</w:t>
      </w:r>
      <w:r>
        <w:t xml:space="preserve">);</w:t>
      </w:r>
      <w:r>
        <w:t xml:space="preserve"> </w:t>
      </w:r>
      <w:r>
        <w:t xml:space="preserve">(ii) valor pago nominal e em R$ 2021;</w:t>
      </w:r>
      <w:r>
        <w:t xml:space="preserve"> </w:t>
      </w:r>
      <w:r>
        <w:t xml:space="preserve">(iii) per beneficiário (valor pago / beneficiários);</w:t>
      </w:r>
      <w:r>
        <w:t xml:space="preserve"> </w:t>
      </w:r>
      <w:r>
        <w:t xml:space="preserve">(iv) per capita (valor pago / população);</w:t>
      </w:r>
      <w:r>
        <w:t xml:space="preserve"> </w:t>
      </w:r>
      <w:r>
        <w:t xml:space="preserve">(v) penetração (beneficiários / população);</w:t>
      </w:r>
      <w:r>
        <w:t xml:space="preserve"> </w:t>
      </w:r>
      <w:r>
        <w:t xml:space="preserve">(vi) coeficiente de variação per capita entre UFs por exercício.</w:t>
      </w:r>
    </w:p>
    <w:bookmarkEnd w:id="25"/>
    <w:bookmarkStart w:id="26" w:name="identificação-causal"/>
    <w:p>
      <w:pPr>
        <w:pStyle w:val="Heading2"/>
      </w:pPr>
      <w:r>
        <w:t xml:space="preserve">Identificação causal</w:t>
      </w:r>
    </w:p>
    <w:p>
      <w:pPr>
        <w:pStyle w:val="FirstParagraph"/>
      </w:pPr>
      <w:r>
        <w:t xml:space="preserve">Sejam</w:t>
      </w:r>
      <w:r>
        <w:t xml:space="preserve"> </w:t>
      </w:r>
      <m:oMath>
        <m:sSub>
          <m:e>
            <m:r>
              <m:t>y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o valor anual pago em R$ 2021 per capita na UF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no ano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Tratamento.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se UF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está no quartil</w:t>
      </w:r>
      <w:r>
        <w:t xml:space="preserve"> </w:t>
      </w:r>
      <w:r>
        <w:t xml:space="preserve">superior do</w:t>
      </w:r>
      <w:r>
        <w:t xml:space="preserve"> </w:t>
      </w:r>
      <w:r>
        <w:rPr>
          <w:i/>
          <w:iCs/>
        </w:rPr>
        <w:t xml:space="preserve">déficit de cobertura</w:t>
      </w:r>
      <w:r>
        <w:t xml:space="preserve"> </w:t>
      </w:r>
      <w:r>
        <w:t xml:space="preserve">pré-choque, definido como</w:t>
      </w:r>
      <w:r>
        <w:t xml:space="preserve"> </w:t>
      </w:r>
      <m:oMath>
        <m:sSub>
          <m:e>
            <m:r>
              <m:t>d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z</m:t>
            </m:r>
            <m:r>
              <m:rPr>
                <m:sty m:val="i"/>
              </m:rPr>
              <m:t>a</m:t>
            </m:r>
          </m:e>
          <m:sub>
            <m:r>
              <m:t>u</m:t>
            </m:r>
          </m:sub>
          <m:sup>
            <m:r>
              <m:t> 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2019</m:t>
            </m:r>
          </m:sup>
        </m:sSubSup>
        <m:r>
          <m:rPr>
            <m:sty m:val="p"/>
          </m:rPr>
          <m:t>−</m:t>
        </m:r>
        <m:sSubSup>
          <m:e>
            <m:bar>
              <m:barPr>
                <m:pos m:val="top"/>
              </m:barPr>
              <m:e>
                <m:r>
                  <m:rPr>
                    <m:nor/>
                    <m:sty m:val="p"/>
                  </m:rPr>
                  <m:t>penetração</m:t>
                </m:r>
              </m:e>
            </m:bar>
          </m:e>
          <m:sub>
            <m:r>
              <m:t>u</m:t>
            </m:r>
          </m:sub>
          <m:sup>
            <m:r>
              <m:t> </m:t>
            </m:r>
            <m:r>
              <m:t>2018</m:t>
            </m:r>
            <m:r>
              <m:rPr>
                <m:nor/>
                <m:sty m:val="p"/>
              </m:rPr>
              <m:t>-</m:t>
            </m:r>
            <m:r>
              <m:t>2020</m:t>
            </m:r>
          </m:sup>
        </m:sSubSup>
      </m:oMath>
      <w:r>
        <w:t xml:space="preserve">.</w:t>
      </w:r>
      <w:r>
        <w:t xml:space="preserve"> </w:t>
      </w:r>
      <w:r>
        <w:t xml:space="preserve">A intuição é que UFs com pobreza alta e penetração baixa têm maior</w:t>
      </w:r>
      <w:r>
        <w:t xml:space="preserve"> </w:t>
      </w:r>
      <w:r>
        <w:t xml:space="preserve">folga para absorver a expansão de cobertura do Auxílio Brasil</w:t>
      </w:r>
      <w:r>
        <w:t xml:space="preserve"> </w:t>
      </w:r>
      <w:r>
        <w:t xml:space="preserve">são as mais</w:t>
      </w:r>
      <w:r>
        <w:t xml:space="preserve"> </w:t>
      </w:r>
      <w:r>
        <w:rPr>
          <w:i/>
          <w:iCs/>
        </w:rPr>
        <w:t xml:space="preserve">tratadas</w:t>
      </w:r>
      <w:r>
        <w:t xml:space="preserve"> </w:t>
      </w:r>
      <w:r>
        <w:t xml:space="preserve">pela mudança institucional</w:t>
      </w:r>
      <w:r>
        <w:t xml:space="preserve"> </w:t>
      </w:r>
      <w:r>
        <w:t xml:space="preserve">de novembro/2021.</w:t>
      </w:r>
      <w:r>
        <w:t xml:space="preserve"> </w:t>
      </w:r>
      <w:r>
        <w:rPr>
          <w:b/>
          <w:bCs/>
        </w:rPr>
        <w:t xml:space="preserve">Modelos.</w:t>
      </w:r>
      <w:r>
        <w:t xml:space="preserve"> </w:t>
      </w:r>
      <w:r>
        <w:t xml:space="preserve">(i) DiD 2</w:t>
      </w:r>
      <m:oMath>
        <m:r>
          <m:rPr>
            <m:sty m:val="p"/>
          </m:rPr>
          <m:t>×</m:t>
        </m:r>
      </m:oMath>
      <w:r>
        <w:t xml:space="preserve">2 sobre a diferença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bar>
              <m:barPr>
                <m:pos m:val="top"/>
              </m:barPr>
              <m:e>
                <m:sSub>
                  <m:e>
                    <m:r>
                      <m:t>y</m:t>
                    </m:r>
                  </m:e>
                  <m:sub>
                    <m: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</m:e>
            </m:bar>
          </m:e>
          <m:sub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2022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r>
              <m:t>2025</m:t>
            </m:r>
            <m:r>
              <m:rPr>
                <m:sty m:val="p"/>
              </m:rPr>
              <m:t>}</m:t>
            </m:r>
          </m:sub>
        </m:sSub>
        <m:r>
          <m:rPr>
            <m:sty m:val="p"/>
          </m:rPr>
          <m:t>−</m:t>
        </m:r>
        <m:sSub>
          <m:e>
            <m:bar>
              <m:barPr>
                <m:pos m:val="top"/>
              </m:barPr>
              <m:e>
                <m:sSub>
                  <m:e>
                    <m:r>
                      <m:t>y</m:t>
                    </m:r>
                  </m:e>
                  <m:sub>
                    <m: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</m:e>
            </m:bar>
          </m:e>
          <m:sub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2018</m:t>
            </m:r>
            <m:r>
              <m:rPr>
                <m:sty m:val="p"/>
              </m:rPr>
              <m:t>,</m:t>
            </m:r>
            <m:r>
              <m:t>2019</m:t>
            </m:r>
            <m:r>
              <m:rPr>
                <m:sty m:val="p"/>
              </m:rPr>
              <m:t>,</m:t>
            </m:r>
            <m:r>
              <m:t>2020</m:t>
            </m:r>
            <m:r>
              <m:rPr>
                <m:sty m:val="p"/>
              </m:rPr>
              <m:t>}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y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 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u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HC3.</w:t>
      </w:r>
      <w:r>
        <w:t xml:space="preserve"> </w:t>
      </w:r>
      <w:r>
        <w:t xml:space="preserve">(ii) TWFE com efeitos fixos de UF e ano e erros clusterizados por</w:t>
      </w:r>
      <w:r>
        <w:t xml:space="preserve"> </w:t>
      </w:r>
      <w:r>
        <w:t xml:space="preserve">UF:</w:t>
      </w:r>
      <w:r>
        <w:t xml:space="preserve"> </w:t>
      </w:r>
      <m:oMath>
        <m:sSub>
          <m:e>
            <m:r>
              <m:t>y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, restringido a</w:t>
      </w:r>
      <w:r>
        <w:t xml:space="preserve"> </w:t>
      </w:r>
      <m:oMath>
        <m:r>
          <m:t>2018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2025</m:t>
        </m:r>
      </m:oMath>
      <w:r>
        <w:t xml:space="preserve">.</w:t>
      </w:r>
      <w:r>
        <w:t xml:space="preserve"> </w:t>
      </w:r>
      <w:r>
        <w:t xml:space="preserve">(iii) </w:t>
      </w:r>
      <w:r>
        <w:rPr>
          <w:i/>
          <w:iCs/>
        </w:rPr>
        <w:t xml:space="preserve">Wild-cluster bootstrap</w:t>
      </w:r>
      <w:r>
        <w:t xml:space="preserve"> </w:t>
      </w:r>
      <w:r>
        <w:t xml:space="preserve">com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réplicas Rademacher</w:t>
      </w:r>
      <w:r>
        <w:t xml:space="preserve"> </w:t>
      </w:r>
      <w:r>
        <w:t xml:space="preserve">por UF, dada a inconsistência conhecida de erros clusterizados</w:t>
      </w:r>
      <w:r>
        <w:t xml:space="preserve"> </w:t>
      </w:r>
      <w:r>
        <w:t xml:space="preserve">assintóticos quando o número de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é</w:t>
      </w:r>
      <w:r>
        <w:t xml:space="preserve"> </w:t>
      </w:r>
      <w:r>
        <w:t xml:space="preserve">pequeno (CAMERON et al., 2008): o</w:t>
      </w:r>
      <w:r>
        <w:t xml:space="preserve"> </w:t>
      </w:r>
      <m:oMath>
        <m:r>
          <m:t>p</m:t>
        </m:r>
      </m:oMath>
      <w:r>
        <w:t xml:space="preserve">-valor robusto é o</w:t>
      </w:r>
      <w:r>
        <w:t xml:space="preserve"> </w:t>
      </w:r>
      <w:r>
        <w:t xml:space="preserve">quantil empírico de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t>t</m:t>
            </m:r>
          </m:e>
          <m:sup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|</m:t>
        </m:r>
        <m:sSup>
          <m:e>
            <m:r>
              <m:t>t</m:t>
            </m:r>
          </m:e>
          <m:sup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p>
        </m:sSup>
        <m:r>
          <m:rPr>
            <m:sty m:val="p"/>
          </m:rPr>
          <m:t>|</m:t>
        </m:r>
      </m:oMath>
      <w:r>
        <w:t xml:space="preserve"> </w:t>
      </w:r>
      <w:r>
        <w:t xml:space="preserve">sobre as</w:t>
      </w:r>
      <w:r>
        <w:t xml:space="preserve"> </w:t>
      </w:r>
      <w:r>
        <w:t xml:space="preserve">réplicas.</w:t>
      </w:r>
      <w:r>
        <w:t xml:space="preserve"> </w:t>
      </w:r>
      <w:r>
        <w:rPr>
          <w:b/>
          <w:bCs/>
        </w:rPr>
        <w:t xml:space="preserve">Salvaguardas adicionais.</w:t>
      </w:r>
      <w:r>
        <w:t xml:space="preserve"> </w:t>
      </w:r>
      <w:r>
        <w:t xml:space="preserve">(iv) Replicação cross-shock sobre Lei 14.601/2023, com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idêntico mas pré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2021</m:t>
        </m:r>
        <m:r>
          <m:rPr>
            <m:sty m:val="p"/>
          </m:rPr>
          <m:t>,</m:t>
        </m:r>
        <m:r>
          <m:t>2022</m:t>
        </m:r>
        <m:r>
          <m:rPr>
            <m:sty m:val="p"/>
          </m:rPr>
          <m:t>}</m:t>
        </m:r>
      </m:oMath>
      <w:r>
        <w:t xml:space="preserve"> </w:t>
      </w:r>
      <w:r>
        <w:t xml:space="preserve">e pós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2023</m:t>
        </m:r>
        <m:r>
          <m:rPr>
            <m:sty m:val="p"/>
          </m:rPr>
          <m:t>,</m:t>
        </m:r>
        <m:r>
          <m:t>2024</m:t>
        </m:r>
        <m:r>
          <m:rPr>
            <m:sty m:val="p"/>
          </m:rPr>
          <m:t>,</m:t>
        </m:r>
        <m:r>
          <m:t>2025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(v) Teste informal de</w:t>
      </w:r>
      <w:r>
        <w:t xml:space="preserve"> </w:t>
      </w:r>
      <w:r>
        <w:rPr>
          <w:i/>
          <w:iCs/>
        </w:rPr>
        <w:t xml:space="preserve">parallel trends</w:t>
      </w:r>
      <w:r>
        <w:t xml:space="preserve"> </w:t>
      </w:r>
      <w:r>
        <w:t xml:space="preserve">pré-tratamento via</w:t>
      </w:r>
      <w:r>
        <w:t xml:space="preserve"> </w:t>
      </w:r>
      <w:r>
        <w:t xml:space="preserve">regressão</w:t>
      </w:r>
      <w:r>
        <w:t xml:space="preserve"> </w:t>
      </w:r>
      <m:oMath>
        <m:sSub>
          <m:e>
            <m:r>
              <m:t>y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ρ</m:t>
        </m:r>
        <m:r>
          <m:t> </m:t>
        </m:r>
        <m:r>
          <m:t>t</m:t>
        </m:r>
        <m:r>
          <m:rPr>
            <m:sty m:val="p"/>
          </m:rPr>
          <m:t>+</m:t>
        </m:r>
        <m:r>
          <m:t>π</m:t>
        </m:r>
        <m:r>
          <m:t> 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r>
          <m:t>τ</m:t>
        </m:r>
        <m:r>
          <m:t> 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⋅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sobre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2018</m:t>
        </m:r>
        <m:r>
          <m:rPr>
            <m:sty m:val="p"/>
          </m:rPr>
          <m:t>,</m:t>
        </m:r>
        <m:r>
          <m:t>2019</m:t>
        </m:r>
        <m:r>
          <m:rPr>
            <m:sty m:val="p"/>
          </m:rPr>
          <m:t>,</m:t>
        </m:r>
        <m:r>
          <m:t>2020</m:t>
        </m:r>
        <m:r>
          <m:rPr>
            <m:sty m:val="p"/>
          </m:rPr>
          <m:t>}</m:t>
        </m:r>
      </m:oMath>
      <w:r>
        <w:t xml:space="preserve">, com clustering por</w:t>
      </w:r>
      <w:r>
        <w:t xml:space="preserve"> </w:t>
      </w:r>
      <w:r>
        <w:t xml:space="preserve">UF; a hipótese de tendências paralelas pré-tratamento corresponde</w:t>
      </w:r>
      <w:r>
        <w:t xml:space="preserve"> </w:t>
      </w:r>
      <w:r>
        <w:t xml:space="preserve">a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(ROTH, 2022).</w:t>
      </w:r>
      <w:r>
        <w:t xml:space="preserve"> </w:t>
      </w:r>
      <w:r>
        <w:t xml:space="preserve">(vi) Placebo: substituir o</w:t>
      </w:r>
      <w:r>
        <w:t xml:space="preserve"> </w:t>
      </w:r>
      <w:r>
        <w:rPr>
          <w:i/>
          <w:iCs/>
        </w:rPr>
        <w:t xml:space="preserve">cutoff</w:t>
      </w:r>
      <w:r>
        <w:t xml:space="preserve"> </w:t>
      </w:r>
      <w:r>
        <w:t xml:space="preserve">para 2020 (sem mudança</w:t>
      </w:r>
      <w:r>
        <w:t xml:space="preserve"> </w:t>
      </w:r>
      <w:r>
        <w:t xml:space="preserve">institucional) e re-estimar.</w:t>
      </w:r>
      <w:r>
        <w:t xml:space="preserve"> </w:t>
      </w:r>
      <w:r>
        <w:t xml:space="preserve">(vii) </w:t>
      </w:r>
      <w:r>
        <w:rPr>
          <w:i/>
          <w:iCs/>
        </w:rPr>
        <w:t xml:space="preserve">Leave-one-out</w:t>
      </w:r>
      <w:r>
        <w:t xml:space="preserve"> </w:t>
      </w:r>
      <w:r>
        <w:t xml:space="preserve">retirando cada UF.</w:t>
      </w:r>
    </w:p>
    <w:bookmarkEnd w:id="26"/>
    <w:bookmarkStart w:id="27" w:name="índices-formais-de-equidade"/>
    <w:p>
      <w:pPr>
        <w:pStyle w:val="Heading2"/>
      </w:pPr>
      <w:r>
        <w:t xml:space="preserve">Índices formais de equidade</w:t>
      </w:r>
    </w:p>
    <w:p>
      <w:pPr>
        <w:pStyle w:val="FirstParagraph"/>
      </w:pPr>
      <w:r>
        <w:rPr>
          <w:b/>
          <w:bCs/>
        </w:rPr>
        <w:t xml:space="preserve">Índice de Kakwani</w:t>
      </w:r>
      <w:r>
        <w:t xml:space="preserve"> </w:t>
      </w:r>
      <w:r>
        <w:t xml:space="preserve">(KAKWANI, 1977):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 onde</w:t>
      </w:r>
      <w:r>
        <w:t xml:space="preserve"> </w:t>
      </w:r>
      <m:oMath>
        <m:sSub>
          <m:e>
            <m:r>
              <m:t>C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é o índice de concentração da variável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ordenada pelo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é o Gini do próprio</w:t>
      </w:r>
      <w:r>
        <w:t xml:space="preserve"> </w:t>
      </w:r>
      <w:r>
        <w:rPr>
          <w:i/>
          <w:iCs/>
        </w:rPr>
        <w:t xml:space="preserve">ranking</w:t>
      </w:r>
      <w:r>
        <w:t xml:space="preserve">.</w:t>
      </w:r>
      <w:r>
        <w:t xml:space="preserve"> </w:t>
      </w:r>
      <w:r>
        <w:t xml:space="preserve">Ordenamos as 27 UFs pelo IDH-M crescente.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indica</w:t>
      </w:r>
      <w:r>
        <w:t xml:space="preserve"> </w:t>
      </w:r>
      <w:r>
        <w:rPr>
          <w:i/>
          <w:iCs/>
        </w:rPr>
        <w:t xml:space="preserve">progressividade</w:t>
      </w:r>
      <w:r>
        <w:t xml:space="preserve"> </w:t>
      </w:r>
      <w:r>
        <w:t xml:space="preserve">(mais alocação a UFs de menor IDH-M);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indica</w:t>
      </w:r>
      <w:r>
        <w:t xml:space="preserve"> </w:t>
      </w:r>
      <w:r>
        <w:rPr>
          <w:i/>
          <w:iCs/>
        </w:rPr>
        <w:t xml:space="preserve">regressividade</w:t>
      </w:r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indica</w:t>
      </w:r>
      <w:r>
        <w:t xml:space="preserve"> </w:t>
      </w:r>
      <w:r>
        <w:t xml:space="preserve">neutralidade. Calculamos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em 2018, 2020 (pré-AB),</w:t>
      </w:r>
      <w:r>
        <w:t xml:space="preserve"> </w:t>
      </w:r>
      <w:r>
        <w:t xml:space="preserve">2022 (AB), 2024 (NBF) 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nos mesmos</w:t>
      </w:r>
      <w:r>
        <w:t xml:space="preserve"> </w:t>
      </w:r>
      <w:r>
        <w:t xml:space="preserve">exercícios, com IC 95 %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(1000 réplicas).</w:t>
      </w:r>
      <w:r>
        <w:t xml:space="preserve"> </w:t>
      </w:r>
      <w:r>
        <w:rPr>
          <w:b/>
          <w:bCs/>
        </w:rPr>
        <w:t xml:space="preserve">Índice de necessidade.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z</m:t>
            </m:r>
            <m:r>
              <m:rPr>
                <m:sty m:val="i"/>
              </m:rPr>
              <m:t>a</m:t>
            </m:r>
          </m:e>
          <m:sub>
            <m:r>
              <m:t>u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p</m:t>
            </m:r>
          </m:e>
          <m:sub>
            <m:r>
              <m:t>u</m:t>
            </m:r>
          </m:sub>
        </m:sSub>
        <m:r>
          <m:t> </m:t>
        </m:r>
        <m:r>
          <m:rPr>
            <m:sty m:val="p"/>
          </m:rPr>
          <m:t>/</m:t>
        </m:r>
        <m:r>
          <m:t> 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i"/>
                  </m:rPr>
                  <m:t>p</m:t>
                </m:r>
                <m:r>
                  <m:rPr>
                    <m:sty m:val="i"/>
                  </m:rPr>
                  <m:t>o</m:t>
                </m:r>
                <m:r>
                  <m:rPr>
                    <m:sty m:val="i"/>
                  </m:rPr>
                  <m:t>b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i"/>
                  </m:rPr>
                  <m:t>e</m:t>
                </m:r>
                <m:r>
                  <m:rPr>
                    <m:sty m:val="i"/>
                  </m:rPr>
                  <m:t>z</m:t>
                </m:r>
                <m:r>
                  <m:rPr>
                    <m:sty m:val="i"/>
                  </m:rPr>
                  <m:t>a</m:t>
                </m:r>
              </m:e>
              <m:sub>
                <m:r>
                  <m:t>v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p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A razão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u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mede</w:t>
      </w:r>
      <w:r>
        <w:t xml:space="preserve"> </w:t>
      </w:r>
      <w:r>
        <w:t xml:space="preserve">adequação da alocação à necessidade local: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indica</w:t>
      </w:r>
      <w:r>
        <w:t xml:space="preserve"> </w:t>
      </w:r>
      <w:r>
        <w:t xml:space="preserve">sobre-cobertura em relação à intensidade da pobreza local;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indica sub-cobertura.</w:t>
      </w:r>
    </w:p>
    <w:bookmarkEnd w:id="27"/>
    <w:bookmarkStart w:id="28" w:name="benchmark-internacional"/>
    <w:p>
      <w:pPr>
        <w:pStyle w:val="Heading2"/>
      </w:pPr>
      <w:r>
        <w:t xml:space="preserve">Benchmark internacional</w:t>
      </w:r>
    </w:p>
    <w:p>
      <w:pPr>
        <w:pStyle w:val="FirstParagraph"/>
      </w:pPr>
      <w:r>
        <w:t xml:space="preserve">Comparação direta entre o NBF brasileiro e quatro CCTs</w:t>
      </w:r>
      <w:r>
        <w:t xml:space="preserve"> </w:t>
      </w:r>
      <w:r>
        <w:t xml:space="preserve">latino-americanos: AUH (Argentina, 2009), Prospera</w:t>
      </w:r>
      <w:r>
        <w:t xml:space="preserve"> </w:t>
      </w:r>
      <w:r>
        <w:t xml:space="preserve">(México, 1997, extinto pelo governo</w:t>
      </w:r>
      <w:r>
        <w:t xml:space="preserve"> </w:t>
      </w:r>
      <w:r>
        <w:t xml:space="preserve">AMLO), Más Familias en Acción (Colômbia, 2001) e</w:t>
      </w:r>
      <w:r>
        <w:t xml:space="preserve"> </w:t>
      </w:r>
      <w:r>
        <w:t xml:space="preserve">Renta Dignidad (Bolívia, 2008, universalmente vinculado</w:t>
      </w:r>
      <w:r>
        <w:t xml:space="preserve"> </w:t>
      </w:r>
      <w:r>
        <w:t xml:space="preserve">à idade). Métricas: cobertura (% da população atendida), custo</w:t>
      </w:r>
      <w:r>
        <w:t xml:space="preserve"> </w:t>
      </w:r>
      <w:r>
        <w:t xml:space="preserve">(% do PIB anual), valor per beneficiário em US$ PPP 2021</w:t>
      </w:r>
      <w:r>
        <w:t xml:space="preserve"> </w:t>
      </w:r>
      <w:r>
        <w:t xml:space="preserve">(WORLD BANK, 2024b) e custo administrativo declarado</w:t>
      </w:r>
      <w:r>
        <w:t xml:space="preserve"> </w:t>
      </w:r>
      <w:r>
        <w:t xml:space="preserve">(% do gasto total).</w:t>
      </w:r>
    </w:p>
    <w:bookmarkEnd w:id="28"/>
    <w:bookmarkStart w:id="29" w:name="limitações"/>
    <w:p>
      <w:pPr>
        <w:pStyle w:val="Heading2"/>
      </w:pPr>
      <w:r>
        <w:t xml:space="preserve">Limitações</w:t>
      </w:r>
    </w:p>
    <w:p>
      <w:pPr>
        <w:pStyle w:val="FirstParagraph"/>
      </w:pPr>
      <w:r>
        <w:t xml:space="preserve">(i) A unidade de análise é a</w:t>
      </w:r>
      <w:r>
        <w:t xml:space="preserve"> </w:t>
      </w:r>
      <w:r>
        <w:rPr>
          <w:i/>
          <w:iCs/>
        </w:rPr>
        <w:t xml:space="preserve">família</w:t>
      </w:r>
      <w:r>
        <w:t xml:space="preserve"> </w:t>
      </w:r>
      <w:r>
        <w:t xml:space="preserve">beneficiária, não o</w:t>
      </w:r>
      <w:r>
        <w:t xml:space="preserve"> </w:t>
      </w:r>
      <w:r>
        <w:t xml:space="preserve">indivíduo o impacto sobre o orçamento familiar pode</w:t>
      </w:r>
      <w:r>
        <w:t xml:space="preserve"> </w:t>
      </w:r>
      <w:r>
        <w:t xml:space="preserve">diferir do per capita populacional;</w:t>
      </w:r>
      <w:r>
        <w:t xml:space="preserve"> </w:t>
      </w:r>
      <w:r>
        <w:t xml:space="preserve">(ii) o exercício 2026 está em curso e foi excluído da análise (o</w:t>
      </w:r>
      <w:r>
        <w:t xml:space="preserve"> </w:t>
      </w:r>
      <w:r>
        <w:t xml:space="preserve">gold filtra por</w:t>
      </w:r>
      <w:r>
        <w:t xml:space="preserve"> </w:t>
      </w:r>
      <w:r>
        <w:rPr>
          <w:rStyle w:val="VerbatimChar"/>
        </w:rPr>
        <w:t xml:space="preserve">n_months == 12</w:t>
      </w:r>
      <w:r>
        <w:t xml:space="preserve">);</w:t>
      </w:r>
      <w:r>
        <w:t xml:space="preserve"> </w:t>
      </w:r>
      <w:r>
        <w:t xml:space="preserve">(iii) o Auxílio Emergencial (2020), benefício</w:t>
      </w:r>
      <w:r>
        <w:t xml:space="preserve"> </w:t>
      </w:r>
      <w:r>
        <w:t xml:space="preserve">distinto, não é contemplado;</w:t>
      </w:r>
      <w:r>
        <w:t xml:space="preserve"> </w:t>
      </w:r>
      <w:r>
        <w:t xml:space="preserve">(iv) a identificação causal sobre MP 1.061/2021 está sujeita a</w:t>
      </w:r>
      <w:r>
        <w:t xml:space="preserve"> </w:t>
      </w:r>
      <w:r>
        <w:t xml:space="preserve">três limites declarados: número pequeno de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(N=27), coexistência com choques contemporâneos (recuperação</w:t>
      </w:r>
      <w:r>
        <w:t xml:space="preserve"> </w:t>
      </w:r>
      <w:r>
        <w:t xml:space="preserve">pós-COVID, inflação) e rejeição do teste de</w:t>
      </w:r>
      <w:r>
        <w:t xml:space="preserve"> </w:t>
      </w:r>
      <w:r>
        <w:rPr>
          <w:i/>
          <w:iCs/>
        </w:rPr>
        <w:t xml:space="preserve">parallel trends</w:t>
      </w:r>
      <w:r>
        <w:t xml:space="preserve"> </w:t>
      </w:r>
      <w:r>
        <w:t xml:space="preserve">pré-tratamento, conforme detalhado na Seção</w:t>
      </w:r>
      <w:r>
        <w:t xml:space="preserve"> </w:t>
      </w:r>
      <w:hyperlink w:anchor="sec:causal:robustez">
        <w:r>
          <w:rPr>
            <w:rStyle w:val="Hyperlink"/>
          </w:rPr>
          <w:t xml:space="preserve">5.3</w:t>
        </w:r>
      </w:hyperlink>
      <w:r>
        <w:t xml:space="preserve">;</w:t>
      </w:r>
      <w:r>
        <w:t xml:space="preserve"> </w:t>
      </w:r>
      <w:r>
        <w:t xml:space="preserve">(v) o IDH-M utilizado refere-se ao Censo de 2010 (último</w:t>
      </w:r>
      <w:r>
        <w:t xml:space="preserve"> </w:t>
      </w:r>
      <w:r>
        <w:t xml:space="preserve">disponível para o índice na série completa por UF);</w:t>
      </w:r>
      <w:r>
        <w:t xml:space="preserve"> </w:t>
      </w:r>
      <w:r>
        <w:t xml:space="preserve">(vi) a taxa de pobreza PNAD-C 2019 é</w:t>
      </w:r>
      <w:r>
        <w:t xml:space="preserve"> </w:t>
      </w:r>
      <w:r>
        <w:rPr>
          <w:i/>
          <w:iCs/>
        </w:rPr>
        <w:t xml:space="preserve">snapshot</w:t>
      </w:r>
      <w:r>
        <w:t xml:space="preserve"> </w:t>
      </w:r>
      <w:r>
        <w:t xml:space="preserve">pré-pandêmico e pode subestimar o tratamento em UFs onde a</w:t>
      </w:r>
      <w:r>
        <w:t xml:space="preserve"> </w:t>
      </w:r>
      <w:r>
        <w:t xml:space="preserve">pobreza ampliou em 2020;</w:t>
      </w:r>
      <w:r>
        <w:t xml:space="preserve"> </w:t>
      </w:r>
      <w:r>
        <w:t xml:space="preserve">(vii) o benchmark internacional usa anos próximos mas não</w:t>
      </w:r>
      <w:r>
        <w:t xml:space="preserve"> </w:t>
      </w:r>
      <w:r>
        <w:t xml:space="preserve">idênticos por país, limitando comparabilidade exata.</w:t>
      </w:r>
    </w:p>
    <w:bookmarkEnd w:id="29"/>
    <w:bookmarkEnd w:id="30"/>
    <w:bookmarkStart w:id="88" w:name="sec:resultados"/>
    <w:p>
      <w:pPr>
        <w:pStyle w:val="Heading1"/>
      </w:pPr>
      <w:r>
        <w:t xml:space="preserve">Resultados Descritivos</w:t>
      </w:r>
    </w:p>
    <w:bookmarkStart w:id="37" w:name="evolução-temporal-três-regimes-empíricos"/>
    <w:p>
      <w:pPr>
        <w:pStyle w:val="Heading2"/>
      </w:pPr>
      <w:r>
        <w:t xml:space="preserve">Evolução temporal: três regimes empíricos</w:t>
      </w:r>
    </w:p>
    <w:p>
      <w:pPr>
        <w:pStyle w:val="FirstParagraph"/>
      </w:pPr>
      <w:r>
        <w:t xml:space="preserve">A Tabela</w:t>
      </w:r>
      <w:r>
        <w:t xml:space="preserve"> </w:t>
      </w:r>
      <w:hyperlink w:anchor="tab:evol-pbf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apresenta a série temporal nacional</w:t>
      </w:r>
      <w:r>
        <w:t xml:space="preserve"> </w:t>
      </w:r>
      <w:r>
        <w:t xml:space="preserve">consolidada. Observam-se claramente os dois saltos: entre 2021 e</w:t>
      </w:r>
      <w:r>
        <w:t xml:space="preserve"> </w:t>
      </w:r>
      <w:r>
        <w:t xml:space="preserve">2022 (Auxílio Brasil) com fator real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78</m:t>
        </m:r>
        <m:r>
          <m:rPr>
            <m:sty m:val="p"/>
          </m:rPr>
          <m:t>×</m:t>
        </m:r>
      </m:oMath>
      <w:r>
        <w:t xml:space="preserve">, e entre 2022 e</w:t>
      </w:r>
      <w:r>
        <w:t xml:space="preserve"> </w:t>
      </w:r>
      <w:r>
        <w:t xml:space="preserve">2023 (Novo Bolsa Família) com fator real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07</m:t>
        </m:r>
        <m:r>
          <m:rPr>
            <m:sty m:val="p"/>
          </m:rPr>
          <m:t>×</m:t>
        </m:r>
      </m:oMath>
      <w:r>
        <w:t xml:space="preserve">. O salto do</w:t>
      </w:r>
      <w:r>
        <w:t xml:space="preserve"> </w:t>
      </w:r>
      <w:r>
        <w:t xml:space="preserve">valor por beneficiário concentra-se em 2023 (</w:t>
      </w:r>
      <m:oMath>
        <m:r>
          <m:rPr>
            <m:sty m:val="p"/>
          </m:rPr>
          <m:t>+</m:t>
        </m:r>
        <m:r>
          <m:t>102</m:t>
        </m:r>
        <m:r>
          <m:t> </m:t>
        </m:r>
        <m:r>
          <m:rPr>
            <m:sty m:val="p"/>
          </m:rPr>
          <m:t>%</m:t>
        </m:r>
      </m:oMath>
      <w:r>
        <w:t xml:space="preserve">, NBF: novo</w:t>
      </w:r>
      <w:r>
        <w:t xml:space="preserve"> </w:t>
      </w:r>
      <w:r>
        <w:t xml:space="preserve">piso e adicionais por composição familiar); em 2022 a expansão se deu</w:t>
      </w:r>
      <w:r>
        <w:t xml:space="preserve"> </w:t>
      </w:r>
      <w:r>
        <w:t xml:space="preserve">sobretudo por cobertura (famílias beneficiárias de 14,75 para 23,85</w:t>
      </w:r>
      <w:r>
        <w:t xml:space="preserve"> </w:t>
      </w:r>
      <w:r>
        <w:t xml:space="preserve">milhões,</w:t>
      </w:r>
      <w:r>
        <w:t xml:space="preserve"> </w:t>
      </w:r>
      <m:oMath>
        <m:r>
          <m:rPr>
            <m:sty m:val="p"/>
          </m:rPr>
          <m:t>+</m:t>
        </m:r>
        <m:r>
          <m:t>62</m:t>
        </m:r>
        <m:r>
          <m:t> </m:t>
        </m:r>
        <m:r>
          <m:rPr>
            <m:sty m:val="p"/>
          </m:rPr>
          <m:t>%</m:t>
        </m:r>
      </m:oMath>
      <w:r>
        <w:t xml:space="preserve">), com o valor por beneficiário subindo</w:t>
      </w:r>
      <w:r>
        <w:t xml:space="preserve"> </w:t>
      </w:r>
      <m:oMath>
        <m:r>
          <m:rPr>
            <m:sty m:val="p"/>
          </m:rPr>
          <m:t>+</m:t>
        </m:r>
        <m:r>
          <m:t>12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— sinais de transformação institucional, não de mera atualização</w:t>
      </w:r>
      <w:r>
        <w:t xml:space="preserve"> </w:t>
      </w:r>
      <w:r>
        <w:t xml:space="preserve">monetária.</w:t>
      </w:r>
    </w:p>
    <w:bookmarkStart w:id="31" w:name="tab:evol-pbf"/>
    <w:p>
      <w:pPr>
        <w:pStyle w:val="TableCaption"/>
      </w:pPr>
      <w:r>
        <w:t xml:space="preserve">Bolsa Família/AB/NBF: beneficiários, valor pago e per capita Brasil, 2013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Bolsa Família/AB/NBF: beneficiários, valor pago e per capita Brasil, 2013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Beneficiários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Pago real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Pago nominal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 beneficiário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 capita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(milhões)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(R$ bi, 2021)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(R$ bi, correntes)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(R$ /ano, 2021)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(R$ /hab, 2021)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198,60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202,14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184,21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177,26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174,11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176,25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170,56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166,33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172,85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308,61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640,29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662,70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608,51</w:t>
            </w:r>
          </w:p>
        </w:tc>
      </w:tr>
    </w:tbl>
    <w:bookmarkEnd w:id="31"/>
    <w:p>
      <w:pPr>
        <w:pStyle w:val="BodyText"/>
      </w:pPr>
      <w:bookmarkStart w:id="32" w:name="tab:evol-pbf"/>
      <w:bookmarkEnd w:id="32"/>
    </w:p>
    <w:p>
      <w:pPr>
        <w:pStyle w:val="BodyText"/>
      </w:pPr>
      <w:r>
        <w:t xml:space="preserve">A Figura</w:t>
      </w:r>
      <w:r>
        <w:t xml:space="preserve"> </w:t>
      </w:r>
      <w:hyperlink w:anchor="fig:evolut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apresenta visualmente os mesmos dados</w:t>
      </w:r>
      <w:r>
        <w:t xml:space="preserve"> </w:t>
      </w:r>
      <w:r>
        <w:t xml:space="preserve">em eixo duplo, destacando os dois saltos.</w:t>
      </w:r>
    </w:p>
    <w:bookmarkStart w:id="36" w:name="fig:evolution"/>
    <w:p>
      <w:pPr>
        <w:pStyle w:val="CaptionedFigure"/>
      </w:pPr>
      <w:r>
        <w:drawing>
          <wp:inline>
            <wp:extent cx="5292852" cy="294985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02-evolution-du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852" cy="2949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Evolução do valor pago anual (R$ bi, 2021) e do número de beneficiários (milhões), 2013</w:t>
      </w:r>
    </w:p>
    <w:bookmarkEnd w:id="36"/>
    <w:bookmarkEnd w:id="37"/>
    <w:bookmarkStart w:id="46" w:name="X6a06be5d213569c82755a64ea6ac9c70446a84e"/>
    <w:p>
      <w:pPr>
        <w:pStyle w:val="Heading2"/>
      </w:pPr>
      <w:r>
        <w:t xml:space="preserve">Per beneficiário: a transformação qualitativa do programa</w:t>
      </w:r>
    </w:p>
    <w:p>
      <w:pPr>
        <w:pStyle w:val="FirstParagraph"/>
      </w:pPr>
      <w:r>
        <w:t xml:space="preserve">A Figura</w:t>
      </w:r>
      <w:r>
        <w:t xml:space="preserve"> </w:t>
      </w:r>
      <w:hyperlink w:anchor="fig:per-benef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apresenta a evolução do valor médio</w:t>
      </w:r>
      <w:r>
        <w:t xml:space="preserve"> </w:t>
      </w:r>
      <w:r>
        <w:t xml:space="preserve">pago por beneficiário em valores reais. O patamar histórico de</w:t>
      </w:r>
      <w:r>
        <w:t xml:space="preserve"> </w:t>
      </w:r>
      <w:r>
        <w:t xml:space="preserve">R$ 2.000/ano salta para R$ 5.500/ano a partir de 2023, em virtude da elevação do piso e da</w:t>
      </w:r>
      <w:r>
        <w:t xml:space="preserve"> </w:t>
      </w:r>
      <w:r>
        <w:t xml:space="preserve">restruturação dos adicionais por composição familiar. A Figura</w:t>
      </w:r>
      <w:r>
        <w:t xml:space="preserve"> </w:t>
      </w:r>
      <w:hyperlink w:anchor="fig:yoy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apresenta a variação ano-a-ano (YoY).</w:t>
      </w:r>
    </w:p>
    <w:bookmarkStart w:id="41" w:name="fig:per-benef"/>
    <w:p>
      <w:pPr>
        <w:pStyle w:val="CaptionedFigure"/>
      </w:pPr>
      <w:r>
        <w:drawing>
          <wp:inline>
            <wp:extent cx="5292852" cy="269927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03-per-benef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852" cy="269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Valor anual pago por beneficiário (R$ 2021), 2013, com faixas temporais dos três regimes</w:t>
      </w:r>
    </w:p>
    <w:bookmarkEnd w:id="41"/>
    <w:bookmarkStart w:id="45" w:name="fig:yoy"/>
    <w:p>
      <w:pPr>
        <w:pStyle w:val="CaptionedFigure"/>
      </w:pPr>
      <w:r>
        <w:drawing>
          <wp:inline>
            <wp:extent cx="5292852" cy="231790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12-yoy-growth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852" cy="2317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Variação ano-a-ano (%) do valor pago por beneficiário, 2014</w:t>
      </w:r>
    </w:p>
    <w:bookmarkEnd w:id="45"/>
    <w:bookmarkEnd w:id="46"/>
    <w:bookmarkStart w:id="51" w:name="distribuição-regional"/>
    <w:p>
      <w:pPr>
        <w:pStyle w:val="Heading2"/>
      </w:pPr>
      <w:r>
        <w:t xml:space="preserve">Distribuição regional</w:t>
      </w:r>
    </w:p>
    <w:p>
      <w:pPr>
        <w:pStyle w:val="FirstParagraph"/>
      </w:pPr>
      <w:r>
        <w:t xml:space="preserve">A Figura</w:t>
      </w:r>
      <w:r>
        <w:t xml:space="preserve"> </w:t>
      </w:r>
      <w:hyperlink w:anchor="fig:regional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apresenta a distribuição entre as cinco</w:t>
      </w:r>
      <w:r>
        <w:t xml:space="preserve"> </w:t>
      </w:r>
      <w:r>
        <w:t xml:space="preserve">regiões brasileiras em três métricas per capita</w:t>
      </w:r>
      <w:r>
        <w:t xml:space="preserve"> </w:t>
      </w:r>
      <w:r>
        <w:t xml:space="preserve">ponderado pela população, valor agregado em R$ bi e penetração</w:t>
      </w:r>
      <w:r>
        <w:t xml:space="preserve"> </w:t>
      </w:r>
      <w:r>
        <w:t xml:space="preserve">(% da população beneficiária). Em 2025, o</w:t>
      </w:r>
      <w:r>
        <w:t xml:space="preserve"> </w:t>
      </w:r>
      <w:r>
        <w:rPr>
          <w:b/>
          <w:bCs/>
        </w:rPr>
        <w:t xml:space="preserve">Nordeste</w:t>
      </w:r>
      <w:r>
        <w:t xml:space="preserve"> </w:t>
      </w:r>
      <w:r>
        <w:t xml:space="preserve">domina nas três métricas (R$ 1.051/hab,</w:t>
      </w:r>
      <w:r>
        <w:t xml:space="preserve"> </w:t>
      </w:r>
      <w:r>
        <w:t xml:space="preserve">R$ 60,2 bi, penetração 17,6 %), seguido pelo</w:t>
      </w:r>
      <w:r>
        <w:t xml:space="preserve"> </w:t>
      </w:r>
      <w:r>
        <w:rPr>
          <w:b/>
          <w:bCs/>
        </w:rPr>
        <w:t xml:space="preserve">Norte</w:t>
      </w:r>
      <w:r>
        <w:t xml:space="preserve">.</w:t>
      </w:r>
      <w:r>
        <w:t xml:space="preserve"> </w:t>
      </w:r>
      <w:r>
        <w:t xml:space="preserve">Sudeste e Centro-Oeste apresentam patamar intermediário; o</w:t>
      </w:r>
      <w:r>
        <w:t xml:space="preserve"> </w:t>
      </w:r>
      <w:r>
        <w:rPr>
          <w:b/>
          <w:bCs/>
        </w:rPr>
        <w:t xml:space="preserve">Sul</w:t>
      </w:r>
      <w:r>
        <w:t xml:space="preserve"> </w:t>
      </w:r>
      <w:r>
        <w:t xml:space="preserve">apresenta os menores indicadores em todas as métricas</w:t>
      </w:r>
      <w:r>
        <w:t xml:space="preserve"> </w:t>
      </w:r>
      <w:r>
        <w:t xml:space="preserve">(R$ 283/hab, penetração 5,3 %) razão</w:t>
      </w:r>
      <w:r>
        <w:t xml:space="preserve"> </w:t>
      </w:r>
      <w:r>
        <w:t xml:space="preserve">Nordeste/Sul de 3,72:1 em per capita ponderado.</w:t>
      </w:r>
    </w:p>
    <w:bookmarkStart w:id="50" w:name="fig:regional"/>
    <w:p>
      <w:pPr>
        <w:pStyle w:val="CaptionedFigure"/>
      </w:pPr>
      <w:r>
        <w:drawing>
          <wp:inline>
            <wp:extent cx="5753100" cy="149564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04-regiona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95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Bolsa Família por região: per capita ponderado, valor absoluto e penetração (2025)</w:t>
      </w:r>
    </w:p>
    <w:bookmarkEnd w:id="50"/>
    <w:bookmarkEnd w:id="51"/>
    <w:bookmarkStart w:id="58" w:name="top-10-unidades-federativas"/>
    <w:p>
      <w:pPr>
        <w:pStyle w:val="Heading2"/>
      </w:pPr>
      <w:r>
        <w:t xml:space="preserve">Top-10 unidades federativas</w:t>
      </w:r>
    </w:p>
    <w:p>
      <w:pPr>
        <w:pStyle w:val="FirstParagraph"/>
      </w:pPr>
      <w:r>
        <w:t xml:space="preserve">A Tabela</w:t>
      </w:r>
      <w:r>
        <w:t xml:space="preserve"> </w:t>
      </w:r>
      <w:hyperlink w:anchor="tab:topabs-pbf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e a Figura</w:t>
      </w:r>
      <w:r>
        <w:t xml:space="preserve"> </w:t>
      </w:r>
      <w:hyperlink w:anchor="fig:topab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apresentam as 10 UFs de maior volume acumulado em valores reais no</w:t>
      </w:r>
      <w:r>
        <w:t xml:space="preserve"> </w:t>
      </w:r>
      <w:r>
        <w:t xml:space="preserve">período. O ranking absoluto é dominado por estados de grande</w:t>
      </w:r>
      <w:r>
        <w:t xml:space="preserve"> </w:t>
      </w:r>
      <w:r>
        <w:t xml:space="preserve">população (Bahia, São Paulo, Pernambuco, Minas Gerais, Ceará). Como</w:t>
      </w:r>
      <w:r>
        <w:t xml:space="preserve"> </w:t>
      </w:r>
      <w:r>
        <w:t xml:space="preserve">documentado na próxima subseção, o ranking per capita inverte</w:t>
      </w:r>
      <w:r>
        <w:t xml:space="preserve"> </w:t>
      </w:r>
      <w:r>
        <w:t xml:space="preserve">substancialmente a ordem.</w:t>
      </w:r>
    </w:p>
    <w:bookmarkStart w:id="52" w:name="tab:topabs-pbf"/>
    <w:p>
      <w:pPr>
        <w:pStyle w:val="TableCaption"/>
      </w:pPr>
      <w:r>
        <w:t xml:space="preserve">Top-10 UFs por valor pago acumulado em PBF/AB/NBF em valores reais (R$ bi, 2021), 2013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-10 UFs por valor pago acumulado em PBF/AB/NBF em valores reais (R$ bi, 2021), 2013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Posição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Pago acumulado (R$ bi, 2021)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Paulo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Pernambuco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Minas Gerais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Ceará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Maranhão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26,54</w:t>
            </w:r>
          </w:p>
        </w:tc>
      </w:tr>
    </w:tbl>
    <w:bookmarkEnd w:id="52"/>
    <w:p>
      <w:pPr>
        <w:pStyle w:val="BodyText"/>
      </w:pPr>
      <w:bookmarkStart w:id="53" w:name="tab:topabs-pbf"/>
      <w:bookmarkEnd w:id="53"/>
    </w:p>
    <w:bookmarkStart w:id="57" w:name="fig:topabs"/>
    <w:p>
      <w:pPr>
        <w:pStyle w:val="CaptionedFigure"/>
      </w:pPr>
      <w:r>
        <w:drawing>
          <wp:inline>
            <wp:extent cx="4890135" cy="1843644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fig05-top10-ab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1843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Top-10 UFs em valor pago acumulado em PBF/AB/NBF (R$ bi, 2021), 2013</w:t>
      </w:r>
    </w:p>
    <w:bookmarkEnd w:id="57"/>
    <w:bookmarkEnd w:id="58"/>
    <w:bookmarkStart w:id="77" w:name="Xf8d5fd53869635c8b3f4d3ca259da10853d67bd"/>
    <w:p>
      <w:pPr>
        <w:pStyle w:val="Heading2"/>
      </w:pPr>
      <w:r>
        <w:t xml:space="preserve">Análise per capita: focalização territorial</w:t>
      </w:r>
    </w:p>
    <w:p>
      <w:pPr>
        <w:pStyle w:val="FirstParagraph"/>
      </w:pPr>
      <w:r>
        <w:t xml:space="preserve">A Tabela</w:t>
      </w:r>
      <w:r>
        <w:t xml:space="preserve"> </w:t>
      </w:r>
      <w:hyperlink w:anchor="tab:percapita-pbf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e a Figura</w:t>
      </w:r>
      <w:r>
        <w:t xml:space="preserve"> </w:t>
      </w:r>
      <w:hyperlink w:anchor="fig:rank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apresentam o ranking per capita 2025. Maranhão lidera com</w:t>
      </w:r>
      <w:r>
        <w:t xml:space="preserve"> </w:t>
      </w:r>
      <w:r>
        <w:t xml:space="preserve">R$ 1.168,51/hab (</w:t>
      </w:r>
      <w:r>
        <w:rPr>
          <w:b/>
          <w:bCs/>
        </w:rPr>
        <w:t xml:space="preserve">18,8 %</w:t>
      </w:r>
      <w:r>
        <w:t xml:space="preserve"> </w:t>
      </w:r>
      <w:r>
        <w:t xml:space="preserve">da população beneficiária);</w:t>
      </w:r>
      <w:r>
        <w:t xml:space="preserve"> </w:t>
      </w:r>
      <w:r>
        <w:t xml:space="preserve">Santa Catarina é a última com R$ 167,35/hab (</w:t>
      </w:r>
      <w:r>
        <w:rPr>
          <w:b/>
          <w:bCs/>
        </w:rPr>
        <w:t xml:space="preserve">3,3 %</w:t>
      </w:r>
      <w:r>
        <w:t xml:space="preserve"> </w:t>
      </w:r>
      <w:r>
        <w:t xml:space="preserve">de</w:t>
      </w:r>
      <w:r>
        <w:t xml:space="preserve"> </w:t>
      </w:r>
      <w:r>
        <w:t xml:space="preserve">penetração). A razão entre os extremos é de</w:t>
      </w:r>
      <w:r>
        <w:t xml:space="preserve"> </w:t>
      </w:r>
      <w:r>
        <w:rPr>
          <w:b/>
          <w:bCs/>
        </w:rPr>
        <w:t xml:space="preserve">6,98:1</w:t>
      </w:r>
      <w:r>
        <w:t xml:space="preserve">  padrão moderado quando comparado às</w:t>
      </w:r>
      <w:r>
        <w:t xml:space="preserve"> </w:t>
      </w:r>
      <w:r>
        <w:t xml:space="preserve">emendas parlamentares (vide Seção</w:t>
      </w:r>
      <w:r>
        <w:t xml:space="preserve"> </w:t>
      </w:r>
      <w:hyperlink w:anchor="sec:cv">
        <w:r>
          <w:rPr>
            <w:rStyle w:val="Hyperlink"/>
          </w:rPr>
          <w:t xml:space="preserve">4.7</w:t>
        </w:r>
      </w:hyperlink>
      <w:r>
        <w:t xml:space="preserve">).</w:t>
      </w:r>
    </w:p>
    <w:bookmarkStart w:id="59" w:name="tab:percapita-pbf"/>
    <w:p>
      <w:pPr>
        <w:pStyle w:val="TableCaption"/>
      </w:pPr>
      <w:r>
        <w:t xml:space="preserve">Top-10 e bottom-5 UFs por valor pago per capita do PBF/AB/NBF (R$ /hab, 2021), 2025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-10 e bottom-5 UFs por valor pago per capita do PBF/AB/NBF (R$ /hab, 2021), 2025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 capita (R$ /hab)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Penetração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Maranhão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1.168,51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1.119,81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Alagoas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1.077,29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Pernambuco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Amapá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… (UFs intermediárias omitidas)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Distrito Federal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Grande do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Paulo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Paraná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Catarina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167,35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</w:tr>
    </w:tbl>
    <w:bookmarkEnd w:id="59"/>
    <w:p>
      <w:pPr>
        <w:pStyle w:val="BodyText"/>
      </w:pPr>
      <w:bookmarkStart w:id="60" w:name="tab:percapita-pbf"/>
      <w:bookmarkEnd w:id="60"/>
    </w:p>
    <w:bookmarkStart w:id="64" w:name="fig:choro-pc"/>
    <w:p>
      <w:pPr>
        <w:pStyle w:val="CaptionedFigure"/>
      </w:pPr>
      <w:r>
        <w:drawing>
          <wp:inline>
            <wp:extent cx="4890135" cy="471977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06-choropleth-percapit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471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coroplético — Bolsa Família per capita por UF (R$/hab, 2021), 2025</w:t>
      </w:r>
    </w:p>
    <w:bookmarkEnd w:id="64"/>
    <w:bookmarkStart w:id="68" w:name="fig:choro-abs"/>
    <w:p>
      <w:pPr>
        <w:pStyle w:val="CaptionedFigure"/>
      </w:pPr>
      <w:r>
        <w:drawing>
          <wp:inline>
            <wp:extent cx="4890135" cy="4719778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07-choropleth-absoluto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471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coroplético — Bolsa Família valor pago por UF (R$ bi, 2021), 2025</w:t>
      </w:r>
    </w:p>
    <w:bookmarkEnd w:id="68"/>
    <w:bookmarkStart w:id="72" w:name="fig:heatmap"/>
    <w:p>
      <w:pPr>
        <w:pStyle w:val="CaptionedFigure"/>
      </w:pPr>
      <w:r>
        <w:drawing>
          <wp:inline>
            <wp:extent cx="4027170" cy="350389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ig08-heatmap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3503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Heatmap UF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Ano — Bolsa Família per capita (R$/hab, 2021), 2018</w:t>
      </w:r>
    </w:p>
    <w:bookmarkEnd w:id="72"/>
    <w:bookmarkStart w:id="76" w:name="fig:rank"/>
    <w:p>
      <w:pPr>
        <w:pStyle w:val="CaptionedFigure"/>
      </w:pPr>
      <w:r>
        <w:drawing>
          <wp:inline>
            <wp:extent cx="4027170" cy="348043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fig09-per-capita-ranking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3480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Ranking horizontal: Bolsa Família per capita por UF, 2025</w:t>
      </w:r>
    </w:p>
    <w:bookmarkEnd w:id="76"/>
    <w:bookmarkEnd w:id="77"/>
    <w:bookmarkStart w:id="82" w:name="Xdfa86c7c0befeececb1b645ff563cfb665e41b5"/>
    <w:p>
      <w:pPr>
        <w:pStyle w:val="Heading2"/>
      </w:pPr>
      <w:r>
        <w:t xml:space="preserve">Penetração e per capita: escopo da associação</w:t>
      </w:r>
    </w:p>
    <w:p>
      <w:pPr>
        <w:pStyle w:val="FirstParagraph"/>
      </w:pPr>
      <w:r>
        <w:t xml:space="preserve">A Figura</w:t>
      </w:r>
      <w:r>
        <w:t xml:space="preserve"> </w:t>
      </w:r>
      <w:hyperlink w:anchor="fig:pen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apresenta a relação entre penetração</w:t>
      </w:r>
      <w:r>
        <w:t xml:space="preserve"> </w:t>
      </w:r>
      <w:r>
        <w:t xml:space="preserve">(</w:t>
      </w:r>
      <m:oMath>
        <m:r>
          <m:rPr>
            <m:sty m:val="p"/>
          </m:rPr>
          <m:t>%</m:t>
        </m:r>
      </m:oMath>
      <w:r>
        <w:t xml:space="preserve"> </w:t>
      </w:r>
      <w:r>
        <w:t xml:space="preserve">da população beneficiária) e per capita pago em 2025. A</w:t>
      </w:r>
      <w:r>
        <w:t xml:space="preserve"> </w:t>
      </w:r>
      <w:r>
        <w:t xml:space="preserve">correlação é positiva (</w:t>
      </w:r>
      <m:oMath>
        <m:r>
          <m:t>ρ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98</m:t>
        </m:r>
      </m:oMath>
      <w:r>
        <w:t xml:space="preserve">, IC 95 % bootstrap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97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99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UFs, 1000 réplicas), em parte por</w:t>
      </w:r>
      <w:r>
        <w:t xml:space="preserve"> </w:t>
      </w:r>
      <w:r>
        <w:t xml:space="preserve">construção parcial: as duas variáveis compartilham o numerador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n_benef</w:t>
      </w:r>
      <w:r>
        <w:t xml:space="preserve"> </w:t>
      </w:r>
      <w:r>
        <w:t xml:space="preserve"> / </w:t>
      </w:r>
      <w:r>
        <w:t xml:space="preserve"> </w:t>
      </w:r>
      <w:r>
        <w:rPr>
          <w:rStyle w:val="VerbatimChar"/>
        </w:rPr>
        <w:t xml:space="preserve">populacao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 / </w:t>
      </w:r>
      <w:r>
        <w:t xml:space="preserve"> </w:t>
      </w:r>
      <w:r>
        <w:rPr>
          <w:rStyle w:val="VerbatimChar"/>
        </w:rPr>
        <w:t xml:space="preserve">populacao</w:t>
      </w:r>
      <w:r>
        <w:t xml:space="preserve">). A magnitude próxima de 1 reflete</w:t>
      </w:r>
      <w:r>
        <w:t xml:space="preserve"> </w:t>
      </w:r>
      <w:r>
        <w:t xml:space="preserve">homogeneidade do valor médio pago por família entre UFs após o NBF.</w:t>
      </w:r>
    </w:p>
    <w:bookmarkStart w:id="81" w:name="fig:pen"/>
    <w:p>
      <w:pPr>
        <w:pStyle w:val="CaptionedFigure"/>
      </w:pPr>
      <w:r>
        <w:drawing>
          <wp:inline>
            <wp:extent cx="5292852" cy="1920793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10-penetracao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852" cy="1920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Penetração (</w:t>
      </w:r>
      <m:oMath>
        <m:r>
          <m:rPr>
            <m:sty m:val="p"/>
          </m:rPr>
          <m:t>%</m:t>
        </m:r>
      </m:oMath>
      <w:r>
        <w:t xml:space="preserve"> </w:t>
      </w:r>
      <w:r>
        <w:t xml:space="preserve">da população beneficiária) vs per capita 2025 por UF, com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e IC 95 % bootstrap</w:t>
      </w:r>
    </w:p>
    <w:bookmarkEnd w:id="81"/>
    <w:bookmarkEnd w:id="82"/>
    <w:bookmarkStart w:id="87" w:name="sec:cv"/>
    <w:p>
      <w:pPr>
        <w:pStyle w:val="Heading2"/>
      </w:pPr>
      <w:r>
        <w:t xml:space="preserve">Coeficiente de variação: comparação descritiva com Emendas</w:t>
      </w:r>
      <w:r>
        <w:t xml:space="preserve"> </w:t>
      </w:r>
      <w:r>
        <w:t xml:space="preserve">Parlamentares</w:t>
      </w:r>
    </w:p>
    <w:p>
      <w:pPr>
        <w:pStyle w:val="FirstParagraph"/>
      </w:pPr>
      <w:r>
        <w:t xml:space="preserve">A Figura</w:t>
      </w:r>
      <w:r>
        <w:t xml:space="preserve"> </w:t>
      </w:r>
      <w:hyperlink w:anchor="fig:cv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sobrepõe o CV per capita do PBF e o do</w:t>
      </w:r>
      <w:r>
        <w:t xml:space="preserve"> </w:t>
      </w:r>
      <w:r>
        <w:t xml:space="preserve">programa de emendas parlamentares federais. O CV do PBF oscila</w:t>
      </w:r>
      <w:r>
        <w:t xml:space="preserve"> </w:t>
      </w:r>
      <w:r>
        <w:t xml:space="preserve">entre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428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571</m:t>
        </m:r>
      </m:oMath>
      <w:r>
        <w:t xml:space="preserve"> </w:t>
      </w:r>
      <w:r>
        <w:t xml:space="preserve">ao longo do período; o de emendas, entre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570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776</m:t>
        </m:r>
      </m:oMath>
      <w:r>
        <w:t xml:space="preserve"> </w:t>
      </w:r>
      <w:r>
        <w:t xml:space="preserve">(com pico em 2017, primeiro ano após a EC 86 que</w:t>
      </w:r>
      <w:r>
        <w:t xml:space="preserve"> </w:t>
      </w:r>
      <w:r>
        <w:t xml:space="preserve">tornou o RP6 obrigatório a anotação na figura</w:t>
      </w:r>
      <w:r>
        <w:t xml:space="preserve"> </w:t>
      </w:r>
      <w:r>
        <w:t xml:space="preserve">detalha o transitório).</w:t>
      </w:r>
    </w:p>
    <w:p>
      <w:pPr>
        <w:pStyle w:val="BodyText"/>
      </w:pPr>
      <w:r>
        <w:t xml:space="preserve">A diferença entre os dois CVs é descritiva: a Seção</w:t>
      </w:r>
      <w:r>
        <w:t xml:space="preserve"> </w:t>
      </w:r>
      <w:hyperlink w:anchor="sec:equidade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substitui esse contraste descritivo por</w:t>
      </w:r>
      <w:r>
        <w:t xml:space="preserve"> </w:t>
      </w:r>
      <w:r>
        <w:t xml:space="preserve">comparação cardinal via índice de Kakwani.</w:t>
      </w:r>
    </w:p>
    <w:bookmarkStart w:id="86" w:name="fig:cv"/>
    <w:p>
      <w:pPr>
        <w:pStyle w:val="CaptionedFigure"/>
      </w:pPr>
      <w:r>
        <w:drawing>
          <wp:inline>
            <wp:extent cx="5292852" cy="250298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fig11-cv-compariso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852" cy="250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Coeficiente de variação per capita por UF — Bolsa Família vs Emendas Parlamentares, 2013, com anotação no outlier 2017 das emendas</w:t>
      </w:r>
    </w:p>
    <w:bookmarkEnd w:id="86"/>
    <w:bookmarkEnd w:id="87"/>
    <w:bookmarkEnd w:id="88"/>
    <w:bookmarkStart w:id="104" w:name="sec:causal"/>
    <w:p>
      <w:pPr>
        <w:pStyle w:val="Heading1"/>
      </w:pPr>
      <w:r>
        <w:t xml:space="preserve">Identificação causal das transições institucionais</w:t>
      </w:r>
    </w:p>
    <w:p>
      <w:pPr>
        <w:pStyle w:val="FirstParagraph"/>
      </w:pPr>
      <w:r>
        <w:t xml:space="preserve">A Seção</w:t>
      </w:r>
      <w:r>
        <w:t xml:space="preserve"> </w:t>
      </w:r>
      <w:hyperlink w:anchor="sec:resultado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estabeleceu, descritivamente, que o</w:t>
      </w:r>
      <w:r>
        <w:t xml:space="preserve"> </w:t>
      </w:r>
      <w:r>
        <w:t xml:space="preserve">programa atravessou dois pontos de mudança quase simultâneos: MP</w:t>
      </w:r>
      <w:r>
        <w:t xml:space="preserve"> </w:t>
      </w:r>
      <w:r>
        <w:t xml:space="preserve">1.061/2021 (Auxílio Brasil) e Lei 14.601/2023 (Novo Bolsa Família).</w:t>
      </w:r>
      <w:r>
        <w:t xml:space="preserve"> </w:t>
      </w:r>
      <w:r>
        <w:t xml:space="preserve">Esta seção avalia, em desenho quasi-experimental, se o salto</w:t>
      </w:r>
      <w:r>
        <w:t xml:space="preserve"> </w:t>
      </w:r>
      <w:r>
        <w:t xml:space="preserve">observado em valor per capita corresponde a efeito causal</w:t>
      </w:r>
      <w:r>
        <w:t xml:space="preserve"> </w:t>
      </w:r>
      <w:r>
        <w:t xml:space="preserve">identificável ou se reflete tendências pré-existentes.</w:t>
      </w:r>
    </w:p>
    <w:bookmarkStart w:id="93" w:name="construção-do-tratamento-e-amostra"/>
    <w:p>
      <w:pPr>
        <w:pStyle w:val="Heading2"/>
      </w:pPr>
      <w:r>
        <w:t xml:space="preserve">Construção do tratamento e amostra</w:t>
      </w:r>
    </w:p>
    <w:p>
      <w:pPr>
        <w:pStyle w:val="FirstParagraph"/>
      </w:pPr>
      <w:r>
        <w:t xml:space="preserve">O tratamento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classifica UFs pelo</w:t>
      </w:r>
      <w:r>
        <w:t xml:space="preserve"> </w:t>
      </w:r>
      <w:r>
        <w:rPr>
          <w:i/>
          <w:iCs/>
        </w:rPr>
        <w:t xml:space="preserve">déficit de cobertura</w:t>
      </w:r>
      <w:r>
        <w:t xml:space="preserve"> </w:t>
      </w:r>
      <w:r>
        <w:t xml:space="preserve">pré-choque, conforme Seção</w:t>
      </w:r>
      <w:r>
        <w:t xml:space="preserve"> </w:t>
      </w:r>
      <w:hyperlink w:anchor="sec:metodo">
        <w:r>
          <w:rPr>
            <w:rStyle w:val="Hyperlink"/>
          </w:rPr>
          <w:t xml:space="preserve">3</w:t>
        </w:r>
      </w:hyperlink>
      <w:r>
        <w:t xml:space="preserve">. O</w:t>
      </w:r>
      <w:r>
        <w:t xml:space="preserve"> </w:t>
      </w:r>
      <w:r>
        <w:rPr>
          <w:i/>
          <w:iCs/>
        </w:rPr>
        <w:t xml:space="preserve">cutoff</w:t>
      </w:r>
      <w:r>
        <w:t xml:space="preserve"> </w:t>
      </w:r>
      <w:r>
        <w:t xml:space="preserve">no</w:t>
      </w:r>
      <w:r>
        <w:t xml:space="preserve"> </w:t>
      </w:r>
      <w:r>
        <w:t xml:space="preserve">quartil superior produz</w:t>
      </w:r>
      <w:r>
        <w:t xml:space="preserve"> </w:t>
      </w:r>
      <w:r>
        <w:rPr>
          <w:b/>
          <w:bCs/>
        </w:rPr>
        <w:t xml:space="preserve">7 UFs tratadas</w:t>
      </w:r>
      <w:r>
        <w:t xml:space="preserve"> </w:t>
      </w:r>
      <w:r>
        <w:t xml:space="preserve">(AL, AM, CE, MA,</w:t>
      </w:r>
      <w:r>
        <w:t xml:space="preserve"> </w:t>
      </w:r>
      <w:r>
        <w:t xml:space="preserve">PA, PB, PI) e 20 UFs de controle. A Figura</w:t>
      </w:r>
      <w:r>
        <w:t xml:space="preserve"> </w:t>
      </w:r>
      <w:hyperlink w:anchor="fig:barbell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visualiza a transição pré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pós em per capita.</w:t>
      </w:r>
    </w:p>
    <w:bookmarkStart w:id="92" w:name="fig:barbell"/>
    <w:p>
      <w:pPr>
        <w:pStyle w:val="CaptionedFigure"/>
      </w:pPr>
      <w:r>
        <w:drawing>
          <wp:inline>
            <wp:extent cx="4947666" cy="4806414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fig13-causal-barbell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666" cy="480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i/>
          <w:iCs/>
        </w:rPr>
        <w:t xml:space="preserve">Barbell</w:t>
      </w:r>
      <w:r>
        <w:t xml:space="preserve"> </w:t>
      </w:r>
      <w:r>
        <w:t xml:space="preserve">— Bolsa Família per capita por UF, pré (média 2018) vs pós (média 2022). Vermelho: UF tratada (Q4 do déficit pré-choque)</w:t>
      </w:r>
    </w:p>
    <w:bookmarkEnd w:id="92"/>
    <w:bookmarkEnd w:id="93"/>
    <w:bookmarkStart w:id="102" w:name="resultados"/>
    <w:p>
      <w:pPr>
        <w:pStyle w:val="Heading2"/>
      </w:pPr>
      <w:r>
        <w:t xml:space="preserve">Resultados</w:t>
      </w:r>
    </w:p>
    <w:p>
      <w:pPr>
        <w:pStyle w:val="FirstParagraph"/>
      </w:pPr>
      <w:r>
        <w:t xml:space="preserve">A Tabela</w:t>
      </w:r>
      <w:r>
        <w:t xml:space="preserve"> </w:t>
      </w:r>
      <w:hyperlink w:anchor="tab:did-AB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apresenta os coeficientes do DiD 2</w:t>
      </w:r>
      <m:oMath>
        <m:r>
          <m:rPr>
            <m:sty m:val="p"/>
          </m:rPr>
          <m:t>×</m:t>
        </m:r>
      </m:oMath>
      <w:r>
        <w:t xml:space="preserve">2</w:t>
      </w:r>
      <w:r>
        <w:t xml:space="preserve"> </w:t>
      </w:r>
      <w:r>
        <w:t xml:space="preserve">e do TWFE para o choque MP 1.061/2021, com erros HC3 e clusterizados</w:t>
      </w:r>
      <w:r>
        <w:t xml:space="preserve"> </w:t>
      </w:r>
      <w:r>
        <w:t xml:space="preserve">por UF. A Tabela</w:t>
      </w:r>
      <w:r>
        <w:t xml:space="preserve"> </w:t>
      </w:r>
      <w:hyperlink w:anchor="tab:did-NBF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apresenta a replicação cross-shock</w:t>
      </w:r>
      <w:r>
        <w:t xml:space="preserve"> </w:t>
      </w:r>
      <w:r>
        <w:t xml:space="preserve">sobre Lei 14.601/2023.</w:t>
      </w:r>
    </w:p>
    <w:bookmarkStart w:id="94" w:name="tab:did-AB"/>
    <w:p>
      <w:pPr>
        <w:pStyle w:val="TableCaption"/>
      </w:pPr>
      <w:r>
        <w:t xml:space="preserve">DiD sobre MP 1.061/2021 (pré 2018 vs pós 2022)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D sobre MP 1.061/2021 (pré 2018 vs pós 2022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(R$/hab)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95 %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  <w:r>
              <w:t xml:space="preserve">-valor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2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2 (HC3)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223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  <w:r>
              <w:t xml:space="preserve">,</w:t>
            </w: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+</m:t>
              </m:r>
              <m:r>
                <m:t>147</m:t>
              </m:r>
              <m:r>
                <m:rPr>
                  <m:sty m:val="p"/>
                </m:rPr>
                <m:t>,</m:t>
              </m:r>
              <m:r>
                <m:t>69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+</m:t>
              </m:r>
              <m:r>
                <m:t>299</m:t>
              </m:r>
              <m:r>
                <m:rPr>
                  <m:sty m:val="p"/>
                </m:rPr>
                <m:t>,</m:t>
              </m:r>
              <m:r>
                <m:t>82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TWFE clusterizado por UF (N=27)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226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  <w:r>
              <w:t xml:space="preserve">,</w:t>
            </w:r>
            <w:r>
              <w:t xml:space="preserve">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+</m:t>
              </m:r>
              <m:r>
                <m:t>145</m:t>
              </m:r>
              <m:r>
                <m:rPr>
                  <m:sty m:val="p"/>
                </m:rPr>
                <m:t>,</m:t>
              </m:r>
              <m:r>
                <m:t>79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+</m:t>
              </m:r>
              <m:r>
                <m:t>306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Wild-cluster bootstrap</w:t>
            </w:r>
            <w:r>
              <w:t xml:space="preserve"> </w:t>
            </w:r>
            <w:r>
              <w:t xml:space="preserve">(999 sims)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493</m:t>
              </m:r>
            </m:oMath>
            <w:r>
              <w:t xml:space="preserve">​</w:t>
            </w:r>
          </w:p>
        </w:tc>
      </w:tr>
    </w:tbl>
    <w:bookmarkEnd w:id="94"/>
    <w:p>
      <w:pPr>
        <w:pStyle w:val="BodyText"/>
      </w:pPr>
      <w:bookmarkStart w:id="95" w:name="tab:did-AB"/>
      <w:bookmarkEnd w:id="95"/>
    </w:p>
    <w:bookmarkStart w:id="96" w:name="tab:did-NBF"/>
    <w:p>
      <w:pPr>
        <w:pStyle w:val="TableCaption"/>
      </w:pPr>
      <w:r>
        <w:t xml:space="preserve">DiD sobre Lei 14.601/2023 — replicação cross-shock (pré 2021 vs pós 2023)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D sobre Lei 14.601/2023 — replicação cross-shock (pré 2021 vs pós 2023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(R$/hab)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95 %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  <w:r>
              <w:t xml:space="preserve">-valor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2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2 (HC3)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256</m:t>
              </m:r>
              <m:r>
                <m:rPr>
                  <m:sty m:val="p"/>
                </m:rPr>
                <m:t>,</m:t>
              </m:r>
              <m:r>
                <m:t>80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  <w:r>
              <w:t xml:space="preserve">,</w:t>
            </w: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+</m:t>
              </m:r>
              <m:r>
                <m:t>172</m:t>
              </m:r>
              <m:r>
                <m:rPr>
                  <m:sty m:val="p"/>
                </m:rPr>
                <m:t>,</m:t>
              </m:r>
              <m:r>
                <m:t>29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+</m:t>
              </m:r>
              <m:r>
                <m:t>341</m:t>
              </m:r>
              <m:r>
                <m:rPr>
                  <m:sty m:val="p"/>
                </m:rPr>
                <m:t>,</m:t>
              </m:r>
              <m:r>
                <m:t>31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  <w:r>
              <w:t xml:space="preserve">​</w:t>
            </w:r>
          </w:p>
        </w:tc>
      </w:tr>
    </w:tbl>
    <w:bookmarkEnd w:id="96"/>
    <w:p>
      <w:pPr>
        <w:pStyle w:val="BodyText"/>
      </w:pPr>
      <w:bookmarkStart w:id="97" w:name="tab:did-NBF"/>
      <w:bookmarkEnd w:id="97"/>
    </w:p>
    <w:p>
      <w:pPr>
        <w:pStyle w:val="BodyText"/>
      </w:pPr>
      <w:r>
        <w:t xml:space="preserve">A Figura</w:t>
      </w:r>
      <w:r>
        <w:t xml:space="preserve"> </w:t>
      </w:r>
      <w:hyperlink w:anchor="fig:event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mostra as trajetórias médias anuais de</w:t>
      </w:r>
      <w:r>
        <w:t xml:space="preserve"> </w:t>
      </w:r>
      <w:r>
        <w:t xml:space="preserve">Treated vs Control com marcadores verticais nos dois</w:t>
      </w:r>
      <w:r>
        <w:t xml:space="preserve"> </w:t>
      </w:r>
      <w:r>
        <w:rPr>
          <w:i/>
          <w:iCs/>
        </w:rPr>
        <w:t xml:space="preserve">cutoffs</w:t>
      </w:r>
      <w:r>
        <w:t xml:space="preserve"> </w:t>
      </w:r>
      <w:r>
        <w:t xml:space="preserve">institucionais.</w:t>
      </w:r>
    </w:p>
    <w:bookmarkStart w:id="101" w:name="fig:event"/>
    <w:p>
      <w:pPr>
        <w:pStyle w:val="CaptionedFigure"/>
      </w:pPr>
      <w:r>
        <w:drawing>
          <wp:inline>
            <wp:extent cx="5292852" cy="347907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fig14-event-study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852" cy="3479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Trajetórias médias de per capita real (R$/hab, 2021): Treated (Q4 déficit pré-choque) vs Control</w:t>
      </w:r>
    </w:p>
    <w:bookmarkEnd w:id="101"/>
    <w:bookmarkEnd w:id="102"/>
    <w:bookmarkStart w:id="103" w:name="sec:causal:robustez"/>
    <w:p>
      <w:pPr>
        <w:pStyle w:val="Heading2"/>
      </w:pPr>
      <w:r>
        <w:t xml:space="preserve">Robustez e limitações da identificação</w:t>
      </w:r>
    </w:p>
    <w:p>
      <w:pPr>
        <w:pStyle w:val="FirstParagraph"/>
      </w:pPr>
      <w:r>
        <w:rPr>
          <w:b/>
          <w:bCs/>
        </w:rPr>
        <w:t xml:space="preserve">Wild-cluster bootstrap.</w:t>
      </w:r>
      <w:r>
        <w:t xml:space="preserve"> </w:t>
      </w:r>
      <w:r>
        <w:t xml:space="preserve">Sob HC3 e clustering assintótico,</w:t>
      </w:r>
      <w:r>
        <w:t xml:space="preserve"> </w:t>
      </w:r>
      <w:r>
        <w:t xml:space="preserve">o efeito é ordens de magnitude maior que o erro padrão; sob WCB com</w:t>
      </w:r>
      <w:r>
        <w:t xml:space="preserve"> </w:t>
      </w:r>
      <w:r>
        <w:t xml:space="preserve">999 réplicas Rademacher, o</w:t>
      </w:r>
      <w:r>
        <w:t xml:space="preserve"> </w:t>
      </w:r>
      <m:oMath>
        <m:r>
          <m:t>p</m:t>
        </m:r>
      </m:oMath>
      <w:r>
        <w:t xml:space="preserve">-valor sobe para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493</m:t>
        </m:r>
      </m:oMath>
      <w:r>
        <w:t xml:space="preserve">. Esse</w:t>
      </w:r>
      <w:r>
        <w:t xml:space="preserve"> </w:t>
      </w:r>
      <w:r>
        <w:t xml:space="preserve">contraste é uma manifestação clássica da inconsistência de erros</w:t>
      </w:r>
      <w:r>
        <w:t xml:space="preserve"> </w:t>
      </w:r>
      <w:r>
        <w:t xml:space="preserve">clusterizados quando o número de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é</w:t>
      </w:r>
      <w:r>
        <w:t xml:space="preserve"> </w:t>
      </w:r>
      <w:r>
        <w:t xml:space="preserve">pequeno (CAMERON et al., 2008).</w:t>
      </w:r>
      <w:r>
        <w:t xml:space="preserve"> </w:t>
      </w:r>
      <w:r>
        <w:rPr>
          <w:b/>
          <w:bCs/>
        </w:rPr>
        <w:t xml:space="preserve">O efeito não pode ser</w:t>
      </w:r>
      <w:r>
        <w:rPr>
          <w:b/>
          <w:bCs/>
        </w:rPr>
        <w:t xml:space="preserve"> </w:t>
      </w:r>
      <w:r>
        <w:rPr>
          <w:b/>
          <w:bCs/>
        </w:rPr>
        <w:t xml:space="preserve">distinguido de zero sob a métrica robusta apropriada para N=27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Parallel trends.</w:t>
      </w:r>
      <w:r>
        <w:t xml:space="preserve"> </w:t>
      </w:r>
      <w:r>
        <w:t xml:space="preserve">A regressão pré-tratamento</w:t>
      </w:r>
      <w:r>
        <w:t xml:space="preserve"> </w:t>
      </w:r>
      <m:oMath>
        <m:sSub>
          <m:e>
            <m:r>
              <m:t>y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ρ</m:t>
        </m:r>
        <m:r>
          <m:t>t</m:t>
        </m:r>
        <m:r>
          <m:rPr>
            <m:sty m:val="p"/>
          </m:rPr>
          <m:t>+</m:t>
        </m:r>
        <m:r>
          <m:t>π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⋅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sobre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2018</m:t>
        </m:r>
        <m:r>
          <m:rPr>
            <m:sty m:val="p"/>
          </m:rPr>
          <m:t>,</m:t>
        </m:r>
        <m:r>
          <m:t>2019</m:t>
        </m:r>
        <m:r>
          <m:rPr>
            <m:sty m:val="p"/>
          </m:rPr>
          <m:t>,</m:t>
        </m:r>
        <m:r>
          <m:t>2020</m:t>
        </m:r>
        <m:r>
          <m:rPr>
            <m:sty m:val="p"/>
          </m:rPr>
          <m:t>}</m:t>
        </m:r>
      </m:oMath>
      <w:r>
        <w:t xml:space="preserve"> </w:t>
      </w:r>
      <w:r>
        <w:t xml:space="preserve">produz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, clustering por UF). A hipótese</w:t>
      </w:r>
      <w:r>
        <w:t xml:space="preserve"> </w:t>
      </w:r>
      <w:r>
        <w:t xml:space="preserve">de tendências paralelas é</w:t>
      </w:r>
      <w:r>
        <w:t xml:space="preserve"> </w:t>
      </w:r>
      <w:r>
        <w:rPr>
          <w:b/>
          <w:bCs/>
        </w:rPr>
        <w:t xml:space="preserve">rejeitada</w:t>
      </w:r>
      <w:r>
        <w:t xml:space="preserve">: já havia divergência</w:t>
      </w:r>
      <w:r>
        <w:t xml:space="preserve"> </w:t>
      </w:r>
      <w:r>
        <w:t xml:space="preserve">sistemática entre Treated e Control antes de novembro de 2021. Sob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ônus</w:t>
      </w:r>
      <w:r>
        <w:t xml:space="preserve"> </w:t>
      </w:r>
      <w:r>
        <w:t xml:space="preserve">de Roth (2022), parte do efeito estimado pode</w:t>
      </w:r>
      <w:r>
        <w:t xml:space="preserve"> </w:t>
      </w:r>
      <w:r>
        <w:t xml:space="preserve">refletir essa divergência pré-existente.</w:t>
      </w:r>
    </w:p>
    <w:p>
      <w:pPr>
        <w:pStyle w:val="BodyText"/>
      </w:pPr>
      <w:r>
        <w:rPr>
          <w:b/>
          <w:bCs/>
        </w:rPr>
        <w:t xml:space="preserve">Placebo.</w:t>
      </w:r>
      <w:r>
        <w:t xml:space="preserve"> </w:t>
      </w:r>
      <w:r>
        <w:t xml:space="preserve">O DiD com</w:t>
      </w:r>
      <w:r>
        <w:t xml:space="preserve"> </w:t>
      </w:r>
      <w:r>
        <w:rPr>
          <w:i/>
          <w:iCs/>
        </w:rPr>
        <w:t xml:space="preserve">cutoff</w:t>
      </w:r>
      <w:r>
        <w:t xml:space="preserve"> </w:t>
      </w:r>
      <w:r>
        <w:t xml:space="preserve">em 2020 (sem mudança</w:t>
      </w:r>
      <w:r>
        <w:t xml:space="preserve"> </w:t>
      </w:r>
      <w:r>
        <w:t xml:space="preserve">institucional) retorna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t>72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004</m:t>
        </m:r>
      </m:oMath>
      <w:r>
        <w:t xml:space="preserve">),</w:t>
      </w:r>
      <w:r>
        <w:t xml:space="preserve"> </w:t>
      </w:r>
      <w:r>
        <w:t xml:space="preserve">sugerindo presença de tendência diferencial não-relacionada a MP</w:t>
      </w:r>
      <w:r>
        <w:t xml:space="preserve"> </w:t>
      </w:r>
      <w:r>
        <w:t xml:space="preserve">1.061/2021.</w:t>
      </w:r>
    </w:p>
    <w:p>
      <w:pPr>
        <w:pStyle w:val="BodyText"/>
      </w:pPr>
      <w:r>
        <w:rPr>
          <w:b/>
          <w:bCs/>
        </w:rPr>
        <w:t xml:space="preserve">Leave-one-out.</w:t>
      </w:r>
      <w:r>
        <w:t xml:space="preserve"> </w:t>
      </w:r>
      <w:r>
        <w:t xml:space="preserve">A retirada sequencial de cada UF resulta</w:t>
      </w:r>
      <w:r>
        <w:t xml:space="preserve"> </w:t>
      </w:r>
      <w:r>
        <w:t xml:space="preserve">em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+</m:t>
        </m:r>
        <m:r>
          <m:t>209</m:t>
        </m:r>
        <m:r>
          <m:rPr>
            <m:sty m:val="p"/>
          </m:rPr>
          <m:t>,</m:t>
        </m:r>
        <m:r>
          <m:t>70</m:t>
        </m:r>
        <m:r>
          <m:rPr>
            <m:sty m:val="p"/>
          </m:rPr>
          <m:t>;</m:t>
        </m:r>
        <m:r>
          <m:t> </m:t>
        </m:r>
        <m:r>
          <m:rPr>
            <m:sty m:val="p"/>
          </m:rPr>
          <m:t>+</m:t>
        </m:r>
        <m:r>
          <m:t>237</m:t>
        </m:r>
        <m:r>
          <m:rPr>
            <m:sty m:val="p"/>
          </m:rPr>
          <m:t>,</m:t>
        </m:r>
        <m:r>
          <m:t>56</m:t>
        </m:r>
        <m:r>
          <m:rPr>
            <m:sty m:val="p"/>
          </m:rPr>
          <m:t>]</m:t>
        </m:r>
      </m:oMath>
      <w:r>
        <w:t xml:space="preserve"> </w:t>
      </w:r>
      <w:r>
        <w:t xml:space="preserve">(média</w:t>
      </w:r>
      <w:r>
        <w:t xml:space="preserve"> </w:t>
      </w:r>
      <m:oMath>
        <m:r>
          <m:rPr>
            <m:sty m:val="p"/>
          </m:rPr>
          <m:t>+</m:t>
        </m:r>
        <m:r>
          <m:t>223</m:t>
        </m:r>
        <m:r>
          <m:rPr>
            <m:sty m:val="p"/>
          </m:rPr>
          <m:t>,</m:t>
        </m:r>
        <m:r>
          <m:t>75</m:t>
        </m:r>
      </m:oMath>
      <w:r>
        <w:t xml:space="preserve">, dp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47</m:t>
        </m:r>
      </m:oMath>
      <w:r>
        <w:t xml:space="preserve">),</w:t>
      </w:r>
      <w:r>
        <w:t xml:space="preserve"> </w:t>
      </w:r>
      <w:r>
        <w:t xml:space="preserve">indicando estabilidade ao subconjunto amostral.</w:t>
      </w:r>
    </w:p>
    <w:p>
      <w:pPr>
        <w:pStyle w:val="BodyText"/>
      </w:pPr>
      <w:r>
        <w:rPr>
          <w:b/>
          <w:bCs/>
        </w:rPr>
        <w:t xml:space="preserve">Interpretação.</w:t>
      </w:r>
      <w:r>
        <w:t xml:space="preserve"> </w:t>
      </w:r>
      <w:r>
        <w:t xml:space="preserve">Os pontos (i) WCB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49</m:t>
        </m:r>
      </m:oMath>
      <w:r>
        <w:t xml:space="preserve"> </w:t>
      </w:r>
      <w:r>
        <w:t xml:space="preserve">e (ii)</w:t>
      </w:r>
      <w:r>
        <w:t xml:space="preserve"> </w:t>
      </w:r>
      <w:r>
        <w:t xml:space="preserve">parallel-trends rejeitado são</w:t>
      </w:r>
      <w:r>
        <w:t xml:space="preserve"> </w:t>
      </w:r>
      <w:r>
        <w:rPr>
          <w:i/>
          <w:iCs/>
        </w:rPr>
        <w:t xml:space="preserve">red flags</w:t>
      </w:r>
      <w:r>
        <w:t xml:space="preserve"> </w:t>
      </w:r>
      <w:r>
        <w:t xml:space="preserve">identificacionais.</w:t>
      </w:r>
      <w:r>
        <w:t xml:space="preserve"> </w:t>
      </w:r>
      <w:r>
        <w:t xml:space="preserve">A magnitude do salto descritivo é incontroversa; a atribuição</w:t>
      </w:r>
      <w:r>
        <w:t xml:space="preserve"> </w:t>
      </w:r>
      <w:r>
        <w:rPr>
          <w:i/>
          <w:iCs/>
        </w:rPr>
        <w:t xml:space="preserve">causal</w:t>
      </w:r>
      <w:r>
        <w:t xml:space="preserve"> </w:t>
      </w:r>
      <w:r>
        <w:t xml:space="preserve">da diferença a MP 1.061/2021</w:t>
      </w:r>
      <w:r>
        <w:t xml:space="preserve"> </w:t>
      </w:r>
      <w:r>
        <w:rPr>
          <w:b/>
          <w:bCs/>
        </w:rPr>
        <w:t xml:space="preserve">não é sustentada</w:t>
      </w:r>
      <w:r>
        <w:rPr>
          <w:b/>
          <w:bCs/>
        </w:rPr>
        <w:t xml:space="preserve"> </w:t>
      </w:r>
      <w:r>
        <w:rPr>
          <w:b/>
          <w:bCs/>
        </w:rPr>
        <w:t xml:space="preserve">pela métrica robusta apropriada para N=27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clusters</w:t>
      </w:r>
      <w:r>
        <w:t xml:space="preserve">. O</w:t>
      </w:r>
      <w:r>
        <w:t xml:space="preserve"> </w:t>
      </w:r>
      <w:r>
        <w:t xml:space="preserve">desenho aqui apresentado é o melhor possível com os dados</w:t>
      </w:r>
      <w:r>
        <w:t xml:space="preserve"> </w:t>
      </w:r>
      <w:r>
        <w:t xml:space="preserve">disponíveis em frequência anual e cobertura por UF a</w:t>
      </w:r>
      <w:r>
        <w:t xml:space="preserve"> </w:t>
      </w:r>
      <w:r>
        <w:t xml:space="preserve">identificação rigorosa do efeito requer microdados mensais por</w:t>
      </w:r>
      <w:r>
        <w:t xml:space="preserve"> </w:t>
      </w:r>
      <w:r>
        <w:t xml:space="preserve">município com Cadastro Único, que não estão publicamente disponíveis</w:t>
      </w:r>
      <w:r>
        <w:t xml:space="preserve"> </w:t>
      </w:r>
      <w:r>
        <w:t xml:space="preserve">em série completa.</w:t>
      </w:r>
    </w:p>
    <w:bookmarkEnd w:id="103"/>
    <w:bookmarkEnd w:id="104"/>
    <w:bookmarkStart w:id="117" w:name="sec:equidade"/>
    <w:p>
      <w:pPr>
        <w:pStyle w:val="Heading1"/>
      </w:pPr>
      <w:r>
        <w:t xml:space="preserve">Análise formal de equidade</w:t>
      </w:r>
    </w:p>
    <w:bookmarkStart w:id="111" w:name="X9156633a4510ddf0ce0ad49603a0373331c32a4"/>
    <w:p>
      <w:pPr>
        <w:pStyle w:val="Heading2"/>
      </w:pPr>
      <w:r>
        <w:t xml:space="preserve">Índice de Kakwani sobre PBF e emendas, 2018</w:t>
      </w:r>
    </w:p>
    <w:p>
      <w:pPr>
        <w:pStyle w:val="FirstParagraph"/>
      </w:pPr>
      <w:r>
        <w:t xml:space="preserve">A Tabela</w:t>
      </w:r>
      <w:r>
        <w:t xml:space="preserve"> </w:t>
      </w:r>
      <w:hyperlink w:anchor="tab:kakwani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apresenta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para PBF</w:t>
      </w:r>
      <w:r>
        <w:t xml:space="preserve"> </w:t>
      </w:r>
      <w:r>
        <w:t xml:space="preserve">per capita ordenado por IDH-M e para emendas per capita no mesmo</w:t>
      </w:r>
      <w:r>
        <w:t xml:space="preserve"> </w:t>
      </w:r>
      <w:r>
        <w:rPr>
          <w:i/>
          <w:iCs/>
        </w:rPr>
        <w:t xml:space="preserve">ranking</w:t>
      </w:r>
      <w:r>
        <w:t xml:space="preserve">, em quatro exercícios. Os intervalos de confiança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(1000 réplicas) acompanham cada estimativa.</w:t>
      </w:r>
    </w:p>
    <w:bookmarkStart w:id="105" w:name="tab:kakwani"/>
    <w:p>
      <w:pPr>
        <w:pStyle w:val="TableCaption"/>
      </w:pPr>
      <w:r>
        <w:t xml:space="preserve">Kakwani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— PBF e emendas, com IC 95 % bootstrap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akwani K = C_y - G_{\mathrm{IDHM}} — PBF e emendas, com IC 95 % bootstrap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Programa/Regime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inf.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sup.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PBF clássico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3340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3942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2474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progressivo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PBF pré-AB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3238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2395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progressivo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Auxílio Brasil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2749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3229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2045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progressivo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Bolsa Família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2582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3039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1898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progressivo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Emendas pré-AB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1734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3096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0263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progressivo (fraco)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Emendas 2022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1312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0246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progressivo (fraco)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Emendas 2024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1548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2701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0251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progressivo (fraco)</w:t>
            </w:r>
          </w:p>
        </w:tc>
      </w:tr>
    </w:tbl>
    <w:bookmarkEnd w:id="105"/>
    <w:p>
      <w:pPr>
        <w:pStyle w:val="BodyText"/>
      </w:pPr>
      <w:bookmarkStart w:id="106" w:name="tab:kakwani"/>
      <w:bookmarkEnd w:id="106"/>
    </w:p>
    <w:p>
      <w:pPr>
        <w:pStyle w:val="BodyText"/>
      </w:pPr>
      <w:r>
        <w:t xml:space="preserve">Dois resultados distintos da literatura descritiva pré-existente:</w:t>
      </w:r>
      <w:r>
        <w:t xml:space="preserve"> </w:t>
      </w:r>
      <w:r>
        <w:t xml:space="preserve">(i) PBF/NBF é consistentemente mais progressivo que emendas</w:t>
      </w:r>
      <w:r>
        <w:t xml:space="preserve"> </w:t>
      </w:r>
      <w:r>
        <w:t xml:space="preserve">a magnitude é cardinal, não apenas comparativa de CVs;</w:t>
      </w:r>
      <w:r>
        <w:t xml:space="preserve"> </w:t>
      </w:r>
      <w:r>
        <w:t xml:space="preserve">(ii)</w:t>
      </w:r>
      <w:r>
        <w:t xml:space="preserve"> </w:t>
      </w:r>
      <w:r>
        <w:rPr>
          <w:b/>
          <w:bCs/>
        </w:rPr>
        <w:t xml:space="preserve">a progressividade do programa caiu monotonicamente</w:t>
      </w:r>
      <w:r>
        <w:rPr>
          <w:b/>
          <w:bCs/>
        </w:rPr>
        <w:t xml:space="preserve"> </w:t>
      </w:r>
      <w:r>
        <w:rPr>
          <w:b/>
          <w:bCs/>
        </w:rPr>
        <w:t xml:space="preserve">entre 2018 e 2024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334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258</m:t>
        </m:r>
      </m:oMath>
      <w:r>
        <w:t xml:space="preserve">), sugerindo que a expansão</w:t>
      </w:r>
      <w:r>
        <w:t xml:space="preserve"> </w:t>
      </w:r>
      <w:r>
        <w:t xml:space="preserve">de cobertura via Auxílio Brasil e NBF incorporou famílias em UFs</w:t>
      </w:r>
      <w:r>
        <w:t xml:space="preserve"> </w:t>
      </w:r>
      <w:r>
        <w:t xml:space="preserve">de IDH-M mais alto na proporção, atenuando o gradiente</w:t>
      </w:r>
      <w:r>
        <w:t xml:space="preserve"> </w:t>
      </w:r>
      <w:r>
        <w:t xml:space="preserve">progressivo. O programa ficou mais grande mas, por essa métrica,</w:t>
      </w:r>
      <w:r>
        <w:t xml:space="preserve"> </w:t>
      </w:r>
      <w:r>
        <w:t xml:space="preserve">ligeiramente menos focado nos estados com pior IDH-M.</w:t>
      </w:r>
    </w:p>
    <w:p>
      <w:pPr>
        <w:pStyle w:val="BodyText"/>
      </w:pPr>
      <w:r>
        <w:t xml:space="preserve">A Figura</w:t>
      </w:r>
      <w:r>
        <w:t xml:space="preserve"> </w:t>
      </w:r>
      <w:hyperlink w:anchor="fig:kakwani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apresenta as curvas de concentração de</w:t>
      </w:r>
      <w:r>
        <w:t xml:space="preserve"> </w:t>
      </w:r>
      <w:r>
        <w:t xml:space="preserve">PBF/NBF (2024) e emendas (2024) sobre as UFs ordenadas por IDH-M.</w:t>
      </w:r>
    </w:p>
    <w:bookmarkStart w:id="110" w:name="fig:kakwani"/>
    <w:p>
      <w:pPr>
        <w:pStyle w:val="CaptionedFigure"/>
      </w:pPr>
      <w:r>
        <w:drawing>
          <wp:inline>
            <wp:extent cx="5292852" cy="2504176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fig15-kakwani-curve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852" cy="2504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Curvas de concentração: PBF/NBF (2024) vs Emendas Parlamentares (2024), UFs ordenadas por IDH-M crescente</w:t>
      </w:r>
    </w:p>
    <w:bookmarkEnd w:id="110"/>
    <w:bookmarkEnd w:id="111"/>
    <w:bookmarkStart w:id="116" w:name="X249df5432f7f942e4a1722a7fd425b50fdb4faf"/>
    <w:p>
      <w:pPr>
        <w:pStyle w:val="Heading2"/>
      </w:pPr>
      <w:r>
        <w:t xml:space="preserve">Índice de necessidade — adequação à intensidade da pobreza local</w:t>
      </w:r>
    </w:p>
    <w:p>
      <w:pPr>
        <w:pStyle w:val="FirstParagraph"/>
      </w:pPr>
      <w:r>
        <w:t xml:space="preserve">A Figura</w:t>
      </w:r>
      <w:r>
        <w:t xml:space="preserve"> </w:t>
      </w:r>
      <w:hyperlink w:anchor="fig:need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apresenta a razão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u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n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t>u</m:t>
            </m:r>
          </m:sub>
        </m:sSub>
      </m:oMath>
      <w:r>
        <w:t xml:space="preserve"> </w:t>
      </w:r>
      <w:r>
        <w:t xml:space="preserve">em 2024, ordenada do menor ao maior. UFs com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recebem</w:t>
      </w:r>
      <w:r>
        <w:t xml:space="preserve"> </w:t>
      </w:r>
      <w:r>
        <w:t xml:space="preserve">proporcionalmente mais que sua</w:t>
      </w:r>
      <w:r>
        <w:t xml:space="preserve"> </w:t>
      </w:r>
      <w:r>
        <w:rPr>
          <w:i/>
          <w:iCs/>
        </w:rPr>
        <w:t xml:space="preserve">fatia de necessidade</w:t>
      </w:r>
      <w:r>
        <w:t xml:space="preserve"> </w:t>
      </w:r>
      <w:r>
        <w:t xml:space="preserve">(definida como pobreza </w:t>
      </w:r>
      <m:oMath>
        <m:r>
          <m:rPr>
            <m:sty m:val="p"/>
          </m:rPr>
          <m:t>×</m:t>
        </m:r>
      </m:oMath>
      <w:r>
        <w:t xml:space="preserve"> população); UFs com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estão</w:t>
      </w:r>
      <w:r>
        <w:t xml:space="preserve"> </w:t>
      </w:r>
      <w:r>
        <w:t xml:space="preserve">sub-cobertas em relação à intensidade da pobreza local.</w:t>
      </w:r>
    </w:p>
    <w:bookmarkStart w:id="115" w:name="fig:need"/>
    <w:p>
      <w:pPr>
        <w:pStyle w:val="CaptionedFigure"/>
      </w:pPr>
      <w:r>
        <w:drawing>
          <wp:inline>
            <wp:extent cx="4890135" cy="3115663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fig16-need-vs-coverag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3115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Razão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n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sub>
        </m:sSub>
      </m:oMath>
      <w:r>
        <w:t xml:space="preserve"> </w:t>
      </w:r>
      <w:r>
        <w:t xml:space="preserve">por UF, 2024. Linha tracejada em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</w:p>
    <w:bookmarkEnd w:id="115"/>
    <w:p>
      <w:pPr>
        <w:pStyle w:val="BodyText"/>
      </w:pPr>
      <w:r>
        <w:t xml:space="preserve">Resultado contraintuitivo distinto da análise per capita simples:</w:t>
      </w:r>
      <w:r>
        <w:t xml:space="preserve"> </w:t>
      </w:r>
      <w:r>
        <w:rPr>
          <w:b/>
          <w:bCs/>
        </w:rPr>
        <w:t xml:space="preserve">UFs aparentemente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campeãs</w:t>
      </w:r>
      <w:r>
        <w:rPr>
          <w:b/>
          <w:bCs/>
        </w:rPr>
        <w:t xml:space="preserve"> </w:t>
      </w:r>
      <w:r>
        <w:rPr>
          <w:b/>
          <w:bCs/>
        </w:rPr>
        <w:t xml:space="preserve">em per capita (Maranhão,</w:t>
      </w:r>
      <w:r>
        <w:rPr>
          <w:b/>
          <w:bCs/>
        </w:rPr>
        <w:t xml:space="preserve"> </w:t>
      </w:r>
      <w:r>
        <w:rPr>
          <w:b/>
          <w:bCs/>
        </w:rPr>
        <w:t xml:space="preserve">Roraima, Rondônia) estão de fato sub-atendidas em relação à</w:t>
      </w:r>
      <w:r>
        <w:rPr>
          <w:b/>
          <w:bCs/>
        </w:rPr>
        <w:t xml:space="preserve"> </w:t>
      </w:r>
      <w:r>
        <w:rPr>
          <w:b/>
          <w:bCs/>
        </w:rPr>
        <w:t xml:space="preserve">intensidade da pobreza local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89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84</m:t>
        </m:r>
      </m:oMath>
      <w:r>
        <w:t xml:space="preserve">). Isso</w:t>
      </w:r>
      <w:r>
        <w:t xml:space="preserve"> </w:t>
      </w:r>
      <w:r>
        <w:t xml:space="preserve">ocorre porque a</w:t>
      </w:r>
      <w:r>
        <w:t xml:space="preserve"> </w:t>
      </w:r>
      <w:r>
        <w:rPr>
          <w:i/>
          <w:iCs/>
        </w:rPr>
        <w:t xml:space="preserve">intensidade</w:t>
      </w:r>
      <w:r>
        <w:t xml:space="preserve"> </w:t>
      </w:r>
      <w:r>
        <w:t xml:space="preserve">da pobreza nessas UFs é tão</w:t>
      </w:r>
      <w:r>
        <w:t xml:space="preserve"> </w:t>
      </w:r>
      <w:r>
        <w:t xml:space="preserve">elevada que mesmo o per capita líder não compensa o número de</w:t>
      </w:r>
      <w:r>
        <w:t xml:space="preserve"> </w:t>
      </w:r>
      <w:r>
        <w:t xml:space="preserve">famílias em situação de pobreza monetária. UFs ricas como Distrito</w:t>
      </w:r>
      <w:r>
        <w:t xml:space="preserve"> </w:t>
      </w:r>
      <w:r>
        <w:t xml:space="preserve">Federal, Rio de Janeiro e Rio Grande do Sul aparecem com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 pobreza nelas é menor em proporção, e a presença de</w:t>
      </w:r>
      <w:r>
        <w:t xml:space="preserve"> </w:t>
      </w:r>
      <w:r>
        <w:t xml:space="preserve">estruturas urbanas e de Cadastro Único mais consolidadas favorecem</w:t>
      </w:r>
      <w:r>
        <w:t xml:space="preserve"> </w:t>
      </w:r>
      <w:r>
        <w:t xml:space="preserve">sobre-cobertura relativa.</w:t>
      </w:r>
    </w:p>
    <w:bookmarkEnd w:id="116"/>
    <w:bookmarkEnd w:id="117"/>
    <w:bookmarkStart w:id="124" w:name="sec:benchmark"/>
    <w:p>
      <w:pPr>
        <w:pStyle w:val="Heading1"/>
      </w:pPr>
      <w:r>
        <w:t xml:space="preserve">Benchmark internacional</w:t>
      </w:r>
    </w:p>
    <w:p>
      <w:pPr>
        <w:pStyle w:val="FirstParagraph"/>
      </w:pPr>
      <w:r>
        <w:t xml:space="preserve">A Tabela</w:t>
      </w:r>
      <w:r>
        <w:t xml:space="preserve"> </w:t>
      </w:r>
      <w:hyperlink w:anchor="tab:benchmark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apresenta o NBF brasileiro lado a lado</w:t>
      </w:r>
      <w:r>
        <w:t xml:space="preserve"> </w:t>
      </w:r>
      <w:r>
        <w:t xml:space="preserve">com quatro CCTs latino-americanos. A Figura</w:t>
      </w:r>
      <w:r>
        <w:t xml:space="preserve"> </w:t>
      </w:r>
      <w:hyperlink w:anchor="fig:benchmark">
        <w:r>
          <w:rPr>
            <w:rStyle w:val="Hyperlink"/>
          </w:rPr>
          <w:t xml:space="preserve">17</w:t>
        </w:r>
      </w:hyperlink>
      <w:r>
        <w:t xml:space="preserve"> </w:t>
      </w:r>
      <w:r>
        <w:t xml:space="preserve">visualiza simultaneamente cobertura, custo (% PIB) e per</w:t>
      </w:r>
      <w:r>
        <w:t xml:space="preserve"> </w:t>
      </w:r>
      <w:r>
        <w:t xml:space="preserve">beneficiário em US$ PPP 2021.</w:t>
      </w:r>
    </w:p>
    <w:bookmarkStart w:id="118" w:name="tab:benchmark"/>
    <w:p>
      <w:pPr>
        <w:pStyle w:val="TableCaption"/>
      </w:pPr>
      <w:r>
        <w:t xml:space="preserve">CCTs na América Latina: cobertura, custo e per beneficiário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CTs na América Latina: cobertura, custo e per beneficiário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País / Programa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Cobert. (% pop)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Custo (% PIB)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 benef. (US$ PPP/ano)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Famílias (mi)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 / NBF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33,1 %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Argentina / AUH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México / Prospera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Colômbia / MFA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Bolívia / Renta Dignidad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</w:t>
            </w:r>
          </w:p>
        </w:tc>
      </w:tr>
    </w:tbl>
    <w:bookmarkEnd w:id="118"/>
    <w:p>
      <w:pPr>
        <w:pStyle w:val="BodyText"/>
      </w:pPr>
      <w:bookmarkStart w:id="119" w:name="tab:benchmark"/>
      <w:bookmarkEnd w:id="119"/>
    </w:p>
    <w:bookmarkStart w:id="123" w:name="fig:benchmark"/>
    <w:p>
      <w:pPr>
        <w:pStyle w:val="CaptionedFigure"/>
      </w:pPr>
      <w:r>
        <w:drawing>
          <wp:inline>
            <wp:extent cx="5753100" cy="1592128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fig17-cct-international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92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Comparativo CCT — Brasil vs Argentina, México, Colômbia e Bolívia: cobertura, custo (%PIB) e per beneficiário US$ PPP 2021</w:t>
      </w:r>
    </w:p>
    <w:bookmarkEnd w:id="123"/>
    <w:p>
      <w:pPr>
        <w:pStyle w:val="BodyText"/>
      </w:pPr>
      <w:r>
        <w:t xml:space="preserve">Quatro observações comparativas.</w:t>
      </w:r>
      <w:r>
        <w:t xml:space="preserve"> </w:t>
      </w:r>
      <w:r>
        <w:rPr>
          <w:b/>
          <w:bCs/>
        </w:rPr>
        <w:t xml:space="preserve">(i) Cobertura.</w:t>
      </w:r>
      <w:r>
        <w:t xml:space="preserve"> </w:t>
      </w:r>
      <w:r>
        <w:t xml:space="preserve">O NBF</w:t>
      </w:r>
      <w:r>
        <w:t xml:space="preserve"> </w:t>
      </w:r>
      <w:r>
        <w:t xml:space="preserve">brasileiro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 33 % da população está em patamar superior à</w:t>
      </w:r>
      <w:r>
        <w:t xml:space="preserve"> </w:t>
      </w:r>
      <w:r>
        <w:t xml:space="preserve">maioria dos CCTs latino-americanos, apenas comparável ao pico do</w:t>
      </w:r>
      <w:r>
        <w:t xml:space="preserve"> </w:t>
      </w:r>
      <w:r>
        <w:t xml:space="preserve">Prospera mexicano em sua fase pré-extinção (2018).</w:t>
      </w:r>
      <w:r>
        <w:t xml:space="preserve"> </w:t>
      </w:r>
      <w:r>
        <w:rPr>
          <w:b/>
          <w:bCs/>
        </w:rPr>
        <w:t xml:space="preserve">(ii)</w:t>
      </w:r>
      <w:r>
        <w:rPr>
          <w:b/>
          <w:bCs/>
        </w:rPr>
        <w:t xml:space="preserve"> </w:t>
      </w:r>
      <w:r>
        <w:rPr>
          <w:b/>
          <w:bCs/>
        </w:rPr>
        <w:t xml:space="preserve">Custo (%PIB).</w:t>
      </w:r>
      <w:r>
        <w:t xml:space="preserve"> </w:t>
      </w:r>
      <w:r>
        <w:t xml:space="preserve">Brasil em 1,10 % é elevado para o padrão regional</w:t>
      </w:r>
      <w:r>
        <w:t xml:space="preserve"> </w:t>
      </w:r>
      <w:r>
        <w:t xml:space="preserve">(Argentina 0,55 %, México 0,30 %, Colômbia 0,40 %)</w:t>
      </w:r>
      <w:r>
        <w:t xml:space="preserve"> </w:t>
      </w:r>
      <w:r>
        <w:t xml:space="preserve">superado apenas pela Bolívia (1,20 %, mas universal por idade,</w:t>
      </w:r>
      <w:r>
        <w:t xml:space="preserve"> </w:t>
      </w:r>
      <w:r>
        <w:t xml:space="preserve">não focalizado por renda).</w:t>
      </w:r>
      <w:r>
        <w:t xml:space="preserve"> </w:t>
      </w:r>
      <w:r>
        <w:rPr>
          <w:b/>
          <w:bCs/>
        </w:rPr>
        <w:t xml:space="preserve">(iii) Per beneficiário.</w:t>
      </w:r>
      <w:r>
        <w:t xml:space="preserve"> </w:t>
      </w:r>
      <w:r>
        <w:t xml:space="preserve">O NBF</w:t>
      </w:r>
      <w:r>
        <w:t xml:space="preserve"> </w:t>
      </w:r>
      <w:r>
        <w:t xml:space="preserve">entrega US$ PPP 2.179/família/ano,</w:t>
      </w:r>
      <w:r>
        <w:t xml:space="preserve"> </w:t>
      </w:r>
      <w:r>
        <w:rPr>
          <w:b/>
          <w:bCs/>
        </w:rPr>
        <w:t xml:space="preserve">o maior valor da</w:t>
      </w:r>
      <w:r>
        <w:rPr>
          <w:b/>
          <w:bCs/>
        </w:rPr>
        <w:t xml:space="preserve"> </w:t>
      </w:r>
      <w:r>
        <w:rPr>
          <w:b/>
          <w:bCs/>
        </w:rPr>
        <w:t xml:space="preserve">região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 58 % acima da Argentina, três vezes</w:t>
      </w:r>
      <w:r>
        <w:t xml:space="preserve"> </w:t>
      </w:r>
      <w:r>
        <w:t xml:space="preserve">o México e duas vezes a Colômbia.</w:t>
      </w:r>
      <w:r>
        <w:t xml:space="preserve"> </w:t>
      </w:r>
      <w:r>
        <w:rPr>
          <w:b/>
          <w:bCs/>
        </w:rPr>
        <w:t xml:space="preserve">(iv) Custo</w:t>
      </w:r>
      <w:r>
        <w:rPr>
          <w:b/>
          <w:bCs/>
        </w:rPr>
        <w:t xml:space="preserve"> </w:t>
      </w:r>
      <w:r>
        <w:rPr>
          <w:b/>
          <w:bCs/>
        </w:rPr>
        <w:t xml:space="preserve">administrativo.</w:t>
      </w:r>
      <w:r>
        <w:t xml:space="preserve"> </w:t>
      </w:r>
      <w:r>
        <w:t xml:space="preserve">Brasil reporta o menor custo administrativo</w:t>
      </w:r>
      <w:r>
        <w:t xml:space="preserve"> </w:t>
      </w:r>
      <w:r>
        <w:t xml:space="preserve">declarado (</w:t>
      </w:r>
      <m:oMath>
        <m:r>
          <m:rPr>
            <m:sty m:val="p"/>
          </m:rPr>
          <m:t>∼</m:t>
        </m:r>
      </m:oMath>
      <w:r>
        <w:t xml:space="preserve"> 1,5 %), reflexo da operação bancária</w:t>
      </w:r>
      <w:r>
        <w:t xml:space="preserve"> </w:t>
      </w:r>
      <w:r>
        <w:t xml:space="preserve">centralizada na CEF e do CadÚnico amortizado.</w:t>
      </w:r>
    </w:p>
    <w:bookmarkEnd w:id="124"/>
    <w:bookmarkStart w:id="144" w:name="sec:ml"/>
    <w:p>
      <w:pPr>
        <w:pStyle w:val="Heading1"/>
      </w:pPr>
      <w:r>
        <w:t xml:space="preserve">Aprendizado de máquina: o Bolsa Família como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de pobreza e desenvolvimento</w:t>
      </w:r>
    </w:p>
    <w:p>
      <w:pPr>
        <w:pStyle w:val="FirstParagraph"/>
      </w:pPr>
      <w:r>
        <w:t xml:space="preserve">Uma literatura consolidada emprega a cobertura do Bolsa Família como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territorial de pobreza e de nível de desenvolvimento</w:t>
      </w:r>
      <w:r>
        <w:t xml:space="preserve"> </w:t>
      </w:r>
      <w:r>
        <w:t xml:space="preserve">local, sobretudo onde indicadores diretos e atualizados são escassos na</w:t>
      </w:r>
      <w:r>
        <w:t xml:space="preserve"> </w:t>
      </w:r>
      <w:r>
        <w:t xml:space="preserve">granularidade desejada (RASELLA et al., 2013; HOFFMANN, 2006; ROCHA, 2008). Estudos epidemiológicos e econômicos usam a penetração</w:t>
      </w:r>
      <w:r>
        <w:t xml:space="preserve"> </w:t>
      </w:r>
      <w:r>
        <w:t xml:space="preserve">do programa como variável de exposição associada a desfechos sociais</w:t>
      </w:r>
      <w:r>
        <w:t xml:space="preserve"> </w:t>
      </w:r>
      <w:r>
        <w:t xml:space="preserve">(p. ex. mortalidade infantil ao nível municipal) (RASELLA et al., 2013).</w:t>
      </w:r>
      <w:r>
        <w:t xml:space="preserve"> </w:t>
      </w:r>
      <w:r>
        <w:t xml:space="preserve">Esta seção testa</w:t>
      </w:r>
      <w:r>
        <w:t xml:space="preserve"> </w:t>
      </w:r>
      <w:r>
        <w:rPr>
          <w:b/>
          <w:bCs/>
        </w:rPr>
        <w:t xml:space="preserve">explicitamente</w:t>
      </w:r>
      <w:r>
        <w:t xml:space="preserve">, com aprendizado de máquina, em</w:t>
      </w:r>
      <w:r>
        <w:t xml:space="preserve"> </w:t>
      </w:r>
      <w:r>
        <w:t xml:space="preserve">que medida indicadores</w:t>
      </w:r>
      <w:r>
        <w:t xml:space="preserve"> </w:t>
      </w:r>
      <w:r>
        <w:rPr>
          <w:i/>
          <w:iCs/>
        </w:rPr>
        <w:t xml:space="preserve">internos</w:t>
      </w:r>
      <w:r>
        <w:t xml:space="preserve"> </w:t>
      </w:r>
      <w:r>
        <w:t xml:space="preserve">do programa recuperam medidas</w:t>
      </w:r>
      <w:r>
        <w:t xml:space="preserve"> </w:t>
      </w:r>
      <w:r>
        <w:t xml:space="preserve">consagradas de pobreza (taxa de pobreza monetária PNAD-C 2019) e de</w:t>
      </w:r>
      <w:r>
        <w:t xml:space="preserve"> </w:t>
      </w:r>
      <w:r>
        <w:t xml:space="preserve">desenvolvimento (IDH-M 2010). A exposição é escalonada de propósito: do</w:t>
      </w:r>
      <w:r>
        <w:t xml:space="preserve"> </w:t>
      </w:r>
      <w:r>
        <w:t xml:space="preserve">modelo mais simples e interpretável (regressão) ao mais flexível</w:t>
      </w:r>
      <w:r>
        <w:t xml:space="preserve"> </w:t>
      </w:r>
      <w:r>
        <w:t xml:space="preserve">(florestas aleatórias).</w:t>
      </w:r>
    </w:p>
    <w:bookmarkStart w:id="125" w:name="dados-variáveis-e-protocolo"/>
    <w:p>
      <w:pPr>
        <w:pStyle w:val="Heading2"/>
      </w:pPr>
      <w:r>
        <w:t xml:space="preserve">Dados, variáveis e protocolo</w:t>
      </w:r>
    </w:p>
    <w:p>
      <w:pPr>
        <w:pStyle w:val="FirstParagraph"/>
      </w:pPr>
      <w:r>
        <w:t xml:space="preserve">A unidade de análise são as 27 UFs no exercício 2024. As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(variáveis preditoras), extraídas do gold dataset, são</w:t>
      </w:r>
      <w:r>
        <w:t xml:space="preserve"> </w:t>
      </w:r>
      <w:r>
        <w:t xml:space="preserve">três indicadores internos do programa:</w:t>
      </w:r>
      <w:r>
        <w:t xml:space="preserve"> </w:t>
      </w:r>
      <w:r>
        <w:rPr>
          <w:b/>
          <w:bCs/>
        </w:rPr>
        <w:t xml:space="preserve">penetração</w:t>
      </w:r>
      <w:r>
        <w:t xml:space="preserve"> </w:t>
      </w:r>
      <w:r>
        <w:t xml:space="preserve">(beneficiários / população </w:t>
      </w:r>
      <m:oMath>
        <m:r>
          <m:rPr>
            <m:sty m:val="p"/>
          </m:rPr>
          <m:t>×</m:t>
        </m:r>
      </m:oMath>
      <w:r>
        <w:t xml:space="preserve"> 100),</w:t>
      </w:r>
      <w:r>
        <w:t xml:space="preserve"> </w:t>
      </w:r>
      <w:r>
        <w:rPr>
          <w:b/>
          <w:bCs/>
        </w:rPr>
        <w:t xml:space="preserve">per capita</w:t>
      </w:r>
      <w:r>
        <w:t xml:space="preserve"> </w:t>
      </w:r>
      <w:r>
        <w:t xml:space="preserve">(R$ /hab em 2021) e</w:t>
      </w:r>
      <w:r>
        <w:t xml:space="preserve"> </w:t>
      </w:r>
      <w:r>
        <w:rPr>
          <w:b/>
          <w:bCs/>
        </w:rPr>
        <w:t xml:space="preserve">per beneficiário</w:t>
      </w:r>
      <w:r>
        <w:t xml:space="preserve"> </w:t>
      </w:r>
      <w:r>
        <w:t xml:space="preserve">(R$ /benef.). Os</w:t>
      </w:r>
      <w:r>
        <w:t xml:space="preserve"> </w:t>
      </w:r>
      <w:r>
        <w:rPr>
          <w:i/>
          <w:iCs/>
        </w:rPr>
        <w:t xml:space="preserve">alvos</w:t>
      </w:r>
      <w:r>
        <w:t xml:space="preserve"> </w:t>
      </w:r>
      <w:r>
        <w:t xml:space="preserve">(variáveis a explicar) são a</w:t>
      </w:r>
      <w:r>
        <w:t xml:space="preserve"> </w:t>
      </w:r>
      <w:r>
        <w:rPr>
          <w:b/>
          <w:bCs/>
        </w:rPr>
        <w:t xml:space="preserve">pobreza</w:t>
      </w:r>
      <w:r>
        <w:t xml:space="preserve"> </w:t>
      </w:r>
      <w:r>
        <w:t xml:space="preserve">(%) e o</w:t>
      </w:r>
      <w:r>
        <w:t xml:space="preserve"> </w:t>
      </w:r>
      <w:r>
        <w:rPr>
          <w:b/>
          <w:bCs/>
        </w:rPr>
        <w:t xml:space="preserve">IDH-M</w:t>
      </w:r>
      <w:r>
        <w:t xml:space="preserve">. Para o agrupamento, as variáveis são padronizadas em</w:t>
      </w:r>
      <w:r>
        <w:t xml:space="preserve"> </w:t>
      </w:r>
      <w:r>
        <w:t xml:space="preserve">escore-</w:t>
      </w:r>
      <m:oMath>
        <m:r>
          <m:t>z</m:t>
        </m:r>
      </m:oMath>
      <w:r>
        <w:t xml:space="preserve"> </w:t>
      </w:r>
      <w:r>
        <w:t xml:space="preserve">(média 0, desvio 1). Para o modelo supervisionado adotamos</w:t>
      </w:r>
      <w:r>
        <w:t xml:space="preserve"> </w:t>
      </w:r>
      <w:r>
        <w:t xml:space="preserve">validação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 </w:t>
      </w:r>
      <w:r>
        <w:t xml:space="preserve">(LOO), apropriada ao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pequeno.</w:t>
      </w:r>
      <w:r>
        <w:t xml:space="preserve"> </w:t>
      </w:r>
      <w:r>
        <w:t xml:space="preserve">Ferramentas: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(PEDREGOSA et al., 2011).</w:t>
      </w:r>
    </w:p>
    <w:bookmarkEnd w:id="125"/>
    <w:bookmarkStart w:id="132" w:name="nível-1-correlação-e-regressão-loglog"/>
    <w:p>
      <w:pPr>
        <w:pStyle w:val="Heading2"/>
      </w:pPr>
      <w:r>
        <w:t xml:space="preserve">Nível 1 — correlação e regressão log–log</w:t>
      </w:r>
    </w:p>
    <w:p>
      <w:pPr>
        <w:pStyle w:val="FirstParagraph"/>
      </w:pPr>
      <w:r>
        <w:t xml:space="preserve">A correlação de Pearson mede a associação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entre duas</w:t>
      </w:r>
      <w:r>
        <w:t xml:space="preserve"> </w:t>
      </w:r>
      <w:r>
        <w:t xml:space="preserve">variáveis, de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(inversa perfeita) a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(direta perfeita). Entre</w:t>
      </w:r>
      <w:r>
        <w:t xml:space="preserve"> </w:t>
      </w:r>
      <w:r>
        <w:t xml:space="preserve">penetração e pobreza obtém-se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971</m:t>
        </m:r>
      </m:oMath>
      <w:r>
        <w:t xml:space="preserve">; entre per capita e</w:t>
      </w:r>
      <w:r>
        <w:t xml:space="preserve"> </w:t>
      </w:r>
      <w:r>
        <w:t xml:space="preserve">pobreza,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971</m:t>
        </m:r>
      </m:oMath>
      <w:r>
        <w:t xml:space="preserve">; entre penetração e IDH-M,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881</m:t>
        </m:r>
      </m:oMath>
      <w:r>
        <w:t xml:space="preserve">. Em</w:t>
      </w:r>
      <w:r>
        <w:t xml:space="preserve"> </w:t>
      </w:r>
      <w:r>
        <w:t xml:space="preserve">palavras:</w:t>
      </w:r>
      <w:r>
        <w:t xml:space="preserve"> </w:t>
      </w:r>
      <w:r>
        <w:rPr>
          <w:b/>
          <w:bCs/>
        </w:rPr>
        <w:t xml:space="preserve">onde o programa cobre mais gente, há mais pobreza e</w:t>
      </w:r>
      <w:r>
        <w:rPr>
          <w:b/>
          <w:bCs/>
        </w:rPr>
        <w:t xml:space="preserve"> </w:t>
      </w:r>
      <w:r>
        <w:rPr>
          <w:b/>
          <w:bCs/>
        </w:rPr>
        <w:t xml:space="preserve">menos desenvolvimento</w:t>
      </w:r>
      <w:r>
        <w:t xml:space="preserve">, e a associação é quase perfeita</w:t>
      </w:r>
      <w:r>
        <w:t xml:space="preserve"> </w:t>
      </w:r>
      <w:r>
        <w:t xml:space="preserve">(Figura</w:t>
      </w:r>
      <w:r>
        <w:t xml:space="preserve"> </w:t>
      </w:r>
      <w:hyperlink w:anchor="fig:mlscatter">
        <w:r>
          <w:rPr>
            <w:rStyle w:val="Hyperlink"/>
          </w:rPr>
          <w:t xml:space="preserve">18</w:t>
        </w:r>
      </w:hyperlink>
      <w:r>
        <w:t xml:space="preserve">).</w:t>
      </w:r>
    </w:p>
    <w:bookmarkStart w:id="129" w:name="fig:mlscatter"/>
    <w:p>
      <w:pPr>
        <w:pStyle w:val="CaptionedFigure"/>
      </w:pPr>
      <w:r>
        <w:drawing>
          <wp:inline>
            <wp:extent cx="5292852" cy="4003414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fig20-ml-scatter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852" cy="4003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Penetração do Bolsa Família</w:t>
      </w:r>
      <w:r>
        <w:t xml:space="preserve"> </w:t>
      </w:r>
      <w:r>
        <w:rPr>
          <w:i/>
          <w:iCs/>
        </w:rPr>
        <w:t xml:space="preserve">vs</w:t>
      </w:r>
      <w:r>
        <w:t xml:space="preserve"> </w:t>
      </w:r>
      <w:r>
        <w:t xml:space="preserve">taxa de pobreza monetária por UF (2024), com cor por</w:t>
      </w:r>
      <w:r>
        <w:t xml:space="preserve"> </w:t>
      </w:r>
      <w:r>
        <w:rPr>
          <w:i/>
          <w:iCs/>
        </w:rPr>
        <w:t xml:space="preserve">cluster</w:t>
      </w:r>
      <w:r>
        <w:t xml:space="preserve"> </w:t>
      </w:r>
      <w:r>
        <w:t xml:space="preserve">e reta de ajuste</w:t>
      </w:r>
    </w:p>
    <w:bookmarkEnd w:id="129"/>
    <w:p>
      <w:pPr>
        <w:pStyle w:val="BodyText"/>
      </w:pPr>
      <w:r>
        <w:t xml:space="preserve">Para quantificar a elasticidade, estimamos por mínimos quadrados a</w:t>
      </w:r>
      <w:r>
        <w:t xml:space="preserve"> </w:t>
      </w:r>
      <w:r>
        <w:t xml:space="preserve">regressão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i"/>
          </m:rPr>
          <m:t>p</m:t>
        </m:r>
        <m:r>
          <m:rPr>
            <m:sty m:val="i"/>
          </m:rPr>
          <m:t>o</m:t>
        </m:r>
        <m:r>
          <m:rPr>
            <m:sty m:val="i"/>
          </m:rPr>
          <m:t>b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z</m:t>
        </m:r>
        <m:r>
          <m:rPr>
            <m:sty m:val="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penetração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i"/>
            </m:rPr>
            <m:t>p</m:t>
          </m:r>
          <m:r>
            <m:rPr>
              <m:sty m:val="i"/>
            </m:rPr>
            <m:t>o</m:t>
          </m:r>
          <m:r>
            <m:rPr>
              <m:sty m:val="i"/>
            </m:rPr>
            <m:t>b</m:t>
          </m:r>
          <m:r>
            <m:rPr>
              <m:sty m:val="i"/>
            </m:rPr>
            <m:t>r</m:t>
          </m:r>
          <m:r>
            <m:rPr>
              <m:sty m:val="i"/>
            </m:rPr>
            <m:t>e</m:t>
          </m:r>
          <m:r>
            <m:rPr>
              <m:sty m:val="i"/>
            </m:rPr>
            <m:t>z</m:t>
          </m:r>
          <m:r>
            <m:rPr>
              <m:sty m:val="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714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051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penetração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Cada número significa o seguinte. O coeficiente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051</m:t>
        </m:r>
      </m:oMath>
      <w:r>
        <w:t xml:space="preserve"> </w:t>
      </w:r>
      <w:r>
        <w:t xml:space="preserve">é uma</w:t>
      </w:r>
      <w:r>
        <w:t xml:space="preserve"> </w:t>
      </w:r>
      <w:r>
        <w:rPr>
          <w:b/>
          <w:bCs/>
        </w:rPr>
        <w:t xml:space="preserve">elasticidade</w:t>
      </w:r>
      <w:r>
        <w:t xml:space="preserve">: um aumento de 1 % na penetração</w:t>
      </w:r>
      <w:r>
        <w:t xml:space="preserve"> </w:t>
      </w:r>
      <w:r>
        <w:t xml:space="preserve">associa-se a um aumento de cerca de 1,05 % na taxa de pobreza</w:t>
      </w:r>
      <w:r>
        <w:t xml:space="preserve"> </w:t>
      </w:r>
      <w:r>
        <w:t xml:space="preserve">(relação praticamente um-para-um). O</w:t>
      </w:r>
      <w:r>
        <w:t xml:space="preserve"> </w:t>
      </w:r>
      <w:r>
        <w:rPr>
          <w:b/>
          <w:bCs/>
        </w:rPr>
        <w:t xml:space="preserve">valor-</w:t>
      </w:r>
      <m:oMath>
        <m:r>
          <m:t>p</m:t>
        </m:r>
      </m:oMath>
      <w:r>
        <w:t xml:space="preserve"> </w:t>
      </w:r>
      <m:oMath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é a probabilidade de observar associação tão forte</w:t>
      </w:r>
      <w:r>
        <w:t xml:space="preserve"> </w:t>
      </w:r>
      <w:r>
        <w:t xml:space="preserve">se na verdade não houvesse relação alguma: por ser virtualmente zero, a</w:t>
      </w:r>
      <w:r>
        <w:t xml:space="preserve"> </w:t>
      </w:r>
      <w:r>
        <w:t xml:space="preserve">associação é estatisticamente inequívoca. O</w:t>
      </w:r>
      <w:r>
        <w:t xml:space="preserve"> </w:t>
      </w:r>
      <w:r>
        <w:rPr>
          <w:b/>
          <w:bCs/>
        </w:rPr>
        <w:t xml:space="preserve">R</w:t>
      </w:r>
      <m:oMath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944</m:t>
        </m:r>
      </m:oMath>
      <w:r>
        <w:t xml:space="preserve"> </w:t>
      </w:r>
      <w:r>
        <w:t xml:space="preserve">indica que 94,4 % da variação (em log) da pobreza entre UFs é</w:t>
      </w:r>
      <w:r>
        <w:t xml:space="preserve"> </w:t>
      </w:r>
      <w:r>
        <w:t xml:space="preserve">acompanhada pela variação da penetração — isto é, conhecendo</w:t>
      </w:r>
      <w:r>
        <w:t xml:space="preserve"> </w:t>
      </w:r>
      <w:r>
        <w:rPr>
          <w:i/>
          <w:iCs/>
        </w:rPr>
        <w:t xml:space="preserve">apenas</w:t>
      </w:r>
      <w:r>
        <w:t xml:space="preserve"> </w:t>
      </w:r>
      <w:r>
        <w:t xml:space="preserve">a cobertura do programa recupera-se quase toda a</w:t>
      </w:r>
      <w:r>
        <w:t xml:space="preserve"> </w:t>
      </w:r>
      <w:r>
        <w:t xml:space="preserve">ordenação de pobreza dos estados.</w:t>
      </w:r>
    </w:p>
    <w:p>
      <w:pPr>
        <w:pStyle w:val="BodyText"/>
      </w:pPr>
      <w:r>
        <w:t xml:space="preserve">A mesma lógica vale para o desenvolvimento: a regressão</w:t>
      </w:r>
      <w:r>
        <w:t xml:space="preserve"> </w:t>
      </w:r>
      <m:oMath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H</m:t>
        </m:r>
        <m:r>
          <m:rPr>
            <m:sty m:val="i"/>
          </m:rPr>
          <m:t>​</m:t>
        </m:r>
        <m:r>
          <m:rPr>
            <m:sty m:val="i"/>
          </m:rPr>
          <m:t>−</m:t>
        </m:r>
        <m:r>
          <m:rPr>
            <m:sty m:val="i"/>
          </m:rPr>
          <m:t>​</m:t>
        </m:r>
        <m:r>
          <m:rPr>
            <m:sty m:val="i"/>
          </m:rP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00837</m:t>
        </m:r>
        <m:r>
          <m:rPr>
            <m:sty m:val="p"/>
          </m:rPr>
          <m:t>⋅</m:t>
        </m:r>
        <m:r>
          <m:rPr>
            <m:nor/>
            <m:sty m:val="p"/>
          </m:rPr>
          <m:t>penetração</m:t>
        </m:r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776</m:t>
        </m:r>
      </m:oMath>
      <w:r>
        <w:t xml:space="preserve">)</w:t>
      </w:r>
      <w:r>
        <w:t xml:space="preserve"> </w:t>
      </w:r>
      <w:r>
        <w:t xml:space="preserve">tem coeficiente</w:t>
      </w:r>
      <w:r>
        <w:t xml:space="preserve"> </w:t>
      </w:r>
      <w:r>
        <w:rPr>
          <w:b/>
          <w:bCs/>
        </w:rPr>
        <w:t xml:space="preserve">negativo</w:t>
      </w:r>
      <w:r>
        <w:t xml:space="preserve"> </w:t>
      </w:r>
      <w:r>
        <w:t xml:space="preserve">— cada ponto percentual adicional de</w:t>
      </w:r>
      <w:r>
        <w:t xml:space="preserve"> </w:t>
      </w:r>
      <w:r>
        <w:t xml:space="preserve">penetração associa-se a uma queda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0084</m:t>
        </m:r>
      </m:oMath>
      <w:r>
        <w:t xml:space="preserve"> </w:t>
      </w:r>
      <w:r>
        <w:t xml:space="preserve">no IDH-M —, confirmando</w:t>
      </w:r>
      <w:r>
        <w:t xml:space="preserve"> </w:t>
      </w:r>
      <w:r>
        <w:t xml:space="preserve">que o programa se concentra nas UFs menos desenvolvidas.</w:t>
      </w:r>
    </w:p>
    <w:bookmarkStart w:id="130" w:name="tab:ml"/>
    <w:p>
      <w:pPr>
        <w:pStyle w:val="TableCaption"/>
      </w:pPr>
      <w:r>
        <w:t xml:space="preserve">Modelos de aprendizado de máquina — o BF como proxy de pobreza e IDH-M (27 UFs, 2024)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elos de aprendizado de máquina — o BF como proxy de pobreza e IDH-M (27 UFs, 2024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OLS log–log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(elasticidade)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051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944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IDH-M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0084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776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Regressão linear (LOO)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 /  MAE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934</m:t>
              </m:r>
            </m:oMath>
            <w:r>
              <w:t xml:space="preserve"> </w:t>
            </w:r>
            <w:r>
              <w:t xml:space="preserve"> /  2</w:t>
            </w:r>
            <w:r>
              <w:t xml:space="preserve">,</w:t>
            </w:r>
            <w:r>
              <w:t xml:space="preserve">61 p.p.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 (LOO)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 /  MAE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916</m:t>
              </m:r>
            </m:oMath>
            <w:r>
              <w:t xml:space="preserve"> </w:t>
            </w:r>
            <w:r>
              <w:t xml:space="preserve"> /  3</w:t>
            </w:r>
            <w:r>
              <w:t xml:space="preserve">,</w:t>
            </w:r>
            <w:r>
              <w:t xml:space="preserve">17 p.p.</w:t>
            </w:r>
          </w:p>
        </w:tc>
      </w:tr>
    </w:tbl>
    <w:bookmarkEnd w:id="130"/>
    <w:p>
      <w:pPr>
        <w:pStyle w:val="BodyText"/>
      </w:pPr>
      <w:bookmarkStart w:id="131" w:name="tab:ml"/>
      <w:bookmarkEnd w:id="131"/>
    </w:p>
    <w:bookmarkEnd w:id="132"/>
    <w:bookmarkStart w:id="137" w:name="X01eb93035d7cda9e485f0f7c49dcce5c938fd0c"/>
    <w:p>
      <w:pPr>
        <w:pStyle w:val="Heading2"/>
      </w:pPr>
      <w:r>
        <w:t xml:space="preserve">Nível 2 — agrupamento não supervisionado (K-means)</w:t>
      </w:r>
    </w:p>
    <w:p>
      <w:pPr>
        <w:pStyle w:val="FirstParagraph"/>
      </w:pPr>
      <w:r>
        <w:t xml:space="preserve">O K-means agrupa as UFs por</w:t>
      </w:r>
      <w:r>
        <w:t xml:space="preserve"> </w:t>
      </w:r>
      <w:r>
        <w:rPr>
          <w:i/>
          <w:iCs/>
        </w:rPr>
        <w:t xml:space="preserve">semelhança</w:t>
      </w:r>
      <w:r>
        <w:t xml:space="preserve"> </w:t>
      </w:r>
      <w:r>
        <w:t xml:space="preserve">nas quatro variáveis</w:t>
      </w:r>
      <w:r>
        <w:t xml:space="preserve"> </w:t>
      </w:r>
      <w:r>
        <w:t xml:space="preserve">padronizadas (penetração, per capita, IDH-M, pobreza), sem usar qualquer</w:t>
      </w:r>
      <w:r>
        <w:t xml:space="preserve"> </w:t>
      </w:r>
      <w:r>
        <w:t xml:space="preserve">rótulo</w:t>
      </w:r>
      <w:r>
        <w:t xml:space="preserve"> </w:t>
      </w:r>
      <w:r>
        <w:rPr>
          <w:i/>
          <w:iCs/>
        </w:rPr>
        <w:t xml:space="preserve">a priori</w:t>
      </w:r>
      <w:r>
        <w:t xml:space="preserve">. O número de grupos é escolhido pelo</w:t>
      </w:r>
      <w:r>
        <w:t xml:space="preserve"> </w:t>
      </w:r>
      <w:r>
        <w:rPr>
          <w:i/>
          <w:iCs/>
        </w:rPr>
        <w:t xml:space="preserve">silhouette</w:t>
      </w:r>
      <w:r>
        <w:t xml:space="preserve">, que varia de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e mede quão bem cada UF se</w:t>
      </w:r>
      <w:r>
        <w:t xml:space="preserve"> </w:t>
      </w:r>
      <w:r>
        <w:t xml:space="preserve">encaixa em seu grupo: o máximo (</w:t>
      </w:r>
      <m:oMath>
        <m:r>
          <m:t>0</m:t>
        </m:r>
        <m:r>
          <m:rPr>
            <m:sty m:val="p"/>
          </m:rPr>
          <m:t>,</m:t>
        </m:r>
        <m:r>
          <m:t>695</m:t>
        </m:r>
      </m:oMath>
      <w:r>
        <w:t xml:space="preserve">) ocorre em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Emergem</w:t>
      </w:r>
      <w:r>
        <w:t xml:space="preserve"> </w:t>
      </w:r>
      <w:r>
        <w:rPr>
          <w:b/>
          <w:bCs/>
        </w:rPr>
        <w:t xml:space="preserve">duas Brasis</w:t>
      </w:r>
      <w:r>
        <w:t xml:space="preserve">. O</w:t>
      </w:r>
      <w:r>
        <w:t xml:space="preserve"> </w:t>
      </w:r>
      <w:r>
        <w:rPr>
          <w:b/>
          <w:bCs/>
        </w:rPr>
        <w:t xml:space="preserve">Cluster 0</w:t>
      </w:r>
      <w:r>
        <w:t xml:space="preserve"> </w:t>
      </w:r>
      <w:r>
        <w:t xml:space="preserve">(13 UFs —</w:t>
      </w:r>
      <w:r>
        <w:t xml:space="preserve"> </w:t>
      </w:r>
      <w:r>
        <w:t xml:space="preserve">todo o Sul, Sudeste e Centro-Oeste, mais RO e TO) tem pobreza média de</w:t>
      </w:r>
      <w:r>
        <w:t xml:space="preserve"> </w:t>
      </w:r>
      <w:r>
        <w:t xml:space="preserve">17,2 %, IDH-M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745</m:t>
        </m:r>
      </m:oMath>
      <w:r>
        <w:t xml:space="preserve">, penetração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8</m:t>
        </m:r>
      </m:oMath>
      <w:r>
        <w:t xml:space="preserve"> % e per capita</w:t>
      </w:r>
      <w:r>
        <w:t xml:space="preserve"> </w:t>
      </w:r>
      <w:r>
        <w:t xml:space="preserve">R$ 460. O</w:t>
      </w:r>
      <w:r>
        <w:t xml:space="preserve"> </w:t>
      </w:r>
      <w:r>
        <w:rPr>
          <w:b/>
          <w:bCs/>
        </w:rPr>
        <w:t xml:space="preserve">Cluster 1</w:t>
      </w:r>
      <w:r>
        <w:t xml:space="preserve"> </w:t>
      </w:r>
      <w:r>
        <w:t xml:space="preserve">(14 UFs —</w:t>
      </w:r>
      <w:r>
        <w:t xml:space="preserve"> </w:t>
      </w:r>
      <w:r>
        <w:rPr>
          <w:i/>
          <w:iCs/>
        </w:rPr>
        <w:t xml:space="preserve">todo</w:t>
      </w:r>
      <w:r>
        <w:t xml:space="preserve"> </w:t>
      </w:r>
      <w:r>
        <w:t xml:space="preserve">o Nordeste e o</w:t>
      </w:r>
      <w:r>
        <w:t xml:space="preserve"> </w:t>
      </w:r>
      <w:r>
        <w:t xml:space="preserve">Norte) tem pobreza média de 41,8 %, IDH-M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667</m:t>
        </m:r>
      </m:oMath>
      <w:r>
        <w:t xml:space="preserve">, penetração</w:t>
      </w:r>
      <w:r>
        <w:t xml:space="preserve"> </w:t>
      </w:r>
      <m:oMath>
        <m:r>
          <m:t>17</m:t>
        </m:r>
        <m:r>
          <m:rPr>
            <m:sty m:val="p"/>
          </m:rPr>
          <m:t>,</m:t>
        </m:r>
        <m:r>
          <m:t>3</m:t>
        </m:r>
      </m:oMath>
      <w:r>
        <w:t xml:space="preserve"> % e per capita R$ 1.088. Nenhuma informação de pobreza ou</w:t>
      </w:r>
      <w:r>
        <w:t xml:space="preserve"> </w:t>
      </w:r>
      <w:r>
        <w:t xml:space="preserve">IDH-M rotulou os grupos de antemão; ainda assim, a partição reproduz</w:t>
      </w:r>
      <w:r>
        <w:t xml:space="preserve"> </w:t>
      </w:r>
      <w:r>
        <w:t xml:space="preserve">quase exatamente a clivagem socioeconômica conhecida do país</w:t>
      </w:r>
      <w:r>
        <w:t xml:space="preserve"> </w:t>
      </w:r>
      <w:r>
        <w:t xml:space="preserve">(Figura</w:t>
      </w:r>
      <w:r>
        <w:t xml:space="preserve"> </w:t>
      </w:r>
      <w:hyperlink w:anchor="fig:mlclusters">
        <w:r>
          <w:rPr>
            <w:rStyle w:val="Hyperlink"/>
          </w:rPr>
          <w:t xml:space="preserve">19</w:t>
        </w:r>
      </w:hyperlink>
      <w:r>
        <w:t xml:space="preserve">).</w:t>
      </w:r>
    </w:p>
    <w:bookmarkStart w:id="136" w:name="fig:mlclusters"/>
    <w:p>
      <w:pPr>
        <w:pStyle w:val="CaptionedFigure"/>
      </w:pPr>
      <w:r>
        <w:drawing>
          <wp:inline>
            <wp:extent cx="5292852" cy="3941277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fig18-ml-cluster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852" cy="3941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Agrupamento K-means das 27 UFs no plano das duas primeiras componentes principais (penetração, per capita, IDH-M e pobreza padronizados)</w:t>
      </w:r>
    </w:p>
    <w:bookmarkEnd w:id="136"/>
    <w:bookmarkEnd w:id="137"/>
    <w:bookmarkStart w:id="142" w:name="X680128303a657aaec06e7945932f3571f44f9b7"/>
    <w:p>
      <w:pPr>
        <w:pStyle w:val="Heading2"/>
      </w:pPr>
      <w:r>
        <w:t xml:space="preserve">Nível 3 — modelo supervisionado e validação</w:t>
      </w:r>
    </w:p>
    <w:p>
      <w:pPr>
        <w:pStyle w:val="FirstParagraph"/>
      </w:pPr>
      <w:r>
        <w:t xml:space="preserve">Por fim, testamos se as três variáveis</w:t>
      </w:r>
      <w:r>
        <w:t xml:space="preserve"> </w:t>
      </w:r>
      <w:r>
        <w:rPr>
          <w:i/>
          <w:iCs/>
        </w:rPr>
        <w:t xml:space="preserve">internas</w:t>
      </w:r>
      <w:r>
        <w:t xml:space="preserve"> </w:t>
      </w:r>
      <w:r>
        <w:t xml:space="preserve">do programa,</w:t>
      </w:r>
      <w:r>
        <w:t xml:space="preserve"> </w:t>
      </w:r>
      <w:r>
        <w:t xml:space="preserve">sozinhas, preveem a pobreza. Treinamos dois modelos — regressão linear</w:t>
      </w:r>
      <w:r>
        <w:t xml:space="preserve"> </w:t>
      </w:r>
      <w:r>
        <w:t xml:space="preserve">múltipla e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(BREIMAN, 2001; HASTIE et al., 2009)</w:t>
      </w:r>
      <w:r>
        <w:t xml:space="preserve"> </w:t>
      </w:r>
      <w:r>
        <w:t xml:space="preserve">— sob validação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: para cada UF, o modelo aprende</w:t>
      </w:r>
      <w:r>
        <w:t xml:space="preserve"> </w:t>
      </w:r>
      <w:r>
        <w:t xml:space="preserve">nas outras 26 e prevê a UF retida, de forma que</w:t>
      </w:r>
      <w:r>
        <w:t xml:space="preserve"> </w:t>
      </w:r>
      <w:r>
        <w:rPr>
          <w:b/>
          <w:bCs/>
        </w:rPr>
        <w:t xml:space="preserve">nenhum estado é</w:t>
      </w:r>
      <w:r>
        <w:rPr>
          <w:b/>
          <w:bCs/>
        </w:rPr>
        <w:t xml:space="preserve"> </w:t>
      </w:r>
      <w:r>
        <w:rPr>
          <w:b/>
          <w:bCs/>
        </w:rPr>
        <w:t xml:space="preserve">avaliado com dados que o modelo já viu</w:t>
      </w:r>
      <w:r>
        <w:t xml:space="preserve">. Esse protocolo penaliza</w:t>
      </w:r>
      <w:r>
        <w:t xml:space="preserve"> </w:t>
      </w:r>
      <w:r>
        <w:t xml:space="preserve">sobreajuste e é o teste honesto de capacidade preditiva.</w:t>
      </w:r>
    </w:p>
    <w:p>
      <w:pPr>
        <w:pStyle w:val="BodyText"/>
      </w:pPr>
      <w:r>
        <w:t xml:space="preserve">A regressão linear atinge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(LOO)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934</m:t>
        </m:r>
      </m:oMath>
      <w:r>
        <w:t xml:space="preserve"> </w:t>
      </w:r>
      <w:r>
        <w:t xml:space="preserve">e MAE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61</m:t>
        </m:r>
      </m:oMath>
      <w:r>
        <w:t xml:space="preserve"> </w:t>
      </w:r>
      <w:r>
        <w:t xml:space="preserve">pontos percentuais; a floresta aleatória,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(LOO)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916</m:t>
        </m:r>
      </m:oMath>
      <w:r>
        <w:t xml:space="preserve"> </w:t>
      </w:r>
      <w:r>
        <w:t xml:space="preserve">e MAE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17</m:t>
        </m:r>
      </m:oMath>
      <w:r>
        <w:t xml:space="preserve">. Lendo os números: 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(LOO)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93</m:t>
        </m:r>
      </m:oMath>
      <w:r>
        <w:t xml:space="preserve"> </w:t>
      </w:r>
      <w:r>
        <w:t xml:space="preserve">diz que, mesmo</w:t>
      </w:r>
      <w:r>
        <w:t xml:space="preserve"> </w:t>
      </w:r>
      <w:r>
        <w:t xml:space="preserve">prevendo cada estado</w:t>
      </w:r>
      <w:r>
        <w:t xml:space="preserve"> </w:t>
      </w:r>
      <w:r>
        <w:rPr>
          <w:i/>
          <w:iCs/>
        </w:rPr>
        <w:t xml:space="preserve">fora da amostra</w:t>
      </w:r>
      <w:r>
        <w:t xml:space="preserve">, as variáveis do BF</w:t>
      </w:r>
      <w:r>
        <w:t xml:space="preserve"> </w:t>
      </w:r>
      <w:r>
        <w:t xml:space="preserve">explicam 93 % da variação da pobreza entre UFs; o MAE de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p.p. é o desvio típico entre a pobreza prevista e a observada</w:t>
      </w:r>
      <w:r>
        <w:t xml:space="preserve"> </w:t>
      </w:r>
      <w:r>
        <w:t xml:space="preserve">(Figura</w:t>
      </w:r>
      <w:r>
        <w:t xml:space="preserve"> </w:t>
      </w:r>
      <w:hyperlink w:anchor="fig:mlproxy">
        <w:r>
          <w:rPr>
            <w:rStyle w:val="Hyperlink"/>
          </w:rPr>
          <w:t xml:space="preserve">20</w:t>
        </w:r>
      </w:hyperlink>
      <w:r>
        <w:t xml:space="preserve">). A floresta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supera o modelo</w:t>
      </w:r>
      <w:r>
        <w:t xml:space="preserve"> </w:t>
      </w:r>
      <w:r>
        <w:t xml:space="preserve">linear — sinal de que a relação é essencialmente linear e que,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27</m:t>
        </m:r>
      </m:oMath>
      <w:r>
        <w:t xml:space="preserve">, não há ganho em adicionar flexibilidade. A importância das</w:t>
      </w:r>
      <w:r>
        <w:t xml:space="preserve"> </w:t>
      </w:r>
      <w:r>
        <w:t xml:space="preserve">variáveis na floresta concentra-se em penetração (</w:t>
      </w:r>
      <m:oMath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) e per capita</w:t>
      </w:r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,</m:t>
        </m:r>
        <m:r>
          <m:t>47</m:t>
        </m:r>
      </m:oMath>
      <w:r>
        <w:t xml:space="preserve">); o valor por beneficiário (</w:t>
      </w:r>
      <m:oMath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) é quase irrelevante,</w:t>
      </w:r>
      <w:r>
        <w:t xml:space="preserve"> </w:t>
      </w:r>
      <w:r>
        <w:t xml:space="preserve">coerente com a homogeneidade do valor médio pago entre UFs após o NBF.</w:t>
      </w:r>
    </w:p>
    <w:bookmarkStart w:id="141" w:name="fig:mlproxy"/>
    <w:p>
      <w:pPr>
        <w:pStyle w:val="CaptionedFigure"/>
      </w:pPr>
      <w:r>
        <w:drawing>
          <wp:inline>
            <wp:extent cx="5292852" cy="3999441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fig19-ml-proxy-fit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852" cy="399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Pobreza observada (PNAD-C 2019)</w:t>
      </w:r>
      <w:r>
        <w:t xml:space="preserve"> </w:t>
      </w:r>
      <w:r>
        <w:rPr>
          <w:i/>
          <w:iCs/>
        </w:rPr>
        <w:t xml:space="preserve">vs</w:t>
      </w:r>
      <w:r>
        <w:t xml:space="preserve"> </w:t>
      </w:r>
      <w:r>
        <w:t xml:space="preserve">prevista pelas variáveis do Bolsa Família (Random Forest, validação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)</w:t>
      </w:r>
    </w:p>
    <w:bookmarkEnd w:id="141"/>
    <w:bookmarkEnd w:id="142"/>
    <w:bookmarkStart w:id="143" w:name="síntese-e-limites"/>
    <w:p>
      <w:pPr>
        <w:pStyle w:val="Heading2"/>
      </w:pPr>
      <w:r>
        <w:t xml:space="preserve">Síntese e limites</w:t>
      </w:r>
    </w:p>
    <w:p>
      <w:pPr>
        <w:pStyle w:val="FirstParagraph"/>
      </w:pPr>
      <w:r>
        <w:t xml:space="preserve">Os três níveis convergem: a cobertura do Bolsa Família é um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empiricamente forte de pobreza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93</m:t>
        </m:r>
      </m:oMath>
      <w:r>
        <w:t xml:space="preserve"> </w:t>
      </w:r>
      <w:r>
        <w:t xml:space="preserve">fora da amostra) e,</w:t>
      </w:r>
      <w:r>
        <w:t xml:space="preserve"> </w:t>
      </w:r>
      <w:r>
        <w:t xml:space="preserve">inversamente, de desenvolvimento. Isso</w:t>
      </w:r>
      <w:r>
        <w:t xml:space="preserve"> </w:t>
      </w:r>
      <w:r>
        <w:rPr>
          <w:b/>
          <w:bCs/>
        </w:rPr>
        <w:t xml:space="preserve">valida quantitativamente</w:t>
      </w:r>
      <w:r>
        <w:t xml:space="preserve"> </w:t>
      </w:r>
      <w:r>
        <w:t xml:space="preserve">o uso do programa como indicador territorial na</w:t>
      </w:r>
      <w:r>
        <w:t xml:space="preserve"> </w:t>
      </w:r>
      <w:r>
        <w:t xml:space="preserve">literatura (RASELLA et al., 2013) e, ao mesmo tempo, impõe cautela: trata-se</w:t>
      </w:r>
      <w:r>
        <w:t xml:space="preserve"> </w:t>
      </w:r>
      <w:r>
        <w:t xml:space="preserve">de associação</w:t>
      </w:r>
      <w:r>
        <w:t xml:space="preserve"> </w:t>
      </w:r>
      <w:r>
        <w:rPr>
          <w:i/>
          <w:iCs/>
        </w:rPr>
        <w:t xml:space="preserve">transversal</w:t>
      </w:r>
      <w:r>
        <w:t xml:space="preserve"> </w:t>
      </w:r>
      <w:r>
        <w:t xml:space="preserve">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e com endogeneidade por</w:t>
      </w:r>
      <w:r>
        <w:t xml:space="preserve"> </w:t>
      </w:r>
      <w:r>
        <w:t xml:space="preserve">desenho (o programa é</w:t>
      </w:r>
      <w:r>
        <w:t xml:space="preserve"> </w:t>
      </w:r>
      <w:r>
        <w:rPr>
          <w:i/>
          <w:iCs/>
        </w:rPr>
        <w:t xml:space="preserve">construído</w:t>
      </w:r>
      <w:r>
        <w:t xml:space="preserve"> </w:t>
      </w:r>
      <w:r>
        <w:t xml:space="preserve">para focalizar a pobreza). As</w:t>
      </w:r>
      <w:r>
        <w:t xml:space="preserve"> </w:t>
      </w:r>
      <w:r>
        <w:t xml:space="preserve">relações aqui medidas são descritivas e preditivas,</w:t>
      </w:r>
      <w:r>
        <w:t xml:space="preserve"> </w:t>
      </w:r>
      <w:r>
        <w:rPr>
          <w:b/>
          <w:bCs/>
        </w:rPr>
        <w:t xml:space="preserve">não causais</w:t>
      </w:r>
      <w:r>
        <w:t xml:space="preserve">.</w:t>
      </w:r>
    </w:p>
    <w:bookmarkEnd w:id="143"/>
    <w:bookmarkEnd w:id="144"/>
    <w:bookmarkStart w:id="150" w:name="sec:discussao"/>
    <w:p>
      <w:pPr>
        <w:pStyle w:val="Heading1"/>
      </w:pPr>
      <w:r>
        <w:t xml:space="preserve">Discussão</w:t>
      </w:r>
    </w:p>
    <w:bookmarkStart w:id="145" w:name="Xcfeca3a3adb23c2b596b7154b6ce725b1ff8c4e"/>
    <w:p>
      <w:pPr>
        <w:pStyle w:val="Heading2"/>
      </w:pPr>
      <w:r>
        <w:t xml:space="preserve">O salto de 2022: o que se identifica e o que não</w:t>
      </w:r>
    </w:p>
    <w:p>
      <w:pPr>
        <w:pStyle w:val="FirstParagraph"/>
      </w:pPr>
      <w:r>
        <w:t xml:space="preserve">A Seção</w:t>
      </w:r>
      <w:r>
        <w:t xml:space="preserve"> </w:t>
      </w:r>
      <w:hyperlink w:anchor="sec:resultado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estabeleceu, descritivamente, dois</w:t>
      </w:r>
      <w:r>
        <w:t xml:space="preserve"> </w:t>
      </w:r>
      <w:r>
        <w:t xml:space="preserve">saltos no valor real (</w:t>
      </w:r>
      <m:oMath>
        <m:r>
          <m:t>1</m:t>
        </m:r>
        <m:r>
          <m:rPr>
            <m:sty m:val="p"/>
          </m:rPr>
          <m:t>,</m:t>
        </m:r>
        <m:r>
          <m:t>78</m:t>
        </m:r>
        <m:r>
          <m:rPr>
            <m:sty m:val="p"/>
          </m:rPr>
          <m:t>×</m:t>
        </m:r>
      </m:oMath>
      <w:r>
        <w:t xml:space="preserve"> </w:t>
      </w:r>
      <w:r>
        <w:t xml:space="preserve">entre 2021</w:t>
      </w:r>
      <m:oMath>
        <m:r>
          <m:rPr>
            <m:sty m:val="p"/>
          </m:rPr>
          <m:t>→</m:t>
        </m:r>
      </m:oMath>
      <w:r>
        <w:t xml:space="preserve">2022 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07</m:t>
        </m:r>
        <m:r>
          <m:rPr>
            <m:sty m:val="p"/>
          </m:rPr>
          <m:t>×</m:t>
        </m:r>
      </m:oMath>
      <w:r>
        <w:t xml:space="preserve"> </w:t>
      </w:r>
      <w:r>
        <w:t xml:space="preserve">entre 2022</w:t>
      </w:r>
      <m:oMath>
        <m:r>
          <m:rPr>
            <m:sty m:val="p"/>
          </m:rPr>
          <m:t>→</m:t>
        </m:r>
      </m:oMath>
      <w:r>
        <w:t xml:space="preserve">2023). A Seção</w:t>
      </w:r>
      <w:r>
        <w:t xml:space="preserve"> </w:t>
      </w:r>
      <w:hyperlink w:anchor="sec:causal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mostrou que esses saltos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podem ser atribuídos causalmente à intensidade do</w:t>
      </w:r>
      <w:r>
        <w:t xml:space="preserve"> </w:t>
      </w:r>
      <w:r>
        <w:rPr>
          <w:i/>
          <w:iCs/>
        </w:rPr>
        <w:t xml:space="preserve">déficit de cobertura</w:t>
      </w:r>
      <w:r>
        <w:t xml:space="preserve"> </w:t>
      </w:r>
      <w:r>
        <w:t xml:space="preserve">pré-choque sob a métrica robusta</w:t>
      </w:r>
      <w:r>
        <w:t xml:space="preserve"> </w:t>
      </w:r>
      <w:r>
        <w:t xml:space="preserve">apropriada para N = 27</w:t>
      </w:r>
      <w:r>
        <w:t xml:space="preserve"> </w:t>
      </w:r>
      <w:r>
        <w:rPr>
          <w:i/>
          <w:iCs/>
        </w:rPr>
        <w:t xml:space="preserve">clusters</w:t>
      </w:r>
      <w:r>
        <w:t xml:space="preserve">. O que sobrevive é a</w:t>
      </w:r>
      <w:r>
        <w:t xml:space="preserve"> </w:t>
      </w:r>
      <w:r>
        <w:t xml:space="preserve">descrição: o programa cresceu uniformemente em todas as UFs,</w:t>
      </w:r>
      <w:r>
        <w:t xml:space="preserve"> </w:t>
      </w:r>
      <w:r>
        <w:t xml:space="preserve">inclusive nas UFs de menor déficit pré-choque, sugerindo que a</w:t>
      </w:r>
      <w:r>
        <w:t xml:space="preserve"> </w:t>
      </w:r>
      <w:r>
        <w:t xml:space="preserve">expansão foi</w:t>
      </w:r>
      <w:r>
        <w:t xml:space="preserve"> </w:t>
      </w:r>
      <w:r>
        <w:rPr>
          <w:i/>
          <w:iCs/>
        </w:rPr>
        <w:t xml:space="preserve">flat</w:t>
      </w:r>
      <w:r>
        <w:t xml:space="preserve"> </w:t>
      </w:r>
      <w:r>
        <w:t xml:space="preserve">em UF e não um redirecionamento para os</w:t>
      </w:r>
      <w:r>
        <w:t xml:space="preserve"> </w:t>
      </w:r>
      <w:r>
        <w:t xml:space="preserve">estados com maior gap. Isso é coerente com a literatura</w:t>
      </w:r>
      <w:r>
        <w:t xml:space="preserve"> </w:t>
      </w:r>
      <w:r>
        <w:t xml:space="preserve">política-administrativa do programa: a expansão veio por elevação</w:t>
      </w:r>
      <w:r>
        <w:t xml:space="preserve"> </w:t>
      </w:r>
      <w:r>
        <w:t xml:space="preserve">do piso e por inclusão de unipessoais antes restritas, não por</w:t>
      </w:r>
      <w:r>
        <w:t xml:space="preserve"> </w:t>
      </w:r>
      <w:r>
        <w:t xml:space="preserve">revisão da geografia da elegibilidade.</w:t>
      </w:r>
    </w:p>
    <w:bookmarkEnd w:id="145"/>
    <w:bookmarkStart w:id="146" w:name="Xc1bdbcae8e3adb9c7bf545954690e0fc2126472"/>
    <w:p>
      <w:pPr>
        <w:pStyle w:val="Heading2"/>
      </w:pPr>
      <w:r>
        <w:t xml:space="preserve">Progressividade decrescente entre regimes</w:t>
      </w:r>
    </w:p>
    <w:p>
      <w:pPr>
        <w:pStyle w:val="FirstParagraph"/>
      </w:pPr>
      <w:r>
        <w:t xml:space="preserve">A descoberta da</w:t>
      </w:r>
      <w:r>
        <w:t xml:space="preserve"> </w:t>
      </w:r>
      <w:r>
        <w:rPr>
          <w:b/>
          <w:bCs/>
        </w:rPr>
        <w:t xml:space="preserve">queda da progressividade entre os três</w:t>
      </w:r>
      <w:r>
        <w:rPr>
          <w:b/>
          <w:bCs/>
        </w:rPr>
        <w:t xml:space="preserve"> </w:t>
      </w:r>
      <w:r>
        <w:rPr>
          <w:b/>
          <w:bCs/>
        </w:rPr>
        <w:t xml:space="preserve">regimes</w:t>
      </w:r>
      <w:r>
        <w:t xml:space="preserve"> </w:t>
      </w:r>
      <w:r>
        <w:t xml:space="preserve">(K decrescendo monotonicamente em magnitude absoluta de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,</m:t>
        </m:r>
        <m:r>
          <m:t>334</m:t>
        </m:r>
        <m:r>
          <m:rPr>
            <m:sty m:val="p"/>
          </m:rPr>
          <m:t>|</m:t>
        </m:r>
      </m:oMath>
      <w:r>
        <w:t xml:space="preserve"> </w:t>
      </w:r>
      <w:r>
        <w:t xml:space="preserve">em 2018 para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,</m:t>
        </m:r>
        <m:r>
          <m:t>258</m:t>
        </m:r>
        <m:r>
          <m:rPr>
            <m:sty m:val="p"/>
          </m:rPr>
          <m:t>|</m:t>
        </m:r>
      </m:oMath>
      <w:r>
        <w:t xml:space="preserve"> </w:t>
      </w:r>
      <w:r>
        <w:t xml:space="preserve">em 2024) é distinta dos achados</w:t>
      </w:r>
      <w:r>
        <w:t xml:space="preserve"> </w:t>
      </w:r>
      <w:r>
        <w:t xml:space="preserve">descritivos da literatura prévia. Sob ônus de Kakwani, isso</w:t>
      </w:r>
      <w:r>
        <w:t xml:space="preserve"> </w:t>
      </w:r>
      <w:r>
        <w:t xml:space="preserve">significa que a expansão da cobertura entre 2021 e 2024 incorporou</w:t>
      </w:r>
      <w:r>
        <w:t xml:space="preserve"> </w:t>
      </w:r>
      <w:r>
        <w:t xml:space="preserve">famílias proporcionalmente</w:t>
      </w:r>
      <w:r>
        <w:t xml:space="preserve"> </w:t>
      </w:r>
      <w:r>
        <w:rPr>
          <w:i/>
          <w:iCs/>
        </w:rPr>
        <w:t xml:space="preserve">menos</w:t>
      </w:r>
      <w:r>
        <w:t xml:space="preserve"> </w:t>
      </w:r>
      <w:r>
        <w:t xml:space="preserve">concentradas nas UFs de</w:t>
      </w:r>
      <w:r>
        <w:t xml:space="preserve"> </w:t>
      </w:r>
      <w:r>
        <w:t xml:space="preserve">menor IDH-M. O Auxílio Brasil e o NBF cresceram em todos os</w:t>
      </w:r>
      <w:r>
        <w:t xml:space="preserve"> </w:t>
      </w:r>
      <w:r>
        <w:t xml:space="preserve">estados, mas cresceram</w:t>
      </w:r>
      <w:r>
        <w:t xml:space="preserve"> </w:t>
      </w:r>
      <w:r>
        <w:rPr>
          <w:i/>
          <w:iCs/>
        </w:rPr>
        <w:t xml:space="preserve">mais que proporcionalmente</w:t>
      </w:r>
      <w:r>
        <w:t xml:space="preserve"> </w:t>
      </w:r>
      <w:r>
        <w:t xml:space="preserve">em</w:t>
      </w:r>
      <w:r>
        <w:t xml:space="preserve"> </w:t>
      </w:r>
      <w:r>
        <w:t xml:space="preserve">estados de IDH-M mediano, atenuando o gradiente progressivo.</w:t>
      </w:r>
    </w:p>
    <w:bookmarkEnd w:id="146"/>
    <w:bookmarkStart w:id="147" w:name="X6798fd1e975e380a9c6556a40b4c58ce007e982"/>
    <w:p>
      <w:pPr>
        <w:pStyle w:val="Heading2"/>
      </w:pPr>
      <w:r>
        <w:t xml:space="preserve">Sub-cobertura dos estados aparentemente líderes</w:t>
      </w:r>
    </w:p>
    <w:p>
      <w:pPr>
        <w:pStyle w:val="FirstParagraph"/>
      </w:pPr>
      <w:r>
        <w:t xml:space="preserve">O índice de necessidade documenta paradoxo distributivo: UFs no</w:t>
      </w:r>
      <w:r>
        <w:t xml:space="preserve"> </w:t>
      </w:r>
      <w:r>
        <w:rPr>
          <w:i/>
          <w:iCs/>
        </w:rPr>
        <w:t xml:space="preserve">topo</w:t>
      </w:r>
      <w:r>
        <w:t xml:space="preserve"> </w:t>
      </w:r>
      <w:r>
        <w:t xml:space="preserve">do ranking per capita (Maranhão, Acre, Pará, Roraima,</w:t>
      </w:r>
      <w:r>
        <w:t xml:space="preserve"> </w:t>
      </w:r>
      <w:r>
        <w:t xml:space="preserve">Rondônia) estão de fato</w:t>
      </w:r>
      <w:r>
        <w:t xml:space="preserve"> </w:t>
      </w:r>
      <w:r>
        <w:rPr>
          <w:i/>
          <w:iCs/>
        </w:rPr>
        <w:t xml:space="preserve">sub-cobertas</w:t>
      </w:r>
      <w:r>
        <w:t xml:space="preserve"> </w:t>
      </w:r>
      <w:r>
        <w:t xml:space="preserve">em relação à</w:t>
      </w:r>
      <w:r>
        <w:t xml:space="preserve"> </w:t>
      </w:r>
      <w:r>
        <w:t xml:space="preserve">intensidade da pobreza local (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). Em valor por habitante são</w:t>
      </w:r>
      <w:r>
        <w:t xml:space="preserve"> </w:t>
      </w:r>
      <w:r>
        <w:t xml:space="preserve">campeãs, em</w:t>
      </w:r>
      <w:r>
        <w:t xml:space="preserve"> </w:t>
      </w:r>
      <w:r>
        <w:rPr>
          <w:i/>
          <w:iCs/>
        </w:rPr>
        <w:t xml:space="preserve">share</w:t>
      </w:r>
      <w:r>
        <w:t xml:space="preserve"> </w:t>
      </w:r>
      <w:r>
        <w:t xml:space="preserve">relativa à necessidade são deficitárias.</w:t>
      </w:r>
      <w:r>
        <w:t xml:space="preserve"> </w:t>
      </w:r>
      <w:r>
        <w:t xml:space="preserve">A análise per capita simples, embora correta, esconde essa</w:t>
      </w:r>
      <w:r>
        <w:t xml:space="preserve"> </w:t>
      </w:r>
      <w:r>
        <w:t xml:space="preserve">informação é precisamente o tipo de paradoxo que o</w:t>
      </w:r>
      <w:r>
        <w:t xml:space="preserve"> </w:t>
      </w:r>
      <w:r>
        <w:t xml:space="preserve">índice de necessidade foi desenhado para revelar.</w:t>
      </w:r>
    </w:p>
    <w:bookmarkEnd w:id="147"/>
    <w:bookmarkStart w:id="148" w:name="X7acc8e614577a184a332b0307a624f9d320f1b9"/>
    <w:p>
      <w:pPr>
        <w:pStyle w:val="Heading2"/>
      </w:pPr>
      <w:r>
        <w:t xml:space="preserve">Sustentabilidade fiscal sob comparação internacional</w:t>
      </w:r>
    </w:p>
    <w:p>
      <w:pPr>
        <w:pStyle w:val="FirstParagraph"/>
      </w:pPr>
      <w:r>
        <w:t xml:space="preserve">O NBF a 1,10 % do PIB é o maior CCT focalizado por renda da</w:t>
      </w:r>
      <w:r>
        <w:t xml:space="preserve"> </w:t>
      </w:r>
      <w:r>
        <w:t xml:space="preserve">América Latina em magnitude relativa. A Argentina opera AUH a</w:t>
      </w:r>
      <w:r>
        <w:t xml:space="preserve"> </w:t>
      </w:r>
      <w:r>
        <w:t xml:space="preserve">0,55 %, Colômbia 0,40 %, México (em sua fase final) 0,30 % do</w:t>
      </w:r>
      <w:r>
        <w:t xml:space="preserve"> </w:t>
      </w:r>
      <w:r>
        <w:t xml:space="preserve">PIB. Esse patamar é replicável apenas pela Bolívia, mas o Renta</w:t>
      </w:r>
      <w:r>
        <w:t xml:space="preserve"> </w:t>
      </w:r>
      <w:r>
        <w:t xml:space="preserve">Dignidad é universal-por-idade, não focalizado. A trajetória</w:t>
      </w:r>
      <w:r>
        <w:t xml:space="preserve"> </w:t>
      </w:r>
      <w:r>
        <w:t xml:space="preserve">brasileira de R$ 36,75 bi (2018)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R$ 140,88 bi (2024) em</w:t>
      </w:r>
      <w:r>
        <w:t xml:space="preserve"> </w:t>
      </w:r>
      <w:r>
        <w:t xml:space="preserve">valores reais coloca o programa em rota de pressão sobre o teto de</w:t>
      </w:r>
      <w:r>
        <w:t xml:space="preserve"> </w:t>
      </w:r>
      <w:r>
        <w:t xml:space="preserve">gastos sob qualquer cenário de baixo crescimento do PIB. A</w:t>
      </w:r>
      <w:r>
        <w:t xml:space="preserve"> </w:t>
      </w:r>
      <w:r>
        <w:t xml:space="preserve">discussão pública sobre essa pressão tem ocorrido sem suporte</w:t>
      </w:r>
      <w:r>
        <w:t xml:space="preserve"> </w:t>
      </w:r>
      <w:r>
        <w:t xml:space="preserve">analítico público em microdados consolidados este</w:t>
      </w:r>
      <w:r>
        <w:t xml:space="preserve"> </w:t>
      </w:r>
      <w:r>
        <w:t xml:space="preserve">trabalho contribui esse suporte.</w:t>
      </w:r>
    </w:p>
    <w:bookmarkEnd w:id="148"/>
    <w:bookmarkStart w:id="149" w:name="Xd4e3156d5ed34e72a17ea2ccc9148026e5dfabc"/>
    <w:p>
      <w:pPr>
        <w:pStyle w:val="Heading2"/>
      </w:pPr>
      <w:r>
        <w:t xml:space="preserve">PBF vs Emendas: lógicas, formalmente distintas</w:t>
      </w:r>
    </w:p>
    <w:p>
      <w:pPr>
        <w:pStyle w:val="FirstParagraph"/>
      </w:pPr>
      <w:r>
        <w:t xml:space="preserve">A comparação Kakwani (PBF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]</m:t>
        </m:r>
      </m:oMath>
      <w:r>
        <w:t xml:space="preserve"> </w:t>
      </w:r>
      <w:r>
        <w:t xml:space="preserve">ao longo do</w:t>
      </w:r>
      <w:r>
        <w:t xml:space="preserve"> </w:t>
      </w:r>
      <w:r>
        <w:t xml:space="preserve">período; emendas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]</m:t>
        </m:r>
      </m:oMath>
      <w:r>
        <w:t xml:space="preserve">) substitui o contraste</w:t>
      </w:r>
      <w:r>
        <w:t xml:space="preserve"> </w:t>
      </w:r>
      <w:r>
        <w:t xml:space="preserve">descritivo de CV da v1.0. Ambas distribuições são</w:t>
      </w:r>
      <w:r>
        <w:t xml:space="preserve"> </w:t>
      </w:r>
      <w:r>
        <w:rPr>
          <w:i/>
          <w:iCs/>
        </w:rPr>
        <w:t xml:space="preserve">tecnicamente</w:t>
      </w:r>
      <w:r>
        <w:t xml:space="preserve"> </w:t>
      </w:r>
      <w:r>
        <w:t xml:space="preserve">progressivas em relação ao IDH-M, mas o PBF é</w:t>
      </w:r>
      <w:r>
        <w:t xml:space="preserve"> </w:t>
      </w:r>
      <w:r>
        <w:t xml:space="preserve">sistematicamente mais progressivo 1,7 a 2,5 vezes a</w:t>
      </w:r>
      <w:r>
        <w:t xml:space="preserve"> </w:t>
      </w:r>
      <w:r>
        <w:t xml:space="preserve">intensidade. A interpretação é que o PBF responde a critérios</w:t>
      </w:r>
      <w:r>
        <w:t xml:space="preserve"> </w:t>
      </w:r>
      <w:r>
        <w:t xml:space="preserve">socioeconômicos formais (Cadastro Único, linha de pobreza),</w:t>
      </w:r>
      <w:r>
        <w:t xml:space="preserve"> </w:t>
      </w:r>
      <w:r>
        <w:t xml:space="preserve">enquanto as emendas respondem à força política das bancadas</w:t>
      </w:r>
      <w:r>
        <w:t xml:space="preserve"> </w:t>
      </w:r>
      <w:r>
        <w:t xml:space="preserve">estaduais. Ambas as lógicas podem ser legítimas em federação</w:t>
      </w:r>
      <w:r>
        <w:t xml:space="preserve"> </w:t>
      </w:r>
      <w:r>
        <w:t xml:space="preserve">democrática; o que importa é</w:t>
      </w:r>
      <w:r>
        <w:t xml:space="preserve"> </w:t>
      </w:r>
      <w:r>
        <w:rPr>
          <w:i/>
          <w:iCs/>
        </w:rPr>
        <w:t xml:space="preserve">tornar explícito</w:t>
      </w:r>
      <w:r>
        <w:t xml:space="preserve"> </w:t>
      </w:r>
      <w:r>
        <w:t xml:space="preserve">qual</w:t>
      </w:r>
      <w:r>
        <w:t xml:space="preserve"> </w:t>
      </w:r>
      <w:r>
        <w:t xml:space="preserve">critério rege qual instrumento e</w:t>
      </w:r>
      <w:r>
        <w:t xml:space="preserve"> </w:t>
      </w:r>
      <w:r>
        <w:rPr>
          <w:i/>
          <w:iCs/>
        </w:rPr>
        <w:t xml:space="preserve">medir</w:t>
      </w:r>
      <w:r>
        <w:t xml:space="preserve"> </w:t>
      </w:r>
      <w:r>
        <w:t xml:space="preserve">suas implicações</w:t>
      </w:r>
      <w:r>
        <w:t xml:space="preserve"> </w:t>
      </w:r>
      <w:r>
        <w:t xml:space="preserve">distributivas com aparato cardinal.</w:t>
      </w:r>
    </w:p>
    <w:bookmarkEnd w:id="149"/>
    <w:bookmarkEnd w:id="150"/>
    <w:bookmarkStart w:id="154" w:name="sec:conclusao"/>
    <w:p>
      <w:pPr>
        <w:pStyle w:val="Heading1"/>
      </w:pPr>
      <w:r>
        <w:t xml:space="preserve">Considerações Finais</w:t>
      </w:r>
    </w:p>
    <w:bookmarkStart w:id="151" w:name="X2e4a5ba5fae4fcf92111d2a688d9f2b3eb1bc6d"/>
    <w:p>
      <w:pPr>
        <w:pStyle w:val="Heading2"/>
      </w:pPr>
      <w:r>
        <w:t xml:space="preserve">O que documentamos, o que identificamos, o que não</w:t>
      </w:r>
    </w:p>
    <w:p>
      <w:pPr>
        <w:pStyle w:val="FirstParagraph"/>
      </w:pPr>
      <w:r>
        <w:rPr>
          <w:b/>
          <w:bCs/>
        </w:rPr>
        <w:t xml:space="preserve">(i) Documentação.</w:t>
      </w:r>
      <w:r>
        <w:t xml:space="preserve"> </w:t>
      </w:r>
      <w:r>
        <w:t xml:space="preserve">O programa atravessou três regimes</w:t>
      </w:r>
      <w:r>
        <w:t xml:space="preserve"> </w:t>
      </w:r>
      <w:r>
        <w:t xml:space="preserve">(2003, 2022, 2023). Em valores</w:t>
      </w:r>
      <w:r>
        <w:t xml:space="preserve"> </w:t>
      </w:r>
      <w:r>
        <w:t xml:space="preserve">reais, quase quadruplicou entre 2018 e 2024 (R$ 36,75 bi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R$ 140,88 bi,</w:t>
      </w:r>
      <w:r>
        <w:t xml:space="preserve"> </w:t>
      </w:r>
      <m:oMath>
        <m:r>
          <m:rPr>
            <m:sty m:val="p"/>
          </m:rPr>
          <m:t>+</m:t>
        </m:r>
        <m:r>
          <m:t>283</m:t>
        </m:r>
        <m:r>
          <m:rPr>
            <m:sty m:val="p"/>
          </m:rPr>
          <m:t>,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). O número de beneficiários cresceu</w:t>
      </w:r>
      <w:r>
        <w:t xml:space="preserve"> </w:t>
      </w:r>
      <m:oMath>
        <m:r>
          <m:t>36</m:t>
        </m:r>
        <m:r>
          <m:rPr>
            <m:sty m:val="p"/>
          </m:rPr>
          <m:t>,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(16,99 M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23,18 M, com pico em 2023 de 24,51 M).</w:t>
      </w:r>
      <w:r>
        <w:t xml:space="preserve"> </w:t>
      </w:r>
      <w:r>
        <w:t xml:space="preserve">O valor por beneficiário cresceu</w:t>
      </w:r>
      <w:r>
        <w:t xml:space="preserve"> </w:t>
      </w:r>
      <m:oMath>
        <m:r>
          <m:t>180</m:t>
        </m:r>
        <m:r>
          <m:rPr>
            <m:sty m:val="p"/>
          </m:rPr>
          <m:t>,</m:t>
        </m:r>
        <m:r>
          <m:t>9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$</m:t>
        </m:r>
        <m:r>
          <m:t> </m:t>
        </m:r>
        <m:r>
          <m:t>2.163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$</m:t>
        </m:r>
        <m:r>
          <m:t> </m:t>
        </m:r>
        <m:r>
          <m:t>6.078</m:t>
        </m:r>
      </m:oMath>
      <w:r>
        <w:t xml:space="preserve">). A focalização territorial em 2025 apresenta razão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98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t xml:space="preserve">entre os extremos, com Nordeste a R$ 1.051/hab e Sul a</w:t>
      </w:r>
      <w:r>
        <w:t xml:space="preserve"> </w:t>
      </w:r>
      <w:r>
        <w:t xml:space="preserve">R$ 283/hab.</w:t>
      </w:r>
    </w:p>
    <w:p>
      <w:pPr>
        <w:pStyle w:val="BodyText"/>
      </w:pPr>
      <w:r>
        <w:rPr>
          <w:b/>
          <w:bCs/>
        </w:rPr>
        <w:t xml:space="preserve">(ii) Identificação.</w:t>
      </w:r>
      <w:r>
        <w:t xml:space="preserve"> </w:t>
      </w:r>
      <w:r>
        <w:t xml:space="preserve">O DiD 2</w:t>
      </w:r>
      <m:oMath>
        <m:r>
          <m:rPr>
            <m:sty m:val="p"/>
          </m:rPr>
          <m:t>×</m:t>
        </m:r>
      </m:oMath>
      <w:r>
        <w:t xml:space="preserve">2 e o TWFE</w:t>
      </w:r>
      <w:r>
        <w:t xml:space="preserve"> </w:t>
      </w:r>
      <w:r>
        <w:t xml:space="preserve">clusterizado sobre MP 1.061/2021 produzem coeficientes grandes e</w:t>
      </w:r>
      <w:r>
        <w:t xml:space="preserve"> </w:t>
      </w:r>
      <w:r>
        <w:t xml:space="preserve">estatisticamente significativos sob HC3 (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≈</m:t>
        </m:r>
        <m:r>
          <m:rPr>
            <m:sty m:val="p"/>
          </m:rPr>
          <m:t>+</m:t>
        </m:r>
        <m:r>
          <m:t>220</m:t>
        </m:r>
      </m:oMath>
      <w:r>
        <w:t xml:space="preserve"> </w:t>
      </w:r>
      <w:r>
        <w:t xml:space="preserve">R$ /hab,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); o</w:t>
      </w:r>
      <w:r>
        <w:t xml:space="preserve"> </w:t>
      </w:r>
      <w:r>
        <w:rPr>
          <w:i/>
          <w:iCs/>
        </w:rPr>
        <w:t xml:space="preserve">wild-cluster bootstrap</w:t>
      </w:r>
      <w:r>
        <w:t xml:space="preserve">,</w:t>
      </w:r>
      <w:r>
        <w:t xml:space="preserve"> </w:t>
      </w:r>
      <w:r>
        <w:t xml:space="preserve">contudo, devolve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49</m:t>
        </m:r>
      </m:oMath>
      <w:r>
        <w:t xml:space="preserve">, e o teste de</w:t>
      </w:r>
      <w:r>
        <w:t xml:space="preserve"> </w:t>
      </w:r>
      <w:r>
        <w:rPr>
          <w:i/>
          <w:iCs/>
        </w:rPr>
        <w:t xml:space="preserve">parallel trends</w:t>
      </w:r>
      <w:r>
        <w:t xml:space="preserve"> </w:t>
      </w:r>
      <w:r>
        <w:t xml:space="preserve">pré-tratamento é rejeitado.</w:t>
      </w:r>
      <w: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salto descritivo é incontroverso; a atribuição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causal</w:t>
      </w:r>
      <w:r>
        <w:rPr>
          <w:b/>
          <w:bCs/>
        </w:rPr>
        <w:t xml:space="preserve"> </w:t>
      </w:r>
      <w:r>
        <w:rPr>
          <w:b/>
          <w:bCs/>
        </w:rPr>
        <w:t xml:space="preserve">desse salto à intensidade do déficit de cobertura pré-choque não é</w:t>
      </w:r>
      <w:r>
        <w:rPr>
          <w:b/>
          <w:bCs/>
        </w:rPr>
        <w:t xml:space="preserve"> </w:t>
      </w:r>
      <w:r>
        <w:rPr>
          <w:b/>
          <w:bCs/>
        </w:rPr>
        <w:t xml:space="preserve">sustentada pela métrica robusta apropriada para N=27</w:t>
      </w:r>
      <w:r>
        <w:t xml:space="preserve">. Esse é o</w:t>
      </w:r>
      <w:r>
        <w:t xml:space="preserve"> </w:t>
      </w:r>
      <w:r>
        <w:t xml:space="preserve">ônus do desenho quasi-experimental sobre painel UF </w:t>
      </w:r>
      <m:oMath>
        <m:r>
          <m:rPr>
            <m:sty m:val="p"/>
          </m:rPr>
          <m:t>×</m:t>
        </m:r>
      </m:oMath>
      <w:r>
        <w:t xml:space="preserve"> Ano</w:t>
      </w:r>
      <w:r>
        <w:t xml:space="preserve"> </w:t>
      </w:r>
      <w:r>
        <w:t xml:space="preserve">com poucos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e tendências pré-divergentes</w:t>
      </w:r>
      <w:r>
        <w:t xml:space="preserve"> </w:t>
      </w:r>
      <w:r>
        <w:t xml:space="preserve">resultado honesto que reflete os limites da</w:t>
      </w:r>
      <w:r>
        <w:t xml:space="preserve"> </w:t>
      </w:r>
      <w:r>
        <w:t xml:space="preserve">identificação possível com os dados publicamente disponíveis.</w:t>
      </w:r>
    </w:p>
    <w:p>
      <w:pPr>
        <w:pStyle w:val="BodyText"/>
      </w:pPr>
      <w:r>
        <w:rPr>
          <w:b/>
          <w:bCs/>
        </w:rPr>
        <w:t xml:space="preserve">(iii) Equidade.</w:t>
      </w:r>
      <w:r>
        <w:t xml:space="preserve"> </w:t>
      </w:r>
      <w:r>
        <w:t xml:space="preserve">PBF/NBF é progressivo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26</m:t>
        </m:r>
      </m:oMath>
      <w:r>
        <w:t xml:space="preserve"> </w:t>
      </w:r>
      <w:r>
        <w:t xml:space="preserve">em 2024, IC 95 % bootstrap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]</m:t>
        </m:r>
      </m:oMath>
      <w:r>
        <w:t xml:space="preserve">) e</w:t>
      </w:r>
      <w:r>
        <w:t xml:space="preserve"> </w:t>
      </w:r>
      <w:r>
        <w:t xml:space="preserve">sistematicamente mais progressivo que emendas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em 2024). A progressividade do PBF, contudo, decresceu</w:t>
      </w:r>
      <w:r>
        <w:t xml:space="preserve"> </w:t>
      </w:r>
      <w:r>
        <w:t xml:space="preserve">monotonicamente entre 2018 e 2024 a expansão</w:t>
      </w:r>
      <w:r>
        <w:t xml:space="preserve"> </w:t>
      </w:r>
      <w:r>
        <w:t xml:space="preserve">incorporou famílias proporcionalmente menos concentradas nas UFs</w:t>
      </w:r>
      <w:r>
        <w:t xml:space="preserve"> </w:t>
      </w:r>
      <w:r>
        <w:t xml:space="preserve">de menor IDH-M.</w:t>
      </w:r>
    </w:p>
    <w:p>
      <w:pPr>
        <w:pStyle w:val="BodyText"/>
      </w:pPr>
      <w:r>
        <w:rPr>
          <w:b/>
          <w:bCs/>
        </w:rPr>
        <w:t xml:space="preserve">(iv) Necessidade.</w:t>
      </w:r>
      <w:r>
        <w:t xml:space="preserve"> </w:t>
      </w:r>
      <w:r>
        <w:t xml:space="preserve">UFs aparentemente</w:t>
      </w:r>
      <w:r>
        <w:t xml:space="preserve"> </w:t>
      </w:r>
      <w:r>
        <w:rPr>
          <w:i/>
          <w:iCs/>
        </w:rPr>
        <w:t xml:space="preserve">campeãs</w:t>
      </w:r>
      <w:r>
        <w:t xml:space="preserve"> </w:t>
      </w:r>
      <w:r>
        <w:t xml:space="preserve">em</w:t>
      </w:r>
      <w:r>
        <w:t xml:space="preserve"> </w:t>
      </w:r>
      <w:r>
        <w:t xml:space="preserve">per capita (MA, RR, RO, MA) estão sub-cobertas em relação à</w:t>
      </w:r>
      <w:r>
        <w:t xml:space="preserve"> </w:t>
      </w:r>
      <w:r>
        <w:t xml:space="preserve">intensidade da pobreza local (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). UFs ricas têm</w:t>
      </w:r>
      <w:r>
        <w:t xml:space="preserve"> </w:t>
      </w:r>
      <w:r>
        <w:t xml:space="preserve">sobre-cobertura relativa.</w:t>
      </w:r>
    </w:p>
    <w:p>
      <w:pPr>
        <w:pStyle w:val="BodyText"/>
      </w:pPr>
      <w:r>
        <w:rPr>
          <w:b/>
          <w:bCs/>
        </w:rPr>
        <w:t xml:space="preserve">(v) Benchmark internacional.</w:t>
      </w:r>
      <w:r>
        <w:t xml:space="preserve"> </w:t>
      </w:r>
      <w:r>
        <w:t xml:space="preserve">O NBF é o CCT de maior valor</w:t>
      </w:r>
      <w:r>
        <w:t xml:space="preserve"> </w:t>
      </w:r>
      <w:r>
        <w:t xml:space="preserve">per beneficiário e maior cobertura da América Latina, com custo</w:t>
      </w:r>
      <w:r>
        <w:t xml:space="preserve"> </w:t>
      </w:r>
      <w:r>
        <w:t xml:space="preserve">relativo (%PIB) elevado para o padrão regional.</w:t>
      </w:r>
    </w:p>
    <w:bookmarkEnd w:id="151"/>
    <w:bookmarkStart w:id="152" w:name="agenda-de-pesquisa"/>
    <w:p>
      <w:pPr>
        <w:pStyle w:val="Heading2"/>
      </w:pPr>
      <w:r>
        <w:t xml:space="preserve">Agenda de pesquisa</w:t>
      </w:r>
    </w:p>
    <w:p>
      <w:pPr>
        <w:pStyle w:val="FirstParagraph"/>
      </w:pPr>
      <w:r>
        <w:t xml:space="preserve">(a) Ampliação para microdados</w:t>
      </w:r>
      <w:r>
        <w:t xml:space="preserve"> </w:t>
      </w:r>
      <w:r>
        <w:rPr>
          <w:i/>
          <w:iCs/>
        </w:rPr>
        <w:t xml:space="preserve">municipais</w:t>
      </w:r>
      <w:r>
        <w:t xml:space="preserve"> </w:t>
      </w:r>
      <w:r>
        <w:t xml:space="preserve">(não apenas UF)</w:t>
      </w:r>
      <w:r>
        <w:t xml:space="preserve"> </w:t>
      </w:r>
      <w:r>
        <w:t xml:space="preserve">para mitigar o problema de poucos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no DiD;</w:t>
      </w:r>
      <w:r>
        <w:t xml:space="preserve"> </w:t>
      </w:r>
      <w:r>
        <w:t xml:space="preserve">(b) integração com dados administrativos do Cadastro Único para</w:t>
      </w:r>
      <w:r>
        <w:t xml:space="preserve"> </w:t>
      </w:r>
      <w:r>
        <w:t xml:space="preserve">RDD estrutural sobre a linha de pobreza</w:t>
      </w:r>
      <w:r>
        <w:t xml:space="preserve"> </w:t>
      </w:r>
      <w:r>
        <w:t xml:space="preserve">(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acc>
              <m:accPr>
                <m:chr m:val="́"/>
              </m:accPr>
              <m:e>
                <m:r>
                  <m:rPr>
                    <m:sty m:val="p"/>
                  </m:rPr>
                  <m:t>U</m:t>
                </m:r>
              </m:e>
            </m:acc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≶</m:t>
        </m:r>
        <m:r>
          <m:t>R</m:t>
        </m:r>
        <m:r>
          <m:rPr>
            <m:sty m:val="p"/>
          </m:rPr>
          <m:t>$</m:t>
        </m:r>
        <m:r>
          <m:t> </m:t>
        </m:r>
        <m:r>
          <m:t>218</m:t>
        </m:r>
      </m:oMath>
      <w:r>
        <w:t xml:space="preserve">);</w:t>
      </w:r>
      <w:r>
        <w:t xml:space="preserve"> </w:t>
      </w:r>
      <w:r>
        <w:t xml:space="preserve">(c) cruzamento com indicadores de pobreza multidimensional (IPM,</w:t>
      </w:r>
      <w:r>
        <w:t xml:space="preserve"> </w:t>
      </w:r>
      <w:r>
        <w:t xml:space="preserve">IDH-M atualizado pelo PNUD); (d) comparação prospectiva com</w:t>
      </w:r>
      <w:r>
        <w:t xml:space="preserve"> </w:t>
      </w:r>
      <w:r>
        <w:t xml:space="preserve">programas congêneres em outros países da América Latina sob</w:t>
      </w:r>
      <w:r>
        <w:t xml:space="preserve"> </w:t>
      </w:r>
      <w:r>
        <w:t xml:space="preserve">métricas harmonizadas (CEPAL e World Bank ASPIRE).</w:t>
      </w:r>
    </w:p>
    <w:bookmarkEnd w:id="152"/>
    <w:bookmarkStart w:id="153" w:name="contribuição-metodológica"/>
    <w:p>
      <w:pPr>
        <w:pStyle w:val="Heading2"/>
      </w:pPr>
      <w:r>
        <w:t xml:space="preserve">Contribuição metodológica</w:t>
      </w:r>
    </w:p>
    <w:p>
      <w:pPr>
        <w:pStyle w:val="FirstParagraph"/>
      </w:pPr>
      <w:r>
        <w:t xml:space="preserve">A principal contribuição metodológica é um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de dados</w:t>
      </w:r>
      <w:r>
        <w:t xml:space="preserve"> </w:t>
      </w:r>
      <w:r>
        <w:rPr>
          <w:b/>
          <w:bCs/>
        </w:rPr>
        <w:t xml:space="preserve">aberto e gratuito</w:t>
      </w:r>
      <w:r>
        <w:t xml:space="preserve">, construído inteiramente sobre o</w:t>
      </w:r>
      <w:r>
        <w:t xml:space="preserve"> </w:t>
      </w:r>
      <w:r>
        <w:rPr>
          <w:b/>
          <w:bCs/>
        </w:rPr>
        <w:t xml:space="preserve">Databricks Free Edition</w:t>
      </w:r>
      <w:r>
        <w:t xml:space="preserve"> </w:t>
      </w:r>
      <w:r>
        <w:t xml:space="preserve">— a camada sem custo da plataforma —,</w:t>
      </w:r>
      <w:r>
        <w:t xml:space="preserve"> </w:t>
      </w:r>
      <w:r>
        <w:t xml:space="preserve">o que permite que qualquer pessoa reproduza a consolidação dos mais de</w:t>
      </w:r>
      <w:r>
        <w:t xml:space="preserve"> </w:t>
      </w:r>
      <w:r>
        <w:t xml:space="preserve">2,2 bilhões de registros</w:t>
      </w:r>
      <w:r>
        <w:t xml:space="preserve"> </w:t>
      </w:r>
      <w:r>
        <w:rPr>
          <w:b/>
          <w:bCs/>
        </w:rPr>
        <w:t xml:space="preserve">sem investimento em infraestrutura</w:t>
      </w:r>
      <w:r>
        <w:t xml:space="preserve">.</w:t>
      </w:r>
      <w:r>
        <w:t xml:space="preserve"> </w:t>
      </w:r>
      <w:r>
        <w:t xml:space="preserve">A arquitetura medallion (bronze silver</w:t>
      </w:r>
      <w:r>
        <w:t xml:space="preserve"> </w:t>
      </w:r>
      <w:r>
        <w:t xml:space="preserve">gold) parte dos arquivos mensais brutos da CGU e</w:t>
      </w:r>
      <w:r>
        <w:t xml:space="preserve"> </w:t>
      </w:r>
      <w:r>
        <w:t xml:space="preserve">entrega um</w:t>
      </w:r>
      <w:r>
        <w:t xml:space="preserve"> </w:t>
      </w:r>
      <w:r>
        <w:rPr>
          <w:i/>
          <w:iCs/>
        </w:rPr>
        <w:t xml:space="preserve">gold dataset</w:t>
      </w:r>
      <w:r>
        <w:t xml:space="preserve"> </w:t>
      </w:r>
      <w:r>
        <w:t xml:space="preserve">público em painel UF </w:t>
      </w:r>
      <m:oMath>
        <m:r>
          <m:rPr>
            <m:sty m:val="p"/>
          </m:rPr>
          <m:t>×</m:t>
        </m:r>
      </m:oMath>
      <w:r>
        <w:t xml:space="preserve"> Ano,</w:t>
      </w:r>
      <w:r>
        <w:t xml:space="preserve"> </w:t>
      </w:r>
      <w:r>
        <w:t xml:space="preserve">acompanhado de uma suíte de testes automatizados de qualidade de dados</w:t>
      </w:r>
      <w:r>
        <w:t xml:space="preserve"> </w:t>
      </w:r>
      <w:r>
        <w:t xml:space="preserve">(invariantes de esquema, contagem, plausibilidade, monotonia</w:t>
      </w:r>
      <w:r>
        <w:t xml:space="preserve"> </w:t>
      </w:r>
      <w:r>
        <w:t xml:space="preserve">populacional e focalização Nordeste </w:t>
      </w:r>
      <m:oMath>
        <m:r>
          <m:rPr>
            <m:sty m:val="p"/>
          </m:rPr>
          <m:t>&gt;</m:t>
        </m:r>
      </m:oMath>
      <w:r>
        <w:t xml:space="preserve"> Sul) e aderente aos</w:t>
      </w:r>
      <w:r>
        <w:t xml:space="preserve"> </w:t>
      </w:r>
      <w:r>
        <w:t xml:space="preserve">princípios FAIR (WILKINSON et al., 2016). Todos os indicadores</w:t>
      </w:r>
      <w:r>
        <w:t xml:space="preserve"> </w:t>
      </w:r>
      <w:r>
        <w:t xml:space="preserve">descritivos, os índices de equidade, os modelos de aprendizado de</w:t>
      </w:r>
      <w:r>
        <w:t xml:space="preserve"> </w:t>
      </w:r>
      <w:r>
        <w:t xml:space="preserve">máquina e as figuras deste artigo são gerados a partir desse</w:t>
      </w:r>
      <w:r>
        <w:t xml:space="preserve"> </w:t>
      </w:r>
      <w:r>
        <w:rPr>
          <w:i/>
          <w:iCs/>
        </w:rPr>
        <w:t xml:space="preserve">gold dataset</w:t>
      </w:r>
      <w:r>
        <w:t xml:space="preserve"> </w:t>
      </w:r>
      <w:r>
        <w:t xml:space="preserve">por</w:t>
      </w:r>
      <w:r>
        <w:t xml:space="preserve"> </w:t>
      </w:r>
      <w:r>
        <w:rPr>
          <w:i/>
          <w:iCs/>
        </w:rPr>
        <w:t xml:space="preserve">scripts</w:t>
      </w:r>
      <w:r>
        <w:t xml:space="preserve"> </w:t>
      </w:r>
      <w:r>
        <w:t xml:space="preserve">reproduzíveis, sem nenhum</w:t>
      </w:r>
      <w:r>
        <w:t xml:space="preserve"> </w:t>
      </w:r>
      <w:r>
        <w:t xml:space="preserve">valor</w:t>
      </w:r>
      <w:r>
        <w:t xml:space="preserve"> </w:t>
      </w:r>
      <w:r>
        <w:rPr>
          <w:i/>
          <w:iCs/>
        </w:rPr>
        <w:t xml:space="preserve">hardcoded</w:t>
      </w:r>
      <w:r>
        <w:t xml:space="preserve">, de modo que terceiros podem auditar e</w:t>
      </w:r>
      <w:r>
        <w:t xml:space="preserve"> </w:t>
      </w:r>
      <w:r>
        <w:t xml:space="preserve">estender a análise a custo marginal praticamente nulo.</w:t>
      </w:r>
    </w:p>
    <w:bookmarkEnd w:id="153"/>
    <w:bookmarkEnd w:id="154"/>
    <w:bookmarkStart w:id="155" w:name="disponibilidade-de-dados-e-código"/>
    <w:p>
      <w:pPr>
        <w:pStyle w:val="Heading1"/>
      </w:pPr>
      <w:r>
        <w:t xml:space="preserve">Disponibilidade de dados e código</w:t>
      </w:r>
    </w:p>
    <w:p>
      <w:pPr>
        <w:pStyle w:val="FirstParagraph"/>
      </w:pPr>
      <w:r>
        <w:t xml:space="preserve">Todo o código do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medallion, os</w:t>
      </w:r>
      <w:r>
        <w:t xml:space="preserve"> </w:t>
      </w:r>
      <w:r>
        <w:rPr>
          <w:i/>
          <w:iCs/>
        </w:rPr>
        <w:t xml:space="preserve">datasets</w:t>
      </w:r>
      <w:r>
        <w:t xml:space="preserve"> </w:t>
      </w:r>
      <w:r>
        <w:t xml:space="preserve">consolidados na camada</w:t>
      </w:r>
      <w:r>
        <w:t xml:space="preserve"> </w:t>
      </w:r>
      <w:r>
        <w:rPr>
          <w:i/>
          <w:iCs/>
        </w:rPr>
        <w:t xml:space="preserve">gold</w:t>
      </w:r>
      <w:r>
        <w:t xml:space="preserve">, os</w:t>
      </w:r>
      <w:r>
        <w:t xml:space="preserve"> </w:t>
      </w:r>
      <w:r>
        <w:rPr>
          <w:i/>
          <w:iCs/>
        </w:rPr>
        <w:t xml:space="preserve">scripts</w:t>
      </w:r>
      <w:r>
        <w:t xml:space="preserve"> </w:t>
      </w:r>
      <w:r>
        <w:t xml:space="preserve">de análise</w:t>
      </w:r>
      <w:r>
        <w:t xml:space="preserve"> </w:t>
      </w:r>
      <w:r>
        <w:t xml:space="preserve">(identificação causal, índices de equidade e aprendizado de máquina) e a</w:t>
      </w:r>
      <w:r>
        <w:t xml:space="preserve"> </w:t>
      </w:r>
      <w:r>
        <w:t xml:space="preserve">suíte de testes de qualidade de dados estão disponíveis em repositório</w:t>
      </w:r>
      <w:r>
        <w:t xml:space="preserve"> </w:t>
      </w:r>
      <w:r>
        <w:t xml:space="preserve">público, acessível de forma anônima para avaliação por pares às cegas em</w:t>
      </w:r>
      <w:r>
        <w:t xml:space="preserve"> </w:t>
      </w:r>
      <w:hyperlink r:id="rId23">
        <w:r>
          <w:rPr>
            <w:rStyle w:val="Hyperlink"/>
          </w:rPr>
          <w:t xml:space="preserve">https://anonymous.4open.science/r/artigo_bolsa_familia-5E34/</w:t>
        </w:r>
      </w:hyperlink>
      <w:r>
        <w:t xml:space="preserve">. A</w:t>
      </w:r>
      <w:r>
        <w:t xml:space="preserve"> </w:t>
      </w:r>
      <w:r>
        <w:t xml:space="preserve">reprodução integral dos resultados quantitativos deste artigo requer apenas</w:t>
      </w:r>
      <w:r>
        <w:t xml:space="preserve"> </w:t>
      </w:r>
      <w:r>
        <w:t xml:space="preserve">a instalação das dependências listadas e a execução dos</w:t>
      </w:r>
      <w:r>
        <w:t xml:space="preserve"> </w:t>
      </w:r>
      <w:r>
        <w:rPr>
          <w:i/>
          <w:iCs/>
        </w:rPr>
        <w:t xml:space="preserve">scripts</w:t>
      </w:r>
      <w:r>
        <w:t xml:space="preserve"> </w:t>
      </w:r>
      <w:r>
        <w:t xml:space="preserve">sobre os</w:t>
      </w:r>
      <w:r>
        <w:t xml:space="preserve"> </w:t>
      </w:r>
      <w:r>
        <w:rPr>
          <w:i/>
          <w:iCs/>
        </w:rPr>
        <w:t xml:space="preserve">datasets</w:t>
      </w:r>
      <w:r>
        <w:t xml:space="preserve"> </w:t>
      </w:r>
      <w:r>
        <w:t xml:space="preserve">versionados.</w:t>
      </w:r>
    </w:p>
    <w:bookmarkEnd w:id="155"/>
    <w:bookmarkStart w:id="156" w:name="X652c74ad354b2ee5e24640f54079cac162f8cb1"/>
    <w:p>
      <w:pPr>
        <w:pStyle w:val="Heading1"/>
      </w:pPr>
      <w:r>
        <w:t xml:space="preserve">Declaração sobre uso de inteligência artificial</w:t>
      </w:r>
    </w:p>
    <w:p>
      <w:pPr>
        <w:pStyle w:val="FirstParagraph"/>
      </w:pPr>
      <w:r>
        <w:t xml:space="preserve">A concepção da pesquisa, a descoberta, coleta e consolidação dos microdados públicos, as decisões metodológicas e analíticas, a obtenção e a interpretação dos resultados e a maior parte da redação são de autoria e responsabilidade exclusivas dos autores, com proveniência comprovável em repositório público. Ferramentas de inteligência artificial (Claude Opus 4.8) foram utilizadas de forma auxiliar em organização e revisão da redação, estruturação e planejamento do texto, conferência de formatação de citações e referências, e apoio a procedimentos estatísticos e de programação. Nenhuma decisão metodológica ou analítica foi delegada à inteligência artificial, que não figura como autora nem pode ser responsabilizada pelo conteúdo. Os autores garantem a integridade científica e a autenticidade do texto.</w:t>
      </w:r>
    </w:p>
    <w:bookmarkEnd w:id="156"/>
    <w:bookmarkStart w:id="157" w:name="X8508562559b9afe62d46c712c1e835d50d316db"/>
    <w:p>
      <w:pPr>
        <w:pStyle w:val="Heading1"/>
      </w:pPr>
      <w:r>
        <w:t xml:space="preserve">Declaração de conflito de interesse e financiamento</w:t>
      </w:r>
    </w:p>
    <w:p>
      <w:pPr>
        <w:pStyle w:val="FirstParagraph"/>
      </w:pPr>
      <w:r>
        <w:t xml:space="preserve">Os autores declaram não haver conflito de interesse. A pesquisa não recebeu financiamento de agências de fomento públicas, privadas ou sem fins lucrativos, tendo sido conduzida com recursos próprios e ferramentas de nuvem em camada gratuita (Databricks Free Edition).</w:t>
      </w:r>
    </w:p>
    <w:bookmarkEnd w:id="157"/>
    <w:bookmarkStart w:id="167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ARMBRUST, M. et al. Lakehouse: a new generation of open platforms that unify data warehousing and advanced analytics. In: ANNUAL CONFERENCE ON INNOVATIVE DATA SYSTEMS RESEARCH (CIDR), 11., 2021.</w:t>
      </w:r>
      <w:r>
        <w:t xml:space="preserve"> </w:t>
      </w:r>
      <w:r>
        <w:rPr>
          <w:b/>
          <w:bCs/>
        </w:rPr>
        <w:t xml:space="preserve">Proceedings</w:t>
      </w:r>
      <w:r>
        <w:t xml:space="preserve"> </w:t>
      </w:r>
      <w:r>
        <w:t xml:space="preserve">[…]. [</w:t>
      </w:r>
      <w:r>
        <w:rPr>
          <w:i/>
          <w:iCs/>
        </w:rPr>
        <w:t xml:space="preserve">S. l.</w:t>
      </w:r>
      <w:r>
        <w:t xml:space="preserve">:</w:t>
      </w:r>
      <w:r>
        <w:t xml:space="preserve"> </w:t>
      </w:r>
      <w:r>
        <w:rPr>
          <w:i/>
          <w:iCs/>
        </w:rPr>
        <w:t xml:space="preserve">s. n.</w:t>
      </w:r>
      <w:r>
        <w:t xml:space="preserve">], 2021.</w:t>
      </w:r>
    </w:p>
    <w:p>
      <w:pPr>
        <w:pStyle w:val="BodyText"/>
      </w:pPr>
      <w:r>
        <w:t xml:space="preserve">BANCO CENTRAL DO BRASIL.</w:t>
      </w:r>
      <w:r>
        <w:t xml:space="preserve"> </w:t>
      </w:r>
      <w:r>
        <w:rPr>
          <w:b/>
          <w:bCs/>
        </w:rPr>
        <w:t xml:space="preserve">Sistema Gerenciador de Séries Temporais</w:t>
      </w:r>
      <w:r>
        <w:t xml:space="preserve">: série 433 (IPCA). [</w:t>
      </w:r>
      <w:r>
        <w:rPr>
          <w:i/>
          <w:iCs/>
        </w:rPr>
        <w:t xml:space="preserve">S. l.</w:t>
      </w:r>
      <w:r>
        <w:t xml:space="preserve">], 2024. Conjunto de dados. Disponível em:</w:t>
      </w:r>
      <w:r>
        <w:t xml:space="preserve"> </w:t>
      </w:r>
      <w:hyperlink r:id="rId158">
        <w:r>
          <w:rPr>
            <w:rStyle w:val="Hyperlink"/>
          </w:rPr>
          <w:t xml:space="preserve">https://api.bcb.gov.br/dados/serie/bcdata.sgs.433/dados</w:t>
        </w:r>
      </w:hyperlink>
      <w:r>
        <w:t xml:space="preserve">. Acesso em: 9 jul. 2026.</w:t>
      </w:r>
    </w:p>
    <w:p>
      <w:pPr>
        <w:pStyle w:val="BodyText"/>
      </w:pPr>
      <w:r>
        <w:t xml:space="preserve">BREIMAN, L. Random forests.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, v. 45, n. 1, p. 5-32, 2001.</w:t>
      </w:r>
    </w:p>
    <w:p>
      <w:pPr>
        <w:pStyle w:val="BodyText"/>
      </w:pPr>
      <w:r>
        <w:t xml:space="preserve">CAMERON, A. C.; GELBACH, J. B.; MILLER, D. L. Bootstrap-based improvements for inference with clustered errors.</w:t>
      </w:r>
      <w:r>
        <w:t xml:space="preserve"> </w:t>
      </w:r>
      <w:r>
        <w:rPr>
          <w:b/>
          <w:bCs/>
        </w:rPr>
        <w:t xml:space="preserve">The Review of Economics and Statistics</w:t>
      </w:r>
      <w:r>
        <w:t xml:space="preserve">, v. 90, n. 3, p. 414-427, 2008.</w:t>
      </w:r>
    </w:p>
    <w:p>
      <w:pPr>
        <w:pStyle w:val="BodyText"/>
      </w:pPr>
      <w:r>
        <w:t xml:space="preserve">CAMPELLO, T.; NERI, M. C. (org.).</w:t>
      </w:r>
      <w:r>
        <w:t xml:space="preserve"> </w:t>
      </w:r>
      <w:r>
        <w:rPr>
          <w:b/>
          <w:bCs/>
        </w:rPr>
        <w:t xml:space="preserve">Programa Bolsa Família</w:t>
      </w:r>
      <w:r>
        <w:t xml:space="preserve">: uma década de inclusão e cidadania. Brasília: Ipea, 2013.</w:t>
      </w:r>
    </w:p>
    <w:p>
      <w:pPr>
        <w:pStyle w:val="BodyText"/>
      </w:pPr>
      <w:r>
        <w:t xml:space="preserve">CEPAL — COMISIÓN ECONÓMICA PARA AMÉRICA LATINA Y EL CARIBE.</w:t>
      </w:r>
      <w:r>
        <w:t xml:space="preserve"> </w:t>
      </w:r>
      <w:r>
        <w:rPr>
          <w:b/>
          <w:bCs/>
        </w:rPr>
        <w:t xml:space="preserve">Panorama social de América Latina y el Caribe 2024</w:t>
      </w:r>
      <w:r>
        <w:t xml:space="preserve">. Santiago: Cepal, 2024. Disponível em:</w:t>
      </w:r>
      <w:r>
        <w:t xml:space="preserve"> </w:t>
      </w:r>
      <w:hyperlink r:id="rId159">
        <w:r>
          <w:rPr>
            <w:rStyle w:val="Hyperlink"/>
          </w:rPr>
          <w:t xml:space="preserve">https://www.cepal.org/es/publicaciones/panoramasocial</w:t>
        </w:r>
      </w:hyperlink>
      <w:r>
        <w:t xml:space="preserve">. Acesso em: 9 jul. 2026.</w:t>
      </w:r>
    </w:p>
    <w:p>
      <w:pPr>
        <w:pStyle w:val="BodyText"/>
      </w:pPr>
      <w:r>
        <w:t xml:space="preserve">CGU — CONTROLADORIA-GERAL DA UNIÃO.</w:t>
      </w:r>
      <w:r>
        <w:t xml:space="preserve"> </w:t>
      </w:r>
      <w:r>
        <w:rPr>
          <w:b/>
          <w:bCs/>
        </w:rPr>
        <w:t xml:space="preserve">Portal da Transparência</w:t>
      </w:r>
      <w:r>
        <w:t xml:space="preserve">: microdados de pagamentos do Bolsa Família, Auxílio Brasil e Novo Bolsa Família. [</w:t>
      </w:r>
      <w:r>
        <w:rPr>
          <w:i/>
          <w:iCs/>
        </w:rPr>
        <w:t xml:space="preserve">S. l.</w:t>
      </w:r>
      <w:r>
        <w:t xml:space="preserve">], 2025. Conjunto de dados. Disponível em:</w:t>
      </w:r>
      <w:r>
        <w:t xml:space="preserve"> </w:t>
      </w:r>
      <w:hyperlink r:id="rId160">
        <w:r>
          <w:rPr>
            <w:rStyle w:val="Hyperlink"/>
          </w:rPr>
          <w:t xml:space="preserve">https://portaldatransparencia.gov.br/download-de-dados/bolsa-familia-pagamentos</w:t>
        </w:r>
      </w:hyperlink>
      <w:r>
        <w:t xml:space="preserve">. Acesso em: 9 jul. 2026.</w:t>
      </w:r>
    </w:p>
    <w:p>
      <w:pPr>
        <w:pStyle w:val="BodyText"/>
      </w:pPr>
      <w:r>
        <w:t xml:space="preserve">FISZBEIN, A.; SCHADY, N.</w:t>
      </w:r>
      <w:r>
        <w:t xml:space="preserve"> </w:t>
      </w:r>
      <w:r>
        <w:rPr>
          <w:b/>
          <w:bCs/>
        </w:rPr>
        <w:t xml:space="preserve">Conditional cash transfers</w:t>
      </w:r>
      <w:r>
        <w:t xml:space="preserve">: reducing present and future poverty. Washington, D.C.: World Bank, 2009.</w:t>
      </w:r>
    </w:p>
    <w:p>
      <w:pPr>
        <w:pStyle w:val="BodyText"/>
      </w:pPr>
      <w:r>
        <w:t xml:space="preserve">HASTIE, T.; TIBSHIRANI, R.; FRIEDMAN, J.</w:t>
      </w:r>
      <w:r>
        <w:t xml:space="preserve"> </w:t>
      </w:r>
      <w:r>
        <w:rPr>
          <w:b/>
          <w:bCs/>
        </w:rPr>
        <w:t xml:space="preserve">The elements of statistical learning</w:t>
      </w:r>
      <w:r>
        <w:t xml:space="preserve">. 2. ed. New York: Springer, 2009.</w:t>
      </w:r>
    </w:p>
    <w:p>
      <w:pPr>
        <w:pStyle w:val="BodyText"/>
      </w:pPr>
      <w:r>
        <w:t xml:space="preserve">HOFFMANN, R. Transferências de renda e a redução da desigualdade no Brasil e cinco regiões entre 1997 e 2004.</w:t>
      </w:r>
      <w:r>
        <w:t xml:space="preserve"> </w:t>
      </w:r>
      <w:r>
        <w:rPr>
          <w:b/>
          <w:bCs/>
        </w:rPr>
        <w:t xml:space="preserve">Econômica</w:t>
      </w:r>
      <w:r>
        <w:t xml:space="preserve">, v. 8, n. 1, p. 55-81, 2006.</w:t>
      </w:r>
    </w:p>
    <w:p>
      <w:pPr>
        <w:pStyle w:val="BodyText"/>
      </w:pPr>
      <w:r>
        <w:t xml:space="preserve">IBGE — INSTITUTO BRASILEIRO DE GEOGRAFIA E ESTATÍSTICA.</w:t>
      </w:r>
      <w:r>
        <w:t xml:space="preserve"> </w:t>
      </w:r>
      <w:r>
        <w:rPr>
          <w:b/>
          <w:bCs/>
        </w:rPr>
        <w:t xml:space="preserve">Pesquisa Nacional por Amostra de Domicílios Contínua (PNAD-C)</w:t>
      </w:r>
      <w:r>
        <w:t xml:space="preserve">: Tabela 6688. [</w:t>
      </w:r>
      <w:r>
        <w:rPr>
          <w:i/>
          <w:iCs/>
        </w:rPr>
        <w:t xml:space="preserve">S. l.</w:t>
      </w:r>
      <w:r>
        <w:t xml:space="preserve">], 2019. Conjunto de dados. Disponível em:</w:t>
      </w:r>
      <w:r>
        <w:t xml:space="preserve"> </w:t>
      </w:r>
      <w:hyperlink r:id="rId161">
        <w:r>
          <w:rPr>
            <w:rStyle w:val="Hyperlink"/>
          </w:rPr>
          <w:t xml:space="preserve">https://sidra.ibge.gov.br/tabela/6688</w:t>
        </w:r>
      </w:hyperlink>
      <w:r>
        <w:t xml:space="preserve">. Acesso em: 9 jul. 2026.</w:t>
      </w:r>
    </w:p>
    <w:p>
      <w:pPr>
        <w:pStyle w:val="BodyText"/>
      </w:pPr>
      <w:r>
        <w:t xml:space="preserve">IBGE — INSTITUTO BRASILEIRO DE GEOGRAFIA E ESTATÍSTICA.</w:t>
      </w:r>
      <w:r>
        <w:t xml:space="preserve"> </w:t>
      </w:r>
      <w:r>
        <w:rPr>
          <w:b/>
          <w:bCs/>
        </w:rPr>
        <w:t xml:space="preserve">SIDRA</w:t>
      </w:r>
      <w:r>
        <w:t xml:space="preserve">: Tabela 6579: população residente estimada. [</w:t>
      </w:r>
      <w:r>
        <w:rPr>
          <w:i/>
          <w:iCs/>
        </w:rPr>
        <w:t xml:space="preserve">S. l.</w:t>
      </w:r>
      <w:r>
        <w:t xml:space="preserve">], 2024. Conjunto de dados. Disponível em:</w:t>
      </w:r>
      <w:r>
        <w:t xml:space="preserve"> </w:t>
      </w:r>
      <w:hyperlink r:id="rId162">
        <w:r>
          <w:rPr>
            <w:rStyle w:val="Hyperlink"/>
          </w:rPr>
          <w:t xml:space="preserve">https://sidra.ibge.gov.br/tabela/6579</w:t>
        </w:r>
      </w:hyperlink>
      <w:r>
        <w:t xml:space="preserve">. Acesso em: 9 jul. 2026.</w:t>
      </w:r>
    </w:p>
    <w:p>
      <w:pPr>
        <w:pStyle w:val="BodyText"/>
      </w:pPr>
      <w:r>
        <w:t xml:space="preserve">KAKWANI, N. C. Measurement of tax progressivity: an international comparison.</w:t>
      </w:r>
      <w:r>
        <w:t xml:space="preserve"> </w:t>
      </w:r>
      <w:r>
        <w:rPr>
          <w:b/>
          <w:bCs/>
        </w:rPr>
        <w:t xml:space="preserve">The Economic Journal</w:t>
      </w:r>
      <w:r>
        <w:t xml:space="preserve">, v. 87, n. 345, p. 71-80, 1977.</w:t>
      </w:r>
    </w:p>
    <w:p>
      <w:pPr>
        <w:pStyle w:val="BodyText"/>
      </w:pPr>
      <w:r>
        <w:t xml:space="preserve">KUKREJA, M.</w:t>
      </w:r>
      <w:r>
        <w:t xml:space="preserve"> </w:t>
      </w:r>
      <w:r>
        <w:rPr>
          <w:b/>
          <w:bCs/>
        </w:rPr>
        <w:t xml:space="preserve">Data engineering with Apache Spark, Delta Lake, and Lakehouse</w:t>
      </w:r>
      <w:r>
        <w:t xml:space="preserve">. Birmingham: Packt Publishing, 2021.</w:t>
      </w:r>
    </w:p>
    <w:p>
      <w:pPr>
        <w:pStyle w:val="BodyText"/>
      </w:pPr>
      <w:r>
        <w:t xml:space="preserve">PAES-SOUSA, R.; SANTOS, L. M. P.; QUARESMA, J. M. (org.).</w:t>
      </w:r>
      <w:r>
        <w:t xml:space="preserve"> </w:t>
      </w:r>
      <w:r>
        <w:rPr>
          <w:b/>
          <w:bCs/>
        </w:rPr>
        <w:t xml:space="preserve">Bolsa Família</w:t>
      </w:r>
      <w:r>
        <w:t xml:space="preserve">: avaliação de impacto e o desafio da intersetorialidade. Brasília: Ministério do Desenvolvimento Social, 2011.</w:t>
      </w:r>
    </w:p>
    <w:p>
      <w:pPr>
        <w:pStyle w:val="BodyText"/>
      </w:pPr>
      <w:r>
        <w:t xml:space="preserve">PEDREGOSA, F. et al. Scikit-learn: machine learning in Python.</w:t>
      </w:r>
      <w:r>
        <w:t xml:space="preserve"> </w:t>
      </w:r>
      <w:r>
        <w:rPr>
          <w:b/>
          <w:bCs/>
        </w:rPr>
        <w:t xml:space="preserve">Journal of Machine Learning Research</w:t>
      </w:r>
      <w:r>
        <w:t xml:space="preserve">, v. 12, p. 2825-2830, 2011.</w:t>
      </w:r>
    </w:p>
    <w:p>
      <w:pPr>
        <w:pStyle w:val="BodyText"/>
      </w:pPr>
      <w:r>
        <w:t xml:space="preserve">PNUD — PROGRAMA DAS NAÇÕES UNIDAS PARA O DESENVOLVIMENTO; IPEA; FUNDAÇÃO JOÃO PINHEIRO.</w:t>
      </w:r>
      <w:r>
        <w:t xml:space="preserve"> </w:t>
      </w:r>
      <w:r>
        <w:rPr>
          <w:b/>
          <w:bCs/>
        </w:rPr>
        <w:t xml:space="preserve">Atlas do desenvolvimento humano no Brasil</w:t>
      </w:r>
      <w:r>
        <w:t xml:space="preserve">. [</w:t>
      </w:r>
      <w:r>
        <w:rPr>
          <w:i/>
          <w:iCs/>
        </w:rPr>
        <w:t xml:space="preserve">S. l.</w:t>
      </w:r>
      <w:r>
        <w:t xml:space="preserve">], 2013. Disponível em:</w:t>
      </w:r>
      <w:r>
        <w:t xml:space="preserve"> </w:t>
      </w:r>
      <w:hyperlink r:id="rId163">
        <w:r>
          <w:rPr>
            <w:rStyle w:val="Hyperlink"/>
          </w:rPr>
          <w:t xml:space="preserve">http://atlasbrasil.org.br/</w:t>
        </w:r>
      </w:hyperlink>
      <w:r>
        <w:t xml:space="preserve">. Acesso em: 9 jul. 2026.</w:t>
      </w:r>
    </w:p>
    <w:p>
      <w:pPr>
        <w:pStyle w:val="BodyText"/>
      </w:pPr>
      <w:r>
        <w:t xml:space="preserve">RASELLA, D. et al. Effect of a conditional cash transfer programme on childhood mortality: a nationwide analysis of Brazilian municipalities.</w:t>
      </w:r>
      <w:r>
        <w:t xml:space="preserve"> </w:t>
      </w:r>
      <w:r>
        <w:rPr>
          <w:b/>
          <w:bCs/>
        </w:rPr>
        <w:t xml:space="preserve">The Lancet</w:t>
      </w:r>
      <w:r>
        <w:t xml:space="preserve">, v. 382, n. 9886, p. 57-64, 2013.</w:t>
      </w:r>
    </w:p>
    <w:p>
      <w:pPr>
        <w:pStyle w:val="BodyText"/>
      </w:pPr>
      <w:r>
        <w:t xml:space="preserve">ROCHA, S. Transferências de renda federais: focalização e impactos sobre pobreza e desigualdade.</w:t>
      </w:r>
      <w:r>
        <w:t xml:space="preserve"> </w:t>
      </w:r>
      <w:r>
        <w:rPr>
          <w:b/>
          <w:bCs/>
        </w:rPr>
        <w:t xml:space="preserve">Revista de Economia Contemporânea</w:t>
      </w:r>
      <w:r>
        <w:t xml:space="preserve">, v. 12, n. 1, p. 67-96, 2008.</w:t>
      </w:r>
    </w:p>
    <w:p>
      <w:pPr>
        <w:pStyle w:val="BodyText"/>
      </w:pPr>
      <w:r>
        <w:t xml:space="preserve">ROTH, J. Pretest with caution: event-study estimates after testing for parallel trends.</w:t>
      </w:r>
      <w:r>
        <w:t xml:space="preserve"> </w:t>
      </w:r>
      <w:r>
        <w:rPr>
          <w:b/>
          <w:bCs/>
        </w:rPr>
        <w:t xml:space="preserve">American Economic Review: Insights</w:t>
      </w:r>
      <w:r>
        <w:t xml:space="preserve">, v. 4, n. 3, p. 305-322, 2022.</w:t>
      </w:r>
    </w:p>
    <w:p>
      <w:pPr>
        <w:pStyle w:val="BodyText"/>
      </w:pPr>
      <w:r>
        <w:t xml:space="preserve">SOARES, F. V.</w:t>
      </w:r>
      <w:r>
        <w:t xml:space="preserve"> </w:t>
      </w:r>
      <w:r>
        <w:rPr>
          <w:b/>
          <w:bCs/>
        </w:rPr>
        <w:t xml:space="preserve">Bolsa Família, its design, its impacts and possibilities for the future</w:t>
      </w:r>
      <w:r>
        <w:t xml:space="preserve">. Brasília: International Policy Centre for Inclusive Growth, 2010. (Working Paper, n. 137).</w:t>
      </w:r>
    </w:p>
    <w:p>
      <w:pPr>
        <w:pStyle w:val="BodyText"/>
      </w:pPr>
      <w:r>
        <w:t xml:space="preserve">WILKINSON, M. D. et al. The FAIR Guiding Principles for scientific data management and stewardship.</w:t>
      </w:r>
      <w:r>
        <w:t xml:space="preserve"> </w:t>
      </w:r>
      <w:r>
        <w:rPr>
          <w:b/>
          <w:bCs/>
        </w:rPr>
        <w:t xml:space="preserve">Scientific Data</w:t>
      </w:r>
      <w:r>
        <w:t xml:space="preserve">, v. 3, art. 160018, 2016. DOI: 10.1038/sdata.2016.18. Disponível em:</w:t>
      </w:r>
      <w:r>
        <w:t xml:space="preserve"> </w:t>
      </w:r>
      <w:hyperlink r:id="rId164">
        <w:r>
          <w:rPr>
            <w:rStyle w:val="Hyperlink"/>
          </w:rPr>
          <w:t xml:space="preserve">https://doi.org/10.1038/sdata.2016.18</w:t>
        </w:r>
      </w:hyperlink>
      <w:r>
        <w:t xml:space="preserve">. Acesso em: 9 jul. 2026.</w:t>
      </w:r>
    </w:p>
    <w:p>
      <w:pPr>
        <w:pStyle w:val="BodyText"/>
      </w:pPr>
      <w:r>
        <w:t xml:space="preserve">WORLD BANK.</w:t>
      </w:r>
      <w:r>
        <w:t xml:space="preserve"> </w:t>
      </w:r>
      <w:r>
        <w:rPr>
          <w:b/>
          <w:bCs/>
        </w:rPr>
        <w:t xml:space="preserve">ASPIRE</w:t>
      </w:r>
      <w:r>
        <w:t xml:space="preserve">: Atlas of Social Protection Indicators of Resilience and Equity. [</w:t>
      </w:r>
      <w:r>
        <w:rPr>
          <w:i/>
          <w:iCs/>
        </w:rPr>
        <w:t xml:space="preserve">S. l.</w:t>
      </w:r>
      <w:r>
        <w:t xml:space="preserve">], 2024a. Conjunto de dados. Disponível em:</w:t>
      </w:r>
      <w:r>
        <w:t xml:space="preserve"> </w:t>
      </w:r>
      <w:hyperlink r:id="rId165">
        <w:r>
          <w:rPr>
            <w:rStyle w:val="Hyperlink"/>
          </w:rPr>
          <w:t xml:space="preserve">https://www.worldbank.org/en/data/datatopics/aspire</w:t>
        </w:r>
      </w:hyperlink>
      <w:r>
        <w:t xml:space="preserve">. Acesso em: 9 jul. 2026.</w:t>
      </w:r>
    </w:p>
    <w:p>
      <w:pPr>
        <w:pStyle w:val="BodyText"/>
      </w:pPr>
      <w:r>
        <w:t xml:space="preserve">WORLD BANK.</w:t>
      </w:r>
      <w:r>
        <w:t xml:space="preserve"> </w:t>
      </w:r>
      <w:r>
        <w:rPr>
          <w:b/>
          <w:bCs/>
        </w:rPr>
        <w:t xml:space="preserve">International Comparison Program (ICP) 2021</w:t>
      </w:r>
      <w:r>
        <w:t xml:space="preserve">. [</w:t>
      </w:r>
      <w:r>
        <w:rPr>
          <w:i/>
          <w:iCs/>
        </w:rPr>
        <w:t xml:space="preserve">S. l.</w:t>
      </w:r>
      <w:r>
        <w:t xml:space="preserve">], 2024b. Conjunto de dados. Disponível em:</w:t>
      </w:r>
      <w:r>
        <w:t xml:space="preserve"> </w:t>
      </w:r>
      <w:hyperlink r:id="rId166">
        <w:r>
          <w:rPr>
            <w:rStyle w:val="Hyperlink"/>
          </w:rPr>
          <w:t xml:space="preserve">https://www.worldbank.org/en/programs/icp</w:t>
        </w:r>
      </w:hyperlink>
      <w:r>
        <w:t xml:space="preserve">. Acesso em: 9 jul. 2026.</w:t>
      </w:r>
    </w:p>
    <w:p>
      <w:pPr>
        <w:pStyle w:val="BodyText"/>
      </w:pPr>
      <w:r>
        <w:t xml:space="preserve">ZAHARIA, M. et al. Apache Spark: a unified engine for big data processing.</w:t>
      </w:r>
      <w:r>
        <w:t xml:space="preserve"> </w:t>
      </w:r>
      <w:r>
        <w:rPr>
          <w:b/>
          <w:bCs/>
        </w:rPr>
        <w:t xml:space="preserve">Communications of the ACM</w:t>
      </w:r>
      <w:r>
        <w:t xml:space="preserve">, v. 59, n. 11, p. 56-65, 2016.</w:t>
      </w:r>
    </w:p>
    <w:bookmarkEnd w:id="167"/>
    <w:sectPr w:rsidR="00FC693F" w:rsidRPr="0006063C" w:rsidSect="00034616">
      <w:pgSz w:h="16838" w:w="11906"/>
      <w:pgMar w:bottom="1134" w:footer="720" w:gutter="0" w:header="720" w:left="1701" w:right="1134" w:top="170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40" w:lineRule="auto"/>
      <w:jc w:val="both"/>
    </w:pPr>
    <w:rPr>
      <w:rFonts w:ascii="Times New Roman" w:cs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 w:line="240" w:lineRule="auto"/>
      <w:jc w:val="left"/>
      <w:outlineLvl w:val="0"/>
    </w:pPr>
    <w:rPr>
      <w:rFonts w:ascii="Times New Roman" w:asciiTheme="majorHAnsi" w:cs="Times New Roman" w:cstheme="majorBidi" w:eastAsiaTheme="majorEastAsia" w:hAnsi="Times New Roman" w:hAnsiTheme="majorHAnsi"/>
      <w:b/>
      <w:bCs/>
      <w:color w:val="000000"/>
      <w:sz w:val="2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 w:line="240" w:lineRule="auto"/>
      <w:jc w:val="left"/>
      <w:outlineLvl w:val="1"/>
    </w:pPr>
    <w:rPr>
      <w:rFonts w:ascii="Times New Roman" w:asciiTheme="majorHAnsi" w:cs="Times New Roman" w:cstheme="majorBidi" w:eastAsiaTheme="majorEastAsia" w:hAnsi="Times New Roman" w:hAnsiTheme="majorHAnsi"/>
      <w:b/>
      <w:bCs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 w:line="240" w:lineRule="auto"/>
      <w:jc w:val="left"/>
      <w:outlineLvl w:val="2"/>
    </w:pPr>
    <w:rPr>
      <w:rFonts w:ascii="Times New Roman" w:asciiTheme="majorHAnsi" w:cs="Times New Roman" w:cstheme="majorBidi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left"/>
    </w:pPr>
    <w:rPr>
      <w:rFonts w:ascii="Times New Roman" w:asciiTheme="majorHAnsi" w:cs="Times New Roman" w:cstheme="majorBidi" w:eastAsiaTheme="majorEastAsia" w:hAnsi="Times New Roman" w:hAnsiTheme="majorHAnsi"/>
      <w:b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42" Target="media/rId42.png" /><Relationship Type="http://schemas.openxmlformats.org/officeDocument/2006/relationships/image" Id="rId89" Target="media/rId89.png" /><Relationship Type="http://schemas.openxmlformats.org/officeDocument/2006/relationships/image" Id="rId98" Target="media/rId98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20" Target="media/rId120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26" Target="media/rId126.png" /><Relationship Type="http://schemas.openxmlformats.org/officeDocument/2006/relationships/hyperlink" Id="rId163" Target="http://atlasbrasil.org.br/" TargetMode="External" /><Relationship Type="http://schemas.openxmlformats.org/officeDocument/2006/relationships/hyperlink" Id="rId23" Target="https://anonymous.4open.science/r/artigo_bolsa_familia-5E34/" TargetMode="External" /><Relationship Type="http://schemas.openxmlformats.org/officeDocument/2006/relationships/hyperlink" Id="rId158" Target="https://api.bcb.gov.br/dados/serie/bcdata.sgs.433/dados" TargetMode="External" /><Relationship Type="http://schemas.openxmlformats.org/officeDocument/2006/relationships/hyperlink" Id="rId164" Target="https://doi.org/10.1038/sdata.2016.18" TargetMode="External" /><Relationship Type="http://schemas.openxmlformats.org/officeDocument/2006/relationships/hyperlink" Id="rId160" Target="https://portaldatransparencia.gov.br/download-de-dados/bolsa-familia-pagamentos" TargetMode="External" /><Relationship Type="http://schemas.openxmlformats.org/officeDocument/2006/relationships/hyperlink" Id="rId162" Target="https://sidra.ibge.gov.br/tabela/6579" TargetMode="External" /><Relationship Type="http://schemas.openxmlformats.org/officeDocument/2006/relationships/hyperlink" Id="rId161" Target="https://sidra.ibge.gov.br/tabela/6688" TargetMode="External" /><Relationship Type="http://schemas.openxmlformats.org/officeDocument/2006/relationships/hyperlink" Id="rId159" Target="https://www.cepal.org/es/publicaciones/panoramasocial" TargetMode="External" /><Relationship Type="http://schemas.openxmlformats.org/officeDocument/2006/relationships/hyperlink" Id="rId165" Target="https://www.worldbank.org/en/data/datatopics/aspire" TargetMode="External" /><Relationship Type="http://schemas.openxmlformats.org/officeDocument/2006/relationships/hyperlink" Id="rId166" Target="https://www.worldbank.org/en/programs/ic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://atlasbrasil.org.br/" TargetMode="External" /><Relationship Type="http://schemas.openxmlformats.org/officeDocument/2006/relationships/hyperlink" Id="rId23" Target="https://anonymous.4open.science/r/artigo_bolsa_familia-5E34/" TargetMode="External" /><Relationship Type="http://schemas.openxmlformats.org/officeDocument/2006/relationships/hyperlink" Id="rId158" Target="https://api.bcb.gov.br/dados/serie/bcdata.sgs.433/dados" TargetMode="External" /><Relationship Type="http://schemas.openxmlformats.org/officeDocument/2006/relationships/hyperlink" Id="rId164" Target="https://doi.org/10.1038/sdata.2016.18" TargetMode="External" /><Relationship Type="http://schemas.openxmlformats.org/officeDocument/2006/relationships/hyperlink" Id="rId160" Target="https://portaldatransparencia.gov.br/download-de-dados/bolsa-familia-pagamentos" TargetMode="External" /><Relationship Type="http://schemas.openxmlformats.org/officeDocument/2006/relationships/hyperlink" Id="rId162" Target="https://sidra.ibge.gov.br/tabela/6579" TargetMode="External" /><Relationship Type="http://schemas.openxmlformats.org/officeDocument/2006/relationships/hyperlink" Id="rId161" Target="https://sidra.ibge.gov.br/tabela/6688" TargetMode="External" /><Relationship Type="http://schemas.openxmlformats.org/officeDocument/2006/relationships/hyperlink" Id="rId159" Target="https://www.cepal.org/es/publicaciones/panoramasocial" TargetMode="External" /><Relationship Type="http://schemas.openxmlformats.org/officeDocument/2006/relationships/hyperlink" Id="rId165" Target="https://www.worldbank.org/en/data/datatopics/aspire" TargetMode="External" /><Relationship Type="http://schemas.openxmlformats.org/officeDocument/2006/relationships/hyperlink" Id="rId166" Target="https://www.worldbank.org/en/programs/ic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2026-07-10T13:36:23Z</dcterms:created>
  <dcterms:modified xsi:type="dcterms:W3CDTF">2026-07-10T13:36:23Z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