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rPr>
          <w:rFonts w:ascii="Times New Roman" w:hAnsi="Times New Roman" w:cs="Times New Roman"/>
          <w:b/>
          <w:bCs/>
          <w:sz w:val="28"/>
        </w:rPr>
        <w:t xml:space="preserve">Três regimes, um programa: documentação, identificação causal e equidade do Bolsa Família</w:t>
      </w:r>
    </w:p>
    <w:p>
      <w:pPr>
        <w:pStyle w:val="BodyText"/>
      </w:pPr>
      <w:r>
        <w:rPr>
          <w:rFonts w:ascii="Times New Roman" w:hAnsi="Times New Roman" w:cs="Times New Roman"/>
          <w:i/>
          <w:iCs/>
          <w:sz w:val="24"/>
        </w:rPr>
        <w:t xml:space="preserve">Three regimes, one program: documentation, causal identification, and equity of Bolsa Família</w:t>
      </w:r>
    </w:p>
    <w:p>
      <w:pPr>
        <w:pStyle w:val="BodyText"/>
      </w:pPr>
      <w:r>
        <w:rPr>
          <w:rFonts w:ascii="Times New Roman" w:hAnsi="Times New Roman" w:cs="Times New Roman"/>
          <w:i/>
          <w:iCs/>
          <w:sz w:val="24"/>
        </w:rPr>
        <w:t xml:space="preserve">Tres regímenes, un programa: documentación, identificación causal y equidad de Bolsa Família</w:t>
      </w:r>
    </w:p>
    <w:p>
      <w:pPr>
        <w:pStyle w:val="BodyText"/>
      </w:pPr>
      <w:r>
        <w:rPr>
          <w:i/>
          <w:iCs/>
        </w:rPr>
        <w:t xml:space="preserve">[Identificação dos autores removida para avaliação por pares duplo-cega.]</w:t>
      </w:r>
    </w:p>
    <w:bookmarkStart w:id="20" w:name="resumo"/>
    <w:p>
      <w:pPr>
        <w:pStyle w:val="Heading1"/>
      </w:pPr>
      <w:r>
        <w:t xml:space="preserve">Resumo</w:t>
      </w:r>
    </w:p>
    <w:p>
      <w:pPr>
        <w:pStyle w:val="FirstParagraph"/>
      </w:pPr>
      <w:r>
        <w:t xml:space="preserve">Este trabalho analisa o Bolsa Família entre 2013 e 2025, integrando três dimensões usualmente tratadas em separado: documentação reproduzível dos microdados, identificação causal das transições institucionais e equidade distributiva. Consolidam-se microdados mensais do Portal da Transparência (mais de 2,2 bilhões de registros) em painel estado</w:t>
      </w:r>
      <m:oMath>
        <m:r>
          <m:rPr>
            <m:sty m:val="p"/>
          </m:rPr>
          <m:t>×</m:t>
        </m:r>
      </m:oMath>
      <w:r>
        <w:t xml:space="preserve">ano, via arquitetura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com deflação pelo IPCA (base dezembro de 2021). A identificação causal articula diferenças-em-diferenças e efeitos fixos de dois sentidos sobre a Medida Provisória 1.061/2021 e a Lei 14.601/2023, com inferência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testes de tendências paralelas, placebo e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A equidade é medida pelo índice de Kakwani, ordenado pelo IDH municipal, e por um índice de necessidade. Um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o programa a quatro transferências condicionadas latino-americanas em dólares PPC. Em termos reais, o gasto cresceu 283 % entre 2018 e 2024 e o valor por beneficiário, 181 %. O efeito causal é grande sob erros HC3, mas indistinguível de zero sob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e o teste de tendências paralelas é rejeitado — ilustrando o ônus identificacional 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índice de Kakwani confirma a progressividade do programa, porém decrescente entre regimes; o índice de necessidade revela que estados líderes em valor per capita estão subatendidos frente à intensidade local da pobreza. O artigo publica o</w:t>
      </w:r>
      <w:r>
        <w:t xml:space="preserve"> </w:t>
      </w:r>
      <w:r>
        <w:rPr>
          <w:i/>
          <w:iCs/>
        </w:rPr>
        <w:t xml:space="preserve">pipeline</w:t>
      </w:r>
      <w:r>
        <w:t xml:space="preserve">, os dados e os testes automatizados, viabilizando reprodução integral.</w:t>
      </w:r>
    </w:p>
    <w:p>
      <w:pPr>
        <w:pStyle w:val="BodyText"/>
      </w:pPr>
      <w:r>
        <w:rPr>
          <w:b/>
          <w:bCs/>
        </w:rPr>
        <w:t xml:space="preserve">Palavras-chave:</w:t>
      </w:r>
      <w:r>
        <w:t xml:space="preserve"> </w:t>
      </w:r>
      <w:r>
        <w:t xml:space="preserve">Bolsa Família; transferência condicionada de renda; avaliação de políticas públicas; equidade distributiva; reprodutibilidade.</w:t>
      </w:r>
    </w:p>
    <w:bookmarkEnd w:id="20"/>
    <w:bookmarkStart w:id="21" w:name="abstract"/>
    <w:p>
      <w:pPr>
        <w:pStyle w:val="Heading1"/>
      </w:pPr>
      <w:r>
        <w:t xml:space="preserve">Abstract</w:t>
      </w:r>
    </w:p>
    <w:p>
      <w:pPr>
        <w:pStyle w:val="FirstParagraph"/>
      </w:pPr>
      <w:r>
        <w:t xml:space="preserve">This paper analyzes Brazil’s Bolsa Família program between 2013 and 2025, integrating three dimensions usually treated separately: reproducible microdata documentation, causal identification of the institutional transitions, and distributive equity. Monthly microdata from the federal Transparency Portal (over 2.2 billion records) are consolidated into a state-by-year panel through a</w:t>
      </w:r>
      <w:r>
        <w:t xml:space="preserve"> </w:t>
      </w:r>
      <w:r>
        <w:rPr>
          <w:i/>
          <w:iCs/>
        </w:rPr>
        <w:t xml:space="preserve">medallion</w:t>
      </w:r>
      <w:r>
        <w:t xml:space="preserve"> </w:t>
      </w:r>
      <w:r>
        <w:t xml:space="preserve">architecture, deflated by the IPCA index (December 2021 base). Causal identification combines difference-in-differences and two-way fixed-effects estimators on Provisional Measure 1.061/2021 and Law 14.601/2023, with robust inference via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parallel-trends tests, placebo, and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checks. Equity is measured with the Kakwani index ranked by the municipal Human Development Index and with a need index. An international benchmark compares the program with four Latin American conditional cash transfers in PPP dollars. In real terms, spending grew 283 % between 2018 and 2024 and the per-beneficiary value grew 181 %. The causal effect is large under HC3 errors but indistinguishable from zero under robust</w:t>
      </w:r>
      <w:r>
        <w:t xml:space="preserve"> </w:t>
      </w:r>
      <w:r>
        <w:rPr>
          <w:i/>
          <w:iCs/>
        </w:rPr>
        <w:t xml:space="preserve">bootstrap</w:t>
      </w:r>
      <w:r>
        <w:t xml:space="preserve">, and the parallel-trends test is rejected — illustrating the identification burden with few</w:t>
      </w:r>
      <w:r>
        <w:t xml:space="preserve"> </w:t>
      </w:r>
      <w:r>
        <w:rPr>
          <w:i/>
          <w:iCs/>
        </w:rPr>
        <w:t xml:space="preserve">clusters</w:t>
      </w:r>
      <w:r>
        <w:t xml:space="preserve">. The Kakwani index confirms the program’s progressivity, although it declines across regimes; the need index reveals that states leading in per-capita value are underprovisioned relative to local poverty intensity. The paper releases the pipeline, dataset, and automated tests, enabling full reproduction.</w:t>
      </w:r>
    </w:p>
    <w:p>
      <w:pPr>
        <w:pStyle w:val="BodyText"/>
      </w:pPr>
      <w:r>
        <w:rPr>
          <w:b/>
          <w:bCs/>
        </w:rPr>
        <w:t xml:space="preserve">Keywords:</w:t>
      </w:r>
      <w:r>
        <w:t xml:space="preserve"> </w:t>
      </w:r>
      <w:r>
        <w:t xml:space="preserve">Bolsa Família; conditional cash transfers; public policy evaluation; distributive equity; reproducibility.</w:t>
      </w:r>
    </w:p>
    <w:bookmarkEnd w:id="21"/>
    <w:bookmarkStart w:id="22" w:name="resumen"/>
    <w:p>
      <w:pPr>
        <w:pStyle w:val="Heading1"/>
      </w:pPr>
      <w:r>
        <w:t xml:space="preserve">Resumen</w:t>
      </w:r>
    </w:p>
    <w:p>
      <w:pPr>
        <w:pStyle w:val="FirstParagraph"/>
      </w:pPr>
      <w:r>
        <w:t xml:space="preserve">Este trabajo analiza el programa Bolsa Família entre 2013 y 2025 integrando tres dimensiones habitualmente tratadas por separado: documentación reproducible de los microdatos, identificación causal de las transiciones institucionales y equidad distributiva. Se consolidan microdatos mensuales del Portal de la Transparencia (más de 2,2 mil millones de registros) en un panel estado</w:t>
      </w:r>
      <m:oMath>
        <m:r>
          <m:rPr>
            <m:sty m:val="p"/>
          </m:rPr>
          <m:t>×</m:t>
        </m:r>
      </m:oMath>
      <w:r>
        <w:t xml:space="preserve">año, mediante una arquitectura</w:t>
      </w:r>
      <w:r>
        <w:t xml:space="preserve"> </w:t>
      </w:r>
      <w:r>
        <w:rPr>
          <w:i/>
          <w:iCs/>
        </w:rPr>
        <w:t xml:space="preserve">medallion</w:t>
      </w:r>
      <w:r>
        <w:t xml:space="preserve">, con deflación por el IPCA (base diciembre de 2021). La identificación causal combina diferencias-en-diferencias y efectos fijos de dos vías sobre la Medida Provisional 1.061/2021 y la Ley 14.601/2023, con inferencia robusta por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 pruebas de tendencias paralelas, placebo y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. La equidad se mide con el índice de Kakwani, ordenado por el IDH municipal, y con un índice de necesidad. Un</w:t>
      </w:r>
      <w:r>
        <w:t xml:space="preserve"> </w:t>
      </w:r>
      <w:r>
        <w:rPr>
          <w:i/>
          <w:iCs/>
        </w:rPr>
        <w:t xml:space="preserve">benchmark</w:t>
      </w:r>
      <w:r>
        <w:t xml:space="preserve"> </w:t>
      </w:r>
      <w:r>
        <w:t xml:space="preserve">internacional compara el programa con cuatro transferencias monetarias condicionadas latinoamericanas en dólares PPA. En términos reales, el gasto creció 283 % entre 2018 y 2024 y el valor por beneficiario, 181 %. El efecto causal es grande con errores HC3, pero indistinguible de cero bajo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robusto, y la prueba de tendencias paralelas se rechaza, ilustrando la carga de identificación con pocos</w:t>
      </w:r>
      <w:r>
        <w:t xml:space="preserve"> </w:t>
      </w:r>
      <w:r>
        <w:rPr>
          <w:i/>
          <w:iCs/>
        </w:rPr>
        <w:t xml:space="preserve">clusters</w:t>
      </w:r>
      <w:r>
        <w:t xml:space="preserve">. El índice de Kakwani confirma la progresividad del programa, aunque decreciente entre regímenes; el índice de necesidad revela que los estados líderes en valor per cápita están subatendidos frente a la intensidad local de la pobreza. El artículo publica el</w:t>
      </w:r>
      <w:r>
        <w:t xml:space="preserve"> </w:t>
      </w:r>
      <w:r>
        <w:rPr>
          <w:i/>
          <w:iCs/>
        </w:rPr>
        <w:t xml:space="preserve">pipeline</w:t>
      </w:r>
      <w:r>
        <w:t xml:space="preserve">, los datos y las pruebas automatizadas, permitiendo su reproducción integral.</w:t>
      </w:r>
    </w:p>
    <w:p>
      <w:pPr>
        <w:pStyle w:val="BodyText"/>
      </w:pPr>
      <w:r>
        <w:rPr>
          <w:b/>
          <w:bCs/>
        </w:rPr>
        <w:t xml:space="preserve">Palabras clave:</w:t>
      </w:r>
      <w:r>
        <w:t xml:space="preserve"> </w:t>
      </w:r>
      <w:r>
        <w:t xml:space="preserve">Bolsa Família; transferencias monetarias condicionadas; evaluación de políticas públicas; equidad distributiva; reproducibilidad.</w:t>
      </w:r>
    </w:p>
    <w:bookmarkEnd w:id="22"/>
    <w:bookmarkStart w:id="23" w:name="introdução"/>
    <w:p>
      <w:pPr>
        <w:pStyle w:val="Heading1"/>
      </w:pPr>
      <w:r>
        <w:t xml:space="preserve">Introdução</w:t>
      </w:r>
    </w:p>
    <w:p>
      <w:pPr>
        <w:pStyle w:val="FirstParagraph"/>
        <w:ind w:firstLine="709"/>
      </w:pPr>
      <w:r>
        <w:t xml:space="preserve">O Programa Bolsa Família (PBF), criado pela Lei n. 10.836, de 9 de</w:t>
      </w:r>
      <w:r>
        <w:t xml:space="preserve"> </w:t>
      </w:r>
      <w:r>
        <w:t xml:space="preserve">janeiro de 2004, consolidou-se como o principal instrumento brasileiro</w:t>
      </w:r>
      <w:r>
        <w:t xml:space="preserve"> </w:t>
      </w:r>
      <w:r>
        <w:t xml:space="preserve">de transferência condicionada de renda. Em duas décadas, atravessou</w:t>
      </w:r>
      <w:r>
        <w:t xml:space="preserve"> </w:t>
      </w:r>
      <w:r>
        <w:t xml:space="preserve">três regimes institucionais: PBF clássico (2003–2021),</w:t>
      </w:r>
      <w:r>
        <w:t xml:space="preserve"> </w:t>
      </w:r>
      <w:r>
        <w:t xml:space="preserve">Auxílio Brasil (Nov. 2021–Fev. 2023, instituído pela</w:t>
      </w:r>
      <w:r>
        <w:t xml:space="preserve"> </w:t>
      </w:r>
      <w:r>
        <w:t xml:space="preserve">Medida Provisória n. 1.061/2021 sob o governo Bolsonaro) e Novo</w:t>
      </w:r>
      <w:r>
        <w:t xml:space="preserve"> </w:t>
      </w:r>
      <w:r>
        <w:t xml:space="preserve">Bolsa Família (Mar. 2023 em diante, restabelecido pela Lei</w:t>
      </w:r>
      <w:r>
        <w:t xml:space="preserve"> </w:t>
      </w:r>
      <w:r>
        <w:t xml:space="preserve">n. 14.601/2023 sob o governo Lula). Cada regime trouxe alterações</w:t>
      </w:r>
      <w:r>
        <w:t xml:space="preserve"> </w:t>
      </w:r>
      <w:r>
        <w:t xml:space="preserve">no desenho do benefício, na cobertura, no valor pago e nos critérios</w:t>
      </w:r>
      <w:r>
        <w:t xml:space="preserve"> </w:t>
      </w:r>
      <w:r>
        <w:t xml:space="preserve">de elegibilidade.</w:t>
      </w:r>
    </w:p>
    <w:p>
      <w:pPr>
        <w:pStyle w:val="BodyText"/>
        <w:ind w:firstLine="709"/>
      </w:pPr>
      <w:r>
        <w:t xml:space="preserve">A literatura acadêmica produziu evidências consistentes sobre os</w:t>
      </w:r>
      <w:r>
        <w:t xml:space="preserve"> </w:t>
      </w:r>
      <w:r>
        <w:t xml:space="preserve">efeitos do PBF na redução da pobreza extrema, na escolarização</w:t>
      </w:r>
      <w:r>
        <w:t xml:space="preserve"> </w:t>
      </w:r>
      <w:r>
        <w:t xml:space="preserve">infantil, na frequência de pré-natal e na ampliação do consumo nas</w:t>
      </w:r>
      <w:r>
        <w:t xml:space="preserve"> </w:t>
      </w:r>
      <w:r>
        <w:t xml:space="preserve">regiões mais pobres do país (Soares, 2010; Paes-Sousa et al., 2011; Campello &amp; Neri, 2013). A literatura internacional reconheceu o</w:t>
      </w:r>
      <w:r>
        <w:t xml:space="preserve"> </w:t>
      </w:r>
      <w:r>
        <w:t xml:space="preserve">programa como referência mundial em transferência</w:t>
      </w:r>
      <w:r>
        <w:t xml:space="preserve"> </w:t>
      </w:r>
      <w:r>
        <w:t xml:space="preserve">condicionada (Fiszbein &amp; Schady, 2009), inspirando desenhos congêneres</w:t>
      </w:r>
      <w:r>
        <w:t xml:space="preserve"> </w:t>
      </w:r>
      <w:r>
        <w:t xml:space="preserve">em mais de quarenta países.</w:t>
      </w:r>
    </w:p>
    <w:p>
      <w:pPr>
        <w:pStyle w:val="BodyText"/>
        <w:ind w:firstLine="709"/>
      </w:pPr>
      <w:r>
        <w:t xml:space="preserve">Apesar dessa centralidade, persistem três lacunas analíticas</w:t>
      </w:r>
      <w:r>
        <w:t xml:space="preserve"> </w:t>
      </w:r>
      <w:r>
        <w:t xml:space="preserve">distintas que este trabalho endereça em estrutura única.</w:t>
      </w:r>
      <w:r>
        <w:t xml:space="preserve"> </w:t>
      </w:r>
      <w:r>
        <w:rPr>
          <w:b/>
          <w:bCs/>
        </w:rPr>
        <w:t xml:space="preserve">Primeiro</w:t>
      </w:r>
      <w:r>
        <w:t xml:space="preserve">, o histórico consolidado dos microdados de</w:t>
      </w:r>
      <w:r>
        <w:t xml:space="preserve"> </w:t>
      </w:r>
      <w:r>
        <w:t xml:space="preserve">execução do programa permanece de acesso custoso: o Portal da</w:t>
      </w:r>
      <w:r>
        <w:t xml:space="preserve"> </w:t>
      </w:r>
      <w:r>
        <w:t xml:space="preserve">Transparência da CGU disponibiliza arquivos mensais (um por</w:t>
      </w:r>
      <w:r>
        <w:t xml:space="preserve"> </w:t>
      </w:r>
      <w:r>
        <w:t xml:space="preserve">competência) em CSV compactado, totalizando mais de 2,2 bilhões de</w:t>
      </w:r>
      <w:r>
        <w:t xml:space="preserve"> </w:t>
      </w:r>
      <w:r>
        <w:t xml:space="preserve">registros e cerca de 280 GB descomprimidos no período</w:t>
      </w:r>
      <w:r>
        <w:t xml:space="preserve"> </w:t>
      </w:r>
      <w:r>
        <w:t xml:space="preserve">2013–2025. A consolidação, deflação e normalização</w:t>
      </w:r>
      <w:r>
        <w:t xml:space="preserve"> </w:t>
      </w:r>
      <w:r>
        <w:t xml:space="preserve">desses dados em painel UF </w:t>
      </w:r>
      <m:oMath>
        <m:r>
          <m:rPr>
            <m:sty m:val="p"/>
          </m:rPr>
          <m:t>×</m:t>
        </m:r>
      </m:oMath>
      <w:r>
        <w:t xml:space="preserve"> Ano exige capacidade técnica</w:t>
      </w:r>
      <w:r>
        <w:t xml:space="preserve"> </w:t>
      </w:r>
      <w:r>
        <w:t xml:space="preserve">não trivial, o que limita o alcance da informação a um público</w:t>
      </w:r>
      <w:r>
        <w:t xml:space="preserve"> </w:t>
      </w:r>
      <w:r>
        <w:t xml:space="preserve">especializado.</w:t>
      </w:r>
      <w:r>
        <w:t xml:space="preserve"> </w:t>
      </w:r>
      <w:r>
        <w:rPr>
          <w:b/>
          <w:bCs/>
        </w:rPr>
        <w:t xml:space="preserve">Segundo</w:t>
      </w:r>
      <w:r>
        <w:t xml:space="preserve">, a literatura empírica brasileira</w:t>
      </w:r>
      <w:r>
        <w:t xml:space="preserve"> </w:t>
      </w:r>
      <w:r>
        <w:t xml:space="preserve">sobre o PBF é majoritariamente descritiva ou ancorada em</w:t>
      </w:r>
      <w:r>
        <w:t xml:space="preserve"> </w:t>
      </w:r>
      <w:r>
        <w:rPr>
          <w:i/>
          <w:iCs/>
        </w:rPr>
        <w:t xml:space="preserve">surveys</w:t>
      </w:r>
      <w:r>
        <w:t xml:space="preserve"> </w:t>
      </w:r>
      <w:r>
        <w:t xml:space="preserve">(PNAD-C, POF) — não há estudo</w:t>
      </w:r>
      <w:r>
        <w:t xml:space="preserve"> </w:t>
      </w:r>
      <w:r>
        <w:t xml:space="preserve">quasi-experimental sobre as transições institucionais MP 1.061/2021</w:t>
      </w:r>
      <w:r>
        <w:t xml:space="preserve"> </w:t>
      </w:r>
      <w:r>
        <w:t xml:space="preserve">e Lei 14.601/2023, ainda que ambas constituam choques</w:t>
      </w:r>
      <w:r>
        <w:t xml:space="preserve"> </w:t>
      </w:r>
      <w:r>
        <w:t xml:space="preserve">identificacionais com cutoffs precisos.</w:t>
      </w:r>
      <w:r>
        <w:t xml:space="preserve"> </w:t>
      </w:r>
      <w:r>
        <w:rPr>
          <w:b/>
          <w:bCs/>
        </w:rPr>
        <w:t xml:space="preserve">Terceiro</w:t>
      </w:r>
      <w:r>
        <w:t xml:space="preserve">, o debate</w:t>
      </w:r>
      <w:r>
        <w:t xml:space="preserve"> </w:t>
      </w:r>
      <w:r>
        <w:t xml:space="preserve">público sobre sustentabilidade fiscal do programa em R$ 140 bilhões</w:t>
      </w:r>
      <w:r>
        <w:t xml:space="preserve"> </w:t>
      </w:r>
      <w:r>
        <w:t xml:space="preserve">anuais carece de aparato comparativo internacional sistemático.</w:t>
      </w:r>
    </w:p>
    <w:p>
      <w:pPr>
        <w:pStyle w:val="BodyText"/>
        <w:ind w:firstLine="709"/>
      </w:pPr>
      <w:r>
        <w:t xml:space="preserve">Este artigo organiza-se em sete seções. A Seção</w:t>
      </w:r>
      <w:r>
        <w:t xml:space="preserve"> </w:t>
      </w:r>
      <w:r>
        <w:t xml:space="preserve">2 revisa a evolução institucional. A Seção</w:t>
      </w:r>
      <w:r>
        <w:t xml:space="preserve"> </w:t>
      </w:r>
      <w:r>
        <w:t xml:space="preserve">3 apresenta a metodologia. A Seção</w:t>
      </w:r>
      <w:r>
        <w:t xml:space="preserve"> </w:t>
      </w:r>
      <w:r>
        <w:t xml:space="preserve">4 expõe os resultados descritivos. A Seção</w:t>
      </w:r>
      <w:r>
        <w:t xml:space="preserve"> </w:t>
      </w:r>
      <w:r>
        <w:t xml:space="preserve">5 apresenta a identificação causal das transições</w:t>
      </w:r>
      <w:r>
        <w:t xml:space="preserve"> </w:t>
      </w:r>
      <w:r>
        <w:t xml:space="preserve">institucionais. A Seção 6 apresenta os índices</w:t>
      </w:r>
      <w:r>
        <w:t xml:space="preserve"> </w:t>
      </w:r>
      <w:r>
        <w:t xml:space="preserve">formais de equidade. A Seção 7 apresenta o</w:t>
      </w:r>
      <w:r>
        <w:t xml:space="preserve"> </w:t>
      </w:r>
      <w:r>
        <w:t xml:space="preserve">benchmark internacional. As Seções 9 e</w:t>
      </w:r>
      <w:r>
        <w:t xml:space="preserve"> </w:t>
      </w:r>
      <w:r>
        <w:t xml:space="preserve">10 discutem implicações e limites.</w:t>
      </w:r>
    </w:p>
    <w:bookmarkEnd w:id="23"/>
    <w:bookmarkStart w:id="31" w:name="histórico-institucional"/>
    <w:p>
      <w:pPr>
        <w:pStyle w:val="Heading1"/>
      </w:pPr>
      <w:r>
        <w:t xml:space="preserve">Histórico Institucional</w:t>
      </w:r>
    </w:p>
    <w:bookmarkStart w:id="24" w:name="o-bolsa-família-clássico-20032021"/>
    <w:p>
      <w:pPr>
        <w:pStyle w:val="Heading2"/>
      </w:pPr>
      <w:r>
        <w:t xml:space="preserve">O Bolsa Família clássico (2003–2021)</w:t>
      </w:r>
    </w:p>
    <w:p>
      <w:pPr>
        <w:pStyle w:val="FirstParagraph"/>
        <w:ind w:firstLine="709"/>
      </w:pPr>
      <w:r>
        <w:t xml:space="preserve">Criado pela Lei n. 10.836/2004, o PBF unificou em um único arranjo</w:t>
      </w:r>
      <w:r>
        <w:t xml:space="preserve"> </w:t>
      </w:r>
      <w:r>
        <w:t xml:space="preserve">quatro programas anteriores (Bolsa Escola, Bolsa Alimentação,</w:t>
      </w:r>
      <w:r>
        <w:t xml:space="preserve"> </w:t>
      </w:r>
      <w:r>
        <w:t xml:space="preserve">Auxílio Gás e Cartão Alimentação) sob coordenação do então</w:t>
      </w:r>
      <w:r>
        <w:t xml:space="preserve"> </w:t>
      </w:r>
      <w:r>
        <w:t xml:space="preserve">Ministério do Desenvolvimento Social. O critério de elegibilidade</w:t>
      </w:r>
      <w:r>
        <w:t xml:space="preserve"> </w:t>
      </w:r>
      <w:r>
        <w:t xml:space="preserve">central foi a renda familiar per capita: famílias em pobreza</w:t>
      </w:r>
      <w:r>
        <w:t xml:space="preserve"> </w:t>
      </w:r>
      <w:r>
        <w:t xml:space="preserve">extrema (renda &lt; R$ 89/mês até 2018) recebiam o benefício básico</w:t>
      </w:r>
      <w:r>
        <w:t xml:space="preserve"> </w:t>
      </w:r>
      <w:r>
        <w:t xml:space="preserve">acrescido de variáveis por composição familiar; famílias em pobreza</w:t>
      </w:r>
      <w:r>
        <w:t xml:space="preserve"> </w:t>
      </w:r>
      <w:r>
        <w:t xml:space="preserve">(renda entre R$ 89 e R$ 178) recebiam apenas as parcelas</w:t>
      </w:r>
      <w:r>
        <w:t xml:space="preserve"> </w:t>
      </w:r>
      <w:r>
        <w:t xml:space="preserve">variáveis. Ao longo de quase duas décadas, o programa manteve</w:t>
      </w:r>
      <w:r>
        <w:t xml:space="preserve"> </w:t>
      </w:r>
      <w:r>
        <w:t xml:space="preserve">cobertura entre 14 e 17 milhões de famílias, com valor médio anual</w:t>
      </w:r>
      <w:r>
        <w:t xml:space="preserve"> </w:t>
      </w:r>
      <w:r>
        <w:t xml:space="preserve">em R$ 35–41 bilhões em valores reais (preços</w:t>
      </w:r>
      <w:r>
        <w:t xml:space="preserve"> </w:t>
      </w:r>
      <w:r>
        <w:t xml:space="preserve">dez/2021).</w:t>
      </w:r>
    </w:p>
    <w:bookmarkEnd w:id="24"/>
    <w:bookmarkStart w:id="25" w:name="o-auxílio-brasil-nov.-2021fev.-2023"/>
    <w:p>
      <w:pPr>
        <w:pStyle w:val="Heading2"/>
      </w:pPr>
      <w:r>
        <w:t xml:space="preserve">O Auxílio Brasil (Nov. 2021–Fev. 2023)</w:t>
      </w:r>
    </w:p>
    <w:p>
      <w:pPr>
        <w:pStyle w:val="FirstParagraph"/>
        <w:ind w:firstLine="709"/>
      </w:pPr>
      <w:r>
        <w:t xml:space="preserve">A Medida Provisória n. 1.061, de 9 de agosto de 2021,</w:t>
      </w:r>
      <w:r>
        <w:t xml:space="preserve"> </w:t>
      </w:r>
      <w:r>
        <w:t xml:space="preserve">posteriormente convertida na Lei n. 14.284/2021, extinguiu o PBF e</w:t>
      </w:r>
      <w:r>
        <w:t xml:space="preserve"> </w:t>
      </w:r>
      <w:r>
        <w:t xml:space="preserve">criou o Auxílio Brasil em seu lugar. As principais alterações:</w:t>
      </w:r>
      <w:r>
        <w:t xml:space="preserve"> </w:t>
      </w:r>
      <w:r>
        <w:t xml:space="preserve">(i) elevação do piso para R$ 400/família, posteriormente</w:t>
      </w:r>
      <w:r>
        <w:t xml:space="preserve"> </w:t>
      </w:r>
      <w:r>
        <w:t xml:space="preserve">R$ 600/família em meio à campanha eleitoral de 2022;</w:t>
      </w:r>
      <w:r>
        <w:t xml:space="preserve"> </w:t>
      </w:r>
      <w:r>
        <w:t xml:space="preserve">(ii) ampliação da cobertura para aproximadamente 24 milhões de</w:t>
      </w:r>
      <w:r>
        <w:t xml:space="preserve"> </w:t>
      </w:r>
      <w:r>
        <w:t xml:space="preserve">famílias mediante incorporação de beneficiários do Cadastro Único</w:t>
      </w:r>
      <w:r>
        <w:t xml:space="preserve"> </w:t>
      </w:r>
      <w:r>
        <w:t xml:space="preserve">previamente fora da fila; (iii) modificação dos critérios de</w:t>
      </w:r>
      <w:r>
        <w:t xml:space="preserve"> </w:t>
      </w:r>
      <w:r>
        <w:t xml:space="preserve">condicionalidade. O período é caracterizado por forte politização e</w:t>
      </w:r>
      <w:r>
        <w:t xml:space="preserve"> </w:t>
      </w:r>
      <w:r>
        <w:t xml:space="preserve">vinculação ao calendário eleitoral.</w:t>
      </w:r>
    </w:p>
    <w:bookmarkEnd w:id="25"/>
    <w:bookmarkStart w:id="26" w:name="o-novo-bolsa-família-mar.-2023atual"/>
    <w:p>
      <w:pPr>
        <w:pStyle w:val="Heading2"/>
      </w:pPr>
      <w:r>
        <w:t xml:space="preserve">O Novo Bolsa Família (Mar. 2023–atual)</w:t>
      </w:r>
    </w:p>
    <w:p>
      <w:pPr>
        <w:pStyle w:val="FirstParagraph"/>
        <w:ind w:firstLine="709"/>
      </w:pPr>
      <w:r>
        <w:t xml:space="preserve">A Lei n. 14.601, de 19 de junho de 2023, revogou o Auxílio Brasil e</w:t>
      </w:r>
      <w:r>
        <w:t xml:space="preserve"> </w:t>
      </w:r>
      <w:r>
        <w:t xml:space="preserve">restabeleceu o Bolsa Família com nova configuração: (i) piso de</w:t>
      </w:r>
      <w:r>
        <w:t xml:space="preserve"> </w:t>
      </w:r>
      <w:r>
        <w:t xml:space="preserve">R$ 600/família mais adicionais por composição familiar (crianças,</w:t>
      </w:r>
      <w:r>
        <w:t xml:space="preserve"> </w:t>
      </w:r>
      <w:r>
        <w:t xml:space="preserve">gestantes, nutrizes); (ii) restabelecimento das condicionalidades</w:t>
      </w:r>
      <w:r>
        <w:t xml:space="preserve"> </w:t>
      </w:r>
      <w:r>
        <w:t xml:space="preserve">de educação e saúde; (iii) ampliação da cobertura, com inclusão de</w:t>
      </w:r>
      <w:r>
        <w:t xml:space="preserve"> </w:t>
      </w:r>
      <w:r>
        <w:t xml:space="preserve">famílias unipessoais antes restritas; (iv) integração com</w:t>
      </w:r>
      <w:r>
        <w:t xml:space="preserve"> </w:t>
      </w:r>
      <w:r>
        <w:t xml:space="preserve">Cadastro Único modernizado.</w:t>
      </w:r>
    </w:p>
    <w:bookmarkEnd w:id="26"/>
    <w:bookmarkStart w:id="30" w:name="os-marcos-institucionais-visualizados"/>
    <w:p>
      <w:pPr>
        <w:pStyle w:val="Heading2"/>
      </w:pPr>
      <w:r>
        <w:t xml:space="preserve">Os marcos institucionais visualizados</w:t>
      </w:r>
    </w:p>
    <w:p>
      <w:pPr>
        <w:pStyle w:val="FirstParagraph"/>
        <w:ind w:firstLine="709"/>
      </w:pPr>
      <w:r>
        <w:t xml:space="preserve">A Figura 1 sintetiza os marcos discutidos com as</w:t>
      </w:r>
      <w:r>
        <w:t xml:space="preserve"> </w:t>
      </w:r>
      <w:r>
        <w:t xml:space="preserve">faixas temporais correspondentes a cada regime.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 — Linha do tempo institucional do Bolsa Família, Auxílio Brasil e Novo Bolsa Família (2003–2025)</w:t>
      </w:r>
    </w:p>
    <w:p>
      <w:pPr>
        <w:pStyle w:val="BodyText"/>
        <w:jc w:val="center"/>
      </w:pPr>
      <w:r>
        <w:drawing>
          <wp:inline>
            <wp:extent cx="5400000" cy="2319864"/>
            <wp:effectExtent b="0" l="0" r="0" t="0"/>
            <wp:docPr descr="image" title="" id="28" name="Picture"/>
            <a:graphic>
              <a:graphicData uri="http://schemas.openxmlformats.org/drawingml/2006/picture">
                <pic:pic>
                  <pic:nvPicPr>
                    <pic:cNvPr descr="figures-pbf/fig01-timeline-pbf.png" id="29" name="Picture"/>
                    <pic:cNvPicPr>
                      <a:picLocks noChangeArrowheads="1"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1986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Lei 10.836/2004, MP 1.061/2021, Lei 14.284/2021, Lei 14.601/2023.</w:t>
      </w:r>
    </w:p>
    <w:bookmarkEnd w:id="30"/>
    <w:bookmarkEnd w:id="31"/>
    <w:bookmarkStart w:id="39" w:name="metodologia"/>
    <w:p>
      <w:pPr>
        <w:pStyle w:val="Heading1"/>
      </w:pPr>
      <w:r>
        <w:t xml:space="preserve">Metodologia</w:t>
      </w:r>
    </w:p>
    <w:bookmarkStart w:id="32" w:name="fontes-de-dados"/>
    <w:p>
      <w:pPr>
        <w:pStyle w:val="Heading2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Fontes de dados</w:t>
      </w:r>
    </w:p>
    <w:p>
      <w:pPr>
        <w:pStyle w:val="FirstParagraph"/>
        <w:ind w:firstLine="709"/>
      </w:pPr>
      <w:r>
        <w:t xml:space="preserve">Três fontes oficiais públicas: (i) microdados mensais do Portal da</w:t>
      </w:r>
      <w:r>
        <w:t xml:space="preserve"> </w:t>
      </w:r>
      <w:r>
        <w:t xml:space="preserve">Transparência da CGU (CGU, 2025), abrangendo PBF</w:t>
      </w:r>
      <w:r>
        <w:t xml:space="preserve"> </w:t>
      </w:r>
      <w:r>
        <w:t xml:space="preserve">(2013–2021), Auxílio Brasil (2021–2023) e</w:t>
      </w:r>
      <w:r>
        <w:t xml:space="preserve"> </w:t>
      </w:r>
      <w:r>
        <w:t xml:space="preserve">Novo Bolsa Família (2023–atual); (ii) IBGE/SIDRA Tabela</w:t>
      </w:r>
      <w:r>
        <w:t xml:space="preserve"> </w:t>
      </w:r>
      <w:r>
        <w:t xml:space="preserve">6579 (população residente estimada por UF) (IBGE, 2024);</w:t>
      </w:r>
      <w:r>
        <w:t xml:space="preserve"> </w:t>
      </w:r>
      <w:r>
        <w:t xml:space="preserve">(iii) Banco Central do Brasil, série SGS 433 (IPCA mensal para</w:t>
      </w:r>
      <w:r>
        <w:t xml:space="preserve"> </w:t>
      </w:r>
      <w:r>
        <w:t xml:space="preserve">deflação base dezembro/2021) (Banco Central do Brasil, 2024). Para o índice</w:t>
      </w:r>
      <w:r>
        <w:t xml:space="preserve"> </w:t>
      </w:r>
      <w:r>
        <w:t xml:space="preserve">de Kakwani, IDH-M PNUD/Atlas Brasil 2010 (último Censo</w:t>
      </w:r>
      <w:r>
        <w:t xml:space="preserve"> </w:t>
      </w:r>
      <w:r>
        <w:t xml:space="preserve">completo) (PNUD et al., 2013). Para a construção do</w:t>
      </w:r>
      <w:r>
        <w:t xml:space="preserve"> </w:t>
      </w:r>
      <w:r>
        <w:t xml:space="preserve">tratamento da identificação causal, taxa de pobreza monetária</w:t>
      </w:r>
      <w:r>
        <w:t xml:space="preserve"> </w:t>
      </w:r>
      <w:r>
        <w:t xml:space="preserve">PNAD-C 2019 (linha US$ 5,50/dia PPP, IBGE Tabela</w:t>
      </w:r>
      <w:r>
        <w:t xml:space="preserve"> </w:t>
      </w:r>
      <w:r>
        <w:t xml:space="preserve">6688) (IBGE, 2019). Para o benchmark internacional,</w:t>
      </w:r>
      <w:r>
        <w:t xml:space="preserve"> </w:t>
      </w:r>
      <w:r>
        <w:rPr>
          <w:i/>
          <w:iCs/>
        </w:rPr>
        <w:t xml:space="preserve">World Bank ASPIRE</w:t>
      </w:r>
      <w:r>
        <w:t xml:space="preserve"> </w:t>
      </w:r>
      <w:r>
        <w:t xml:space="preserve">(World Bank, 2024a), CEPAL</w:t>
      </w:r>
      <w:r>
        <w:t xml:space="preserve"> </w:t>
      </w:r>
      <w:r>
        <w:rPr>
          <w:i/>
          <w:iCs/>
        </w:rPr>
        <w:t xml:space="preserve">Panorama Social</w:t>
      </w:r>
      <w:r>
        <w:t xml:space="preserve"> </w:t>
      </w:r>
      <w:r>
        <w:t xml:space="preserve">(CEPAL, 2024) e fontes nacionais por</w:t>
      </w:r>
      <w:r>
        <w:t xml:space="preserve"> </w:t>
      </w:r>
      <w:r>
        <w:t xml:space="preserve">programa (ANSES, SEDESOL, DPS, MEFP / UDAPE).</w:t>
      </w:r>
    </w:p>
    <w:bookmarkEnd w:id="32"/>
    <w:bookmarkStart w:id="33" w:name="pipeline-de-dados"/>
    <w:p>
      <w:pPr>
        <w:pStyle w:val="Heading2"/>
      </w:pPr>
      <w:r>
        <w:t xml:space="preserve">Pipeline de dados</w:t>
      </w:r>
    </w:p>
    <w:p>
      <w:pPr>
        <w:pStyle w:val="FirstParagraph"/>
        <w:ind w:firstLine="709"/>
      </w:pPr>
      <w:r>
        <w:t xml:space="preserve">O pipeline adota arquitetura medallion (Armbrust et al., 2021; Kukreja, 2021) implementada em Apache</w:t>
      </w:r>
      <w:r>
        <w:t xml:space="preserve"> </w:t>
      </w:r>
      <w:r>
        <w:t xml:space="preserve">Spark (Zaharia et al., 2016) sobre Databricks Free Edition com</w:t>
      </w:r>
      <w:r>
        <w:t xml:space="preserve"> </w:t>
      </w:r>
      <w:r>
        <w:t xml:space="preserve">persistência em Delta Lake.</w:t>
      </w:r>
      <w:r>
        <w:t xml:space="preserve"> </w:t>
      </w:r>
      <w:r>
        <w:rPr>
          <w:b/>
          <w:bCs/>
        </w:rPr>
        <w:t xml:space="preserve">Bronze</w:t>
      </w:r>
      <w:r>
        <w:t xml:space="preserve"> </w:t>
      </w:r>
      <w:r>
        <w:t xml:space="preserve">ingere os ZIPs mensais via Auto Loader (Spark</w:t>
      </w:r>
      <w:r>
        <w:t xml:space="preserve"> </w:t>
      </w:r>
      <w:r>
        <w:t xml:space="preserve">Structured Streaming) preservando o registro original em</w:t>
      </w:r>
      <w:r>
        <w:t xml:space="preserve"> </w:t>
      </w:r>
      <w:r>
        <w:rPr>
          <w:i/>
          <w:iCs/>
        </w:rPr>
        <w:t xml:space="preserve">string-only</w:t>
      </w:r>
      <w:r>
        <w:t xml:space="preserve"> </w:t>
      </w:r>
      <w:r>
        <w:t xml:space="preserve">— padrão da plataforma para evitar</w:t>
      </w:r>
      <w:r>
        <w:t xml:space="preserve"> </w:t>
      </w:r>
      <w:r>
        <w:t xml:space="preserve">divergências entre o que está no arquivo (latin-1, separador</w:t>
      </w:r>
      <w:r>
        <w:t xml:space="preserve"> </w:t>
      </w:r>
      <w:r>
        <w:t xml:space="preserve">decimal vírgula) e o esquema Delta inferido.</w:t>
      </w:r>
      <w:r>
        <w:t xml:space="preserve"> </w:t>
      </w:r>
      <w:r>
        <w:rPr>
          <w:b/>
          <w:bCs/>
        </w:rPr>
        <w:t xml:space="preserve">Silver</w:t>
      </w:r>
      <w:r>
        <w:t xml:space="preserve"> </w:t>
      </w:r>
      <w:r>
        <w:t xml:space="preserve">aplica deduplicação de beneficiários por NIS,</w:t>
      </w:r>
      <w:r>
        <w:t xml:space="preserve"> </w:t>
      </w:r>
      <w:r>
        <w:t xml:space="preserve">correção do swap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/</w:t>
      </w:r>
      <w:r>
        <w:rPr>
          <w:rStyle w:val="VerbatimChar"/>
        </w:rPr>
        <w:t xml:space="preserve">mes_referencia</w:t>
      </w:r>
      <w:r>
        <w:t xml:space="preserve"> </w:t>
      </w:r>
      <w:r>
        <w:t xml:space="preserve">presente nos arquivos de novembro/2021 (transição PBF </w:t>
      </w:r>
      <m:oMath>
        <m:r>
          <m:rPr>
            <m:sty m:val="p"/>
          </m:rPr>
          <m:t>→</m:t>
        </m:r>
      </m:oMath>
      <w:r>
        <w:t xml:space="preserve"> AB),</w:t>
      </w:r>
      <w:r>
        <w:t xml:space="preserve"> </w:t>
      </w:r>
      <w:r>
        <w:t xml:space="preserve">parsing dos valores monetários no formato brasileiro e agregação</w:t>
      </w:r>
      <w:r>
        <w:t xml:space="preserve"> </w:t>
      </w:r>
      <w:r>
        <w:t xml:space="preserve">mensal por (UF, Ano, Mês).</w:t>
      </w:r>
      <w:r>
        <w:t xml:space="preserve"> </w:t>
      </w:r>
      <w:r>
        <w:rPr>
          <w:b/>
          <w:bCs/>
        </w:rPr>
        <w:t xml:space="preserve">Gold</w:t>
      </w:r>
      <w:r>
        <w:t xml:space="preserve"> </w:t>
      </w:r>
      <w:r>
        <w:t xml:space="preserve">consolida em painel UF </w:t>
      </w:r>
      <m:oMath>
        <m:r>
          <m:rPr>
            <m:sty m:val="p"/>
          </m:rPr>
          <m:t>×</m:t>
        </m:r>
      </m:oMath>
      <w:r>
        <w:t xml:space="preserve"> Ano com deflação</w:t>
      </w:r>
      <w:r>
        <w:t xml:space="preserve"> </w:t>
      </w:r>
      <w:r>
        <w:t xml:space="preserve">IPCA, normalização per capita (IBGE) e cálculo dos indicadores</w:t>
      </w:r>
      <w:r>
        <w:t xml:space="preserve"> </w:t>
      </w:r>
      <w:r>
        <w:t xml:space="preserve">derivados, filtrando anos não-completos pelo invariante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 </w:t>
      </w:r>
      <w:r>
        <w:t xml:space="preserve">(com</w:t>
      </w:r>
      <w:r>
        <w:t xml:space="preserve"> </w:t>
      </w:r>
      <w:r>
        <w:rPr>
          <w:i/>
          <w:iCs/>
        </w:rPr>
        <w:t xml:space="preserve">logging</w:t>
      </w:r>
      <w:r>
        <w:t xml:space="preserve"> </w:t>
      </w:r>
      <w:r>
        <w:t xml:space="preserve">dos descartados).</w:t>
      </w:r>
    </w:p>
    <w:p>
      <w:pPr>
        <w:pStyle w:val="BodyText"/>
        <w:ind w:firstLine="709"/>
      </w:pPr>
      <w:r>
        <w:rPr>
          <w:b/>
          <w:bCs/>
        </w:rPr>
        <w:t xml:space="preserve">Nota metodológica.</w:t>
      </w:r>
      <w:r>
        <w:t xml:space="preserve"> </w:t>
      </w:r>
      <w:r>
        <w:t xml:space="preserve">O mês de novembro de 2021 contém registros simultâneos de PBF e</w:t>
      </w:r>
      <w:r>
        <w:t xml:space="preserve"> </w:t>
      </w:r>
      <w:r>
        <w:t xml:space="preserve">Auxílio Brasil, reflexo da transição administrativa. O silver</w:t>
      </w:r>
      <w:r>
        <w:t xml:space="preserve"> </w:t>
      </w:r>
      <w:r>
        <w:t xml:space="preserve">sintetiza um identificador composto</w:t>
      </w:r>
      <w:r>
        <w:t xml:space="preserve"> </w:t>
      </w:r>
      <w:r>
        <w:rPr>
          <w:rStyle w:val="VerbatimChar"/>
        </w:rPr>
        <w:t xml:space="preserve">PBF_AUX_SUM</w:t>
      </w:r>
      <w:r>
        <w:t xml:space="preserve"> </w:t>
      </w:r>
      <w:r>
        <w:t xml:space="preserve">que</w:t>
      </w:r>
      <w:r>
        <w:t xml:space="preserve"> </w:t>
      </w:r>
      <w:r>
        <w:rPr>
          <w:i/>
          <w:iCs/>
        </w:rPr>
        <w:t xml:space="preserve">soma</w:t>
      </w:r>
      <w:r>
        <w:t xml:space="preserve"> </w:t>
      </w:r>
      <w:r>
        <w:t xml:space="preserve">as parcelas das duas modalidades para beneficiários</w:t>
      </w:r>
      <w:r>
        <w:t xml:space="preserve"> </w:t>
      </w:r>
      <w:r>
        <w:t xml:space="preserve">presentes em ambos, evitando dupla contagem; quando a coluna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 </w:t>
      </w:r>
      <w:r>
        <w:t xml:space="preserve">aparece com valor distinto de</w:t>
      </w:r>
      <w:r>
        <w:t xml:space="preserve"> </w:t>
      </w:r>
      <w:r>
        <w:rPr>
          <w:rStyle w:val="VerbatimChar"/>
        </w:rPr>
        <w:t xml:space="preserve">mes_referencia</w:t>
      </w:r>
      <w:r>
        <w:t xml:space="preserve"> </w:t>
      </w:r>
      <w:r>
        <w:t xml:space="preserve">(artefato dos arquivos da CGU nesse mês),</w:t>
      </w:r>
      <w:r>
        <w:t xml:space="preserve"> </w:t>
      </w:r>
      <w:r>
        <w:t xml:space="preserve">o silver normaliza pelo</w:t>
      </w:r>
      <w:r>
        <w:t xml:space="preserve"> </w:t>
      </w:r>
      <w:r>
        <w:rPr>
          <w:rStyle w:val="VerbatimChar"/>
        </w:rPr>
        <w:t xml:space="preserve">mes_competencia</w:t>
      </w:r>
      <w:r>
        <w:t xml:space="preserve">. Detalhes de</w:t>
      </w:r>
      <w:r>
        <w:t xml:space="preserve"> </w:t>
      </w:r>
      <w:r>
        <w:t xml:space="preserve">implementação:</w:t>
      </w:r>
      <w:r>
        <w:t xml:space="preserve"> </w:t>
      </w:r>
      <w:r>
        <w:rPr>
          <w:rStyle w:val="VerbatimChar"/>
        </w:rPr>
        <w:t xml:space="preserve">pipelines/notebooks/silver/pbf_total_uf_mes.py</w:t>
      </w:r>
      <w:r>
        <w:t xml:space="preserve">.</w:t>
      </w:r>
    </w:p>
    <w:bookmarkEnd w:id="33"/>
    <w:bookmarkStart w:id="34" w:name="indicadores-construídos"/>
    <w:p>
      <w:pPr>
        <w:pStyle w:val="Heading2"/>
      </w:pPr>
      <w:r>
        <w:t xml:space="preserve">Indicadores construídos</w:t>
      </w:r>
    </w:p>
    <w:p>
      <w:pPr>
        <w:pStyle w:val="FirstParagraph"/>
        <w:ind w:firstLine="709"/>
      </w:pPr>
      <w:r>
        <w:t xml:space="preserve">Para cada par (UF, Ano): (i) número de beneficiários distintos</w:t>
      </w:r>
      <w:r>
        <w:t xml:space="preserve"> </w:t>
      </w:r>
      <w:r>
        <w:t xml:space="preserve">(</w:t>
      </w:r>
      <w:r>
        <w:rPr>
          <w:i/>
          <w:iCs/>
        </w:rPr>
        <w:t xml:space="preserve">deduplicação por NIS</w:t>
      </w:r>
      <w:r>
        <w:t xml:space="preserve">);</w:t>
      </w:r>
      <w:r>
        <w:t xml:space="preserve"> </w:t>
      </w:r>
      <w:r>
        <w:t xml:space="preserve">(ii) valor pago nominal e em R$ 2021;</w:t>
      </w:r>
      <w:r>
        <w:t xml:space="preserve"> </w:t>
      </w:r>
      <w:r>
        <w:t xml:space="preserve">(iii) per beneficiário (valor pago / beneficiários);</w:t>
      </w:r>
      <w:r>
        <w:t xml:space="preserve"> </w:t>
      </w:r>
      <w:r>
        <w:t xml:space="preserve">(iv) per capita (valor pago / população);</w:t>
      </w:r>
      <w:r>
        <w:t xml:space="preserve"> </w:t>
      </w:r>
      <w:r>
        <w:t xml:space="preserve">(v) penetração (beneficiários / população);</w:t>
      </w:r>
      <w:r>
        <w:t xml:space="preserve"> </w:t>
      </w:r>
      <w:r>
        <w:t xml:space="preserve">(vi) coeficiente de variação per capita entre UFs por exercício.</w:t>
      </w:r>
    </w:p>
    <w:bookmarkEnd w:id="34"/>
    <w:bookmarkStart w:id="35" w:name="identificação-causal"/>
    <w:p>
      <w:pPr>
        <w:pStyle w:val="Heading2"/>
      </w:pPr>
      <w:r>
        <w:t xml:space="preserve">Identificação causal</w:t>
      </w:r>
    </w:p>
    <w:p>
      <w:pPr>
        <w:pStyle w:val="FirstParagraph"/>
        <w:ind w:firstLine="709"/>
      </w:pPr>
      <w:r>
        <w:t xml:space="preserve">Sejam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 </w:t>
      </w:r>
      <w:r>
        <w:t xml:space="preserve">o valor anual pago em R$ 2021 per capita na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no ano</w:t>
      </w:r>
      <w:r>
        <w:t xml:space="preserve"> </w:t>
      </w:r>
      <m:oMath>
        <m:r>
          <m:t>t</m:t>
        </m:r>
      </m:oMath>
      <w:r>
        <w:t xml:space="preserve">.</w:t>
      </w:r>
      <w:r>
        <w:t xml:space="preserve"> </w:t>
      </w:r>
      <w:r>
        <w:rPr>
          <w:b/>
          <w:bCs/>
        </w:rPr>
        <w:t xml:space="preserve">Tratamento.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 </w:t>
      </w:r>
      <w:r>
        <w:t xml:space="preserve">se UF</w:t>
      </w:r>
      <w:r>
        <w:t xml:space="preserve"> </w:t>
      </w:r>
      <m:oMath>
        <m:r>
          <m:t>u</m:t>
        </m:r>
      </m:oMath>
      <w:r>
        <w:t xml:space="preserve"> </w:t>
      </w:r>
      <w:r>
        <w:t xml:space="preserve">está no quartil</w:t>
      </w:r>
      <w:r>
        <w:t xml:space="preserve"> </w:t>
      </w:r>
      <w:r>
        <w:t xml:space="preserve">superior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definido como</w:t>
      </w:r>
      <w:r>
        <w:t xml:space="preserve"> </w:t>
      </w:r>
      <m:oMath>
        <m:sSub>
          <m:e>
            <m:r>
              <m:t>d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Sup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  <m:sup>
            <m:r>
              <m:t> </m:t>
            </m:r>
            <m:r>
              <m:rPr>
                <m:sty m:val="p"/>
              </m:rPr>
              <m:t>P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−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 </m:t>
            </m:r>
            <m:r>
              <m:rPr>
                <m:sty m:val="p"/>
              </m:rPr>
              <m:t>2019</m:t>
            </m:r>
          </m:sup>
        </m:sSubSup>
        <m:r>
          <m:rPr>
            <m:sty m:val="p"/>
          </m:rPr>
          <m:t>−</m:t>
        </m:r>
        <m:sSubSup>
          <m:e>
            <m:bar>
              <m:barPr>
                <m:pos m:val="top"/>
              </m:barPr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n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t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c</m:t>
                </m:r>
                <m:r>
                  <m:rPr>
                    <m:sty m:val="i"/>
                  </m:rPr>
                  <m:t>a</m:t>
                </m:r>
                <m:r>
                  <m:rPr>
                    <m:sty m:val="i"/>
                  </m:rPr>
                  <m:t>o</m:t>
                </m:r>
              </m:e>
            </m:bar>
          </m:e>
          <m:sub>
            <m:r>
              <m:t>u</m:t>
            </m:r>
          </m:sub>
          <m:sup>
            <m:r>
              <m:t> </m:t>
            </m:r>
            <m:r>
              <m:t>2018</m:t>
            </m:r>
            <m:r>
              <m:rPr>
                <m:sty m:val="p"/>
              </m:rPr>
              <m:t>−</m:t>
            </m:r>
            <m:r>
              <m:t>2020</m:t>
            </m:r>
          </m:sup>
        </m:sSubSup>
      </m:oMath>
      <w:r>
        <w:t xml:space="preserve">.</w:t>
      </w:r>
      <w:r>
        <w:t xml:space="preserve"> </w:t>
      </w:r>
      <w:r>
        <w:t xml:space="preserve">A intuição é que UFs com pobreza alta e penetração baixa têm maior</w:t>
      </w:r>
      <w:r>
        <w:t xml:space="preserve"> </w:t>
      </w:r>
      <w:r>
        <w:t xml:space="preserve">folga para absorver a expansão de cobertura do Auxílio Brasil</w:t>
      </w:r>
      <w:r>
        <w:t xml:space="preserve"> </w:t>
      </w:r>
      <w:r>
        <w:t xml:space="preserve">— são as mais</w:t>
      </w:r>
      <w:r>
        <w:t xml:space="preserve"> </w:t>
      </w:r>
      <w:r>
        <w:rPr>
          <w:i/>
          <w:iCs/>
        </w:rPr>
        <w:t xml:space="preserve">tratadas</w:t>
      </w:r>
      <w:r>
        <w:t xml:space="preserve"> </w:t>
      </w:r>
      <w:r>
        <w:t xml:space="preserve">pela mudança institucional</w:t>
      </w:r>
      <w:r>
        <w:t xml:space="preserve"> </w:t>
      </w:r>
      <w:r>
        <w:t xml:space="preserve">de novembro/2021.</w:t>
      </w:r>
      <w:r>
        <w:t xml:space="preserve"> </w:t>
      </w:r>
      <w:r>
        <w:rPr>
          <w:b/>
          <w:bCs/>
        </w:rPr>
        <w:t xml:space="preserve">Modelos.</w:t>
      </w:r>
      <w:r>
        <w:t xml:space="preserve"> </w:t>
      </w:r>
      <w:r>
        <w:t xml:space="preserve">(i) DiD 2</w:t>
      </w:r>
      <m:oMath>
        <m:r>
          <m:rPr>
            <m:sty m:val="p"/>
          </m:rPr>
          <m:t>×</m:t>
        </m:r>
      </m:oMath>
      <w:r>
        <w:t xml:space="preserve">2 sobre a diferença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2022</m:t>
            </m:r>
            <m:r>
              <m:rPr>
                <m:sty m:val="p"/>
              </m:rPr>
              <m:t>,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.</m:t>
            </m:r>
            <m:r>
              <m:rPr>
                <m:sty m:val="p"/>
              </m:rPr>
              <m:t>,</m:t>
            </m:r>
            <m:r>
              <m:t>2025</m:t>
            </m:r>
            <m:r>
              <m:rPr>
                <m:sty m:val="p"/>
              </m:rPr>
              <m:t>}</m:t>
            </m:r>
          </m:sub>
        </m:sSub>
        <m:r>
          <m:rPr>
            <m:sty m:val="p"/>
          </m:rPr>
          <m:t>−</m:t>
        </m:r>
        <m:sSub>
          <m:e>
            <m:bar>
              <m:barPr>
                <m:pos m:val="top"/>
              </m:barPr>
              <m:e>
                <m:sSub>
                  <m:e>
                    <m:r>
                      <m:t>y</m:t>
                    </m:r>
                  </m:e>
                  <m:sub>
                    <m:r>
                      <m:t>u</m:t>
                    </m:r>
                    <m:r>
                      <m:rPr>
                        <m:sty m:val="p"/>
                      </m:rPr>
                      <m:t>,</m:t>
                    </m:r>
                    <m:r>
                      <m:t>t</m:t>
                    </m:r>
                  </m:sub>
                </m:sSub>
              </m:e>
            </m:bar>
          </m:e>
          <m:sub>
            <m:r>
              <m:t>t</m:t>
            </m:r>
            <m:r>
              <m:rPr>
                <m:sty m:val="p"/>
              </m:rPr>
              <m:t>∈</m:t>
            </m:r>
            <m:r>
              <m:rPr>
                <m:sty m:val="p"/>
              </m:rPr>
              <m:t>{</m:t>
            </m:r>
            <m:r>
              <m:t>2018</m:t>
            </m:r>
            <m:r>
              <m:rPr>
                <m:sty m:val="p"/>
              </m:rPr>
              <m:t>,</m:t>
            </m:r>
            <m:r>
              <m:t>2019</m:t>
            </m:r>
            <m:r>
              <m:rPr>
                <m:sty m:val="p"/>
              </m:rPr>
              <m:t>,</m:t>
            </m:r>
            <m:r>
              <m:t>2020</m:t>
            </m:r>
            <m:r>
              <m:rPr>
                <m:sty m:val="p"/>
              </m:rPr>
              <m:t>}</m:t>
            </m:r>
          </m:sub>
        </m:sSub>
      </m:oMath>
      <w:r>
        <w:t xml:space="preserve">:</w:t>
      </w:r>
      <w:r>
        <w:t xml:space="preserve"> </w:t>
      </w:r>
      <m:oMath>
        <m:r>
          <m:t>Δ</m:t>
        </m:r>
        <m:sSub>
          <m:e>
            <m:r>
              <m:t>y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</m:sub>
        </m:sSub>
      </m:oMath>
      <w:r>
        <w:t xml:space="preserve">,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</m:oMath>
      <w:r>
        <w:t xml:space="preserve"> </w:t>
      </w:r>
      <w:r>
        <w:t xml:space="preserve">HC3.</w:t>
      </w:r>
      <w:r>
        <w:t xml:space="preserve"> </w:t>
      </w:r>
      <w:r>
        <w:t xml:space="preserve">(ii) TWFE com efeitos fixos de UF e ano e erros clusterizados por</w:t>
      </w:r>
      <w:r>
        <w:t xml:space="preserve"> </w:t>
      </w:r>
      <w:r>
        <w:t xml:space="preserve">UF: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β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s</m:t>
                </m:r>
                <m:r>
                  <m:rPr>
                    <m:sty m:val="i"/>
                  </m:rPr>
                  <m:t>t</m:t>
                </m:r>
              </m:e>
              <m:sub>
                <m:r>
                  <m:t>t</m:t>
                </m:r>
              </m:sub>
            </m:sSub>
            <m:r>
              <m:rPr>
                <m:sty m:val="p"/>
              </m:rPr>
              <m:t>⋅</m:t>
            </m:r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</m:e>
        </m:d>
        <m:r>
          <m:rPr>
            <m:sty m:val="p"/>
          </m:rPr>
          <m:t>+</m:t>
        </m:r>
        <m:sSub>
          <m:e>
            <m:r>
              <m:t>γ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sSub>
          <m:e>
            <m:r>
              <m:t>δ</m:t>
            </m:r>
          </m:e>
          <m:sub>
            <m:r>
              <m:t>t</m:t>
            </m:r>
          </m:sub>
        </m:sSub>
        <m:r>
          <m:rPr>
            <m:sty m:val="p"/>
          </m:rPr>
          <m:t>+</m:t>
        </m:r>
        <m:sSub>
          <m:e>
            <m:r>
              <m:t>ε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</m:oMath>
      <w:r>
        <w:t xml:space="preserve">, restringido a</w:t>
      </w:r>
      <w:r>
        <w:t xml:space="preserve"> </w:t>
      </w:r>
      <m:oMath>
        <m:r>
          <m:t>2018</m:t>
        </m:r>
        <m:r>
          <m:rPr>
            <m:sty m:val="p"/>
          </m:rPr>
          <m:t>≤</m:t>
        </m:r>
        <m:r>
          <m:t>t</m:t>
        </m:r>
        <m:r>
          <m:rPr>
            <m:sty m:val="p"/>
          </m:rPr>
          <m:t>≤</m:t>
        </m:r>
        <m:r>
          <m:t>2025</m:t>
        </m:r>
      </m:oMath>
      <w:r>
        <w:t xml:space="preserve">.</w:t>
      </w:r>
      <w:r>
        <w:t xml:space="preserve"> </w:t>
      </w:r>
      <w:r>
        <w:t xml:space="preserve">(iii) </w:t>
      </w:r>
      <w:r>
        <w:rPr>
          <w:i/>
          <w:iCs/>
        </w:rPr>
        <w:t xml:space="preserve">Wild-cluster bootstrap</w:t>
      </w:r>
      <w:r>
        <w:t xml:space="preserve"> </w:t>
      </w:r>
      <w:r>
        <w:t xml:space="preserve">com</w:t>
      </w:r>
      <w:r>
        <w:t xml:space="preserve"> </w:t>
      </w:r>
      <m:oMath>
        <m:r>
          <m:t>999</m:t>
        </m:r>
      </m:oMath>
      <w:r>
        <w:t xml:space="preserve"> </w:t>
      </w:r>
      <w:r>
        <w:t xml:space="preserve">réplicas Rademacher</w:t>
      </w:r>
      <w:r>
        <w:t xml:space="preserve"> </w:t>
      </w:r>
      <w:r>
        <w:t xml:space="preserve">por UF, dada a inconsistência conhecida de erros clusterizados</w:t>
      </w:r>
      <w:r>
        <w:t xml:space="preserve"> </w:t>
      </w:r>
      <w:r>
        <w:t xml:space="preserve">assintóticos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2008): o</w:t>
      </w:r>
      <w:r>
        <w:t xml:space="preserve"> </w:t>
      </w:r>
      <m:oMath>
        <m:r>
          <m:t>p</m:t>
        </m:r>
      </m:oMath>
      <w:r>
        <w:t xml:space="preserve">-valor robusto é o</w:t>
      </w:r>
      <w:r>
        <w:t xml:space="preserve"> </w:t>
      </w:r>
      <w:r>
        <w:t xml:space="preserve">quantil empírico 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sSup>
              <m:e>
                <m:r>
                  <m:t>t</m:t>
                </m:r>
              </m:e>
              <m:sup>
                <m:d>
                  <m:dPr>
                    <m:begChr m:val="("/>
                    <m:endChr m:val=")"/>
                    <m:sepChr m:val=""/>
                    <m:grow/>
                  </m:dPr>
                  <m:e>
                    <m:r>
                      <m:t>b</m:t>
                    </m:r>
                  </m:e>
                </m:d>
              </m:sup>
            </m:sSup>
          </m:e>
        </m:d>
        <m:r>
          <m:rPr>
            <m:sty m:val="p"/>
          </m:rPr>
          <m:t>≥</m:t>
        </m:r>
        <m:d>
          <m:dPr>
            <m:begChr m:val="|"/>
            <m:endChr m:val="|"/>
            <m:sepChr m:val=""/>
            <m:grow/>
          </m:dPr>
          <m:e>
            <m:sSup>
              <m:e>
                <m:r>
                  <m:t>t</m:t>
                </m:r>
              </m:e>
              <m:sup>
                <m:r>
                  <m:rPr>
                    <m:sty m:val="p"/>
                  </m:rPr>
                  <m:t>o</m:t>
                </m:r>
                <m:r>
                  <m:rPr>
                    <m:sty m:val="p"/>
                  </m:rPr>
                  <m:t>b</m:t>
                </m:r>
                <m:r>
                  <m:rPr>
                    <m:sty m:val="p"/>
                  </m:rPr>
                  <m:t>s</m:t>
                </m:r>
              </m:sup>
            </m:sSup>
          </m:e>
        </m:d>
      </m:oMath>
      <w:r>
        <w:t xml:space="preserve"> </w:t>
      </w:r>
      <w:r>
        <w:t xml:space="preserve">sobre as</w:t>
      </w:r>
      <w:r>
        <w:t xml:space="preserve"> </w:t>
      </w:r>
      <w:r>
        <w:t xml:space="preserve">réplicas.</w:t>
      </w:r>
      <w:r>
        <w:t xml:space="preserve"> </w:t>
      </w:r>
      <w:r>
        <w:rPr>
          <w:b/>
          <w:bCs/>
        </w:rPr>
        <w:t xml:space="preserve">Salvaguardas adicionais.</w:t>
      </w:r>
      <w:r>
        <w:t xml:space="preserve"> </w:t>
      </w:r>
      <w:r>
        <w:t xml:space="preserve">(iv) Replicação cross-shock sobre Lei 14.601/2023, com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idêntico mas pré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2021</m:t>
        </m:r>
        <m:r>
          <m:rPr>
            <m:sty m:val="p"/>
          </m:rPr>
          <m:t>,</m:t>
        </m:r>
        <m:r>
          <m:t>2022</m:t>
        </m:r>
        <m:r>
          <m:rPr>
            <m:sty m:val="p"/>
          </m:rPr>
          <m:t>}</m:t>
        </m:r>
      </m:oMath>
      <w:r>
        <w:t xml:space="preserve"> </w:t>
      </w:r>
      <w:r>
        <w:t xml:space="preserve">e pós</w:t>
      </w:r>
      <w:r>
        <w:t xml:space="preserve"> </w:t>
      </w:r>
      <m:oMath>
        <m:r>
          <m:rPr>
            <m:sty m:val="p"/>
          </m:rPr>
          <m:t>∈</m:t>
        </m:r>
        <m:r>
          <m:rPr>
            <m:sty m:val="p"/>
          </m:rPr>
          <m:t>{</m:t>
        </m:r>
        <m:r>
          <m:t>2023</m:t>
        </m:r>
        <m:r>
          <m:rPr>
            <m:sty m:val="p"/>
          </m:rPr>
          <m:t>,</m:t>
        </m:r>
        <m:r>
          <m:t>2024</m:t>
        </m:r>
        <m:r>
          <m:rPr>
            <m:sty m:val="p"/>
          </m:rPr>
          <m:t>,</m:t>
        </m:r>
        <m:r>
          <m:t>2025</m:t>
        </m:r>
        <m:r>
          <m:rPr>
            <m:sty m:val="p"/>
          </m:rPr>
          <m:t>}</m:t>
        </m:r>
      </m:oMath>
      <w:r>
        <w:t xml:space="preserve">.</w:t>
      </w:r>
      <w:r>
        <w:t xml:space="preserve"> </w:t>
      </w:r>
      <w:r>
        <w:t xml:space="preserve">(v) Teste informal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via</w:t>
      </w:r>
      <w:r>
        <w:t xml:space="preserve"> </w:t>
      </w:r>
      <w:r>
        <w:t xml:space="preserve">regressão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 </m:t>
        </m:r>
        <m:r>
          <m:t>t</m:t>
        </m:r>
        <m:r>
          <m:rPr>
            <m:sty m:val="p"/>
          </m:rPr>
          <m:t>+</m:t>
        </m:r>
        <m:r>
          <m:t>π</m:t>
        </m:r>
        <m:r>
          <m:t> 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r>
          <m:t> 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⋅</m:t>
            </m:r>
            <m:r>
              <m:t>t</m:t>
            </m:r>
          </m:e>
        </m:d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, com clustering por</w:t>
      </w:r>
      <w:r>
        <w:t xml:space="preserve"> </w:t>
      </w:r>
      <w:r>
        <w:t xml:space="preserve">UF; a hipótese de tendências paralelas pré-tratamento corresponde</w:t>
      </w:r>
      <w:r>
        <w:t xml:space="preserve"> </w:t>
      </w:r>
      <w:r>
        <w:t xml:space="preserve">a</w:t>
      </w:r>
      <w:r>
        <w:t xml:space="preserve"> </w:t>
      </w:r>
      <m:oMath>
        <m:r>
          <m:t>τ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(Roth, 2022).</w:t>
      </w:r>
      <w:r>
        <w:t xml:space="preserve"> </w:t>
      </w:r>
      <w:r>
        <w:t xml:space="preserve">(vi) Placebo: substituir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para 2020 (sem mudança</w:t>
      </w:r>
      <w:r>
        <w:t xml:space="preserve"> </w:t>
      </w:r>
      <w:r>
        <w:t xml:space="preserve">institucional) e re-estimar.</w:t>
      </w:r>
      <w:r>
        <w:t xml:space="preserve"> </w:t>
      </w:r>
      <w:r>
        <w:t xml:space="preserve">(vii) 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retirando cada UF.</w:t>
      </w:r>
    </w:p>
    <w:bookmarkEnd w:id="35"/>
    <w:bookmarkStart w:id="36" w:name="índices-formais-de-equidade"/>
    <w:p>
      <w:pPr>
        <w:pStyle w:val="Heading2"/>
      </w:pPr>
      <w:r>
        <w:t xml:space="preserve">Índices formais de equidade</w:t>
      </w:r>
    </w:p>
    <w:p>
      <w:pPr>
        <w:pStyle w:val="FirstParagraph"/>
        <w:ind w:firstLine="709"/>
      </w:pPr>
      <w:r>
        <w:rPr>
          <w:b/>
          <w:bCs/>
        </w:rPr>
        <w:t xml:space="preserve">Índice de Kakwani</w:t>
      </w:r>
      <w:r>
        <w:t xml:space="preserve"> </w:t>
      </w:r>
      <w:r>
        <w:t xml:space="preserve">(Kakwani, 1977):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, onde</w:t>
      </w:r>
      <w:r>
        <w:t xml:space="preserve"> </w:t>
      </w:r>
      <m:oMath>
        <m:sSub>
          <m:e>
            <m:r>
              <m:t>C</m:t>
            </m:r>
          </m:e>
          <m:sub>
            <m:r>
              <m:t>y</m:t>
            </m:r>
          </m:sub>
        </m:sSub>
      </m:oMath>
      <w:r>
        <w:t xml:space="preserve"> </w:t>
      </w:r>
      <w:r>
        <w:t xml:space="preserve">é o índice de concentração da variável</w:t>
      </w:r>
      <w:r>
        <w:t xml:space="preserve"> </w:t>
      </w:r>
      <m:oMath>
        <m:r>
          <m:t>y</m:t>
        </m:r>
      </m:oMath>
      <w:r>
        <w:t xml:space="preserve"> </w:t>
      </w:r>
      <w:r>
        <w:t xml:space="preserve">ordenada pelo</w:t>
      </w:r>
      <w:r>
        <w:t xml:space="preserve"> </w:t>
      </w:r>
      <w:r>
        <w:rPr>
          <w:i/>
          <w:iCs/>
        </w:rPr>
        <w:t xml:space="preserve">ranking</w:t>
      </w:r>
      <w:r>
        <w:t xml:space="preserve"> </w:t>
      </w:r>
      <m:oMath>
        <m:r>
          <m:t>z</m:t>
        </m:r>
      </m:oMath>
      <w:r>
        <w:t xml:space="preserve"> </w:t>
      </w:r>
      <w:r>
        <w:t xml:space="preserve">e</w:t>
      </w:r>
      <w:r>
        <w:t xml:space="preserve"> </w:t>
      </w:r>
      <m:oMath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é o Gini do próprio</w:t>
      </w:r>
      <w:r>
        <w:t xml:space="preserve"> </w:t>
      </w:r>
      <w:r>
        <w:rPr>
          <w:i/>
          <w:iCs/>
        </w:rPr>
        <w:t xml:space="preserve">ranking</w:t>
      </w:r>
      <w:r>
        <w:t xml:space="preserve">.</w:t>
      </w:r>
      <w:r>
        <w:t xml:space="preserve"> </w:t>
      </w:r>
      <w:r>
        <w:t xml:space="preserve">Ordenamos as 27 UFs pelo IDH-M crescente.</w:t>
      </w:r>
      <w:r>
        <w:t xml:space="preserve"> </w:t>
      </w:r>
      <m:oMath>
        <m:r>
          <m:t>K</m:t>
        </m:r>
        <m:r>
          <m:rPr>
            <m:sty m:val="p"/>
          </m:rPr>
          <m:t>&lt;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progressividade</w:t>
      </w:r>
      <w:r>
        <w:t xml:space="preserve"> </w:t>
      </w:r>
      <w:r>
        <w:t xml:space="preserve">(mais alocação a UFs de menor IDH-M);</w:t>
      </w:r>
      <w:r>
        <w:t xml:space="preserve"> </w:t>
      </w:r>
      <m:oMath>
        <m:r>
          <m:t>K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rPr>
          <w:i/>
          <w:iCs/>
        </w:rPr>
        <w:t xml:space="preserve">regressividade</w:t>
      </w:r>
      <w:r>
        <w:t xml:space="preserve">;</w:t>
      </w:r>
      <w:r>
        <w:t xml:space="preserve"> </w:t>
      </w:r>
      <m:oMath>
        <m:r>
          <m:t>K</m:t>
        </m:r>
        <m:r>
          <m:rPr>
            <m:sty m:val="p"/>
          </m:rPr>
          <m:t>≈</m:t>
        </m:r>
        <m:r>
          <m:t>0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neutralidade. Calculamos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</m:oMath>
      <w:r>
        <w:t xml:space="preserve"> </w:t>
      </w:r>
      <w:r>
        <w:t xml:space="preserve">em 2018, 2020 (pré-AB),</w:t>
      </w:r>
      <w:r>
        <w:t xml:space="preserve"> </w:t>
      </w:r>
      <w:r>
        <w:t xml:space="preserve">2022 (AB), 2024 (NBF) e</w:t>
      </w:r>
      <w:r>
        <w:t xml:space="preserve"> </w:t>
      </w:r>
      <m:oMath>
        <m:sSub>
          <m:e>
            <m:r>
              <m:t>K</m:t>
            </m:r>
          </m:e>
          <m:sub>
            <m:r>
              <m:rPr>
                <m:sty m:val="p"/>
              </m:rPr>
              <m:t>e</m:t>
            </m:r>
            <m:r>
              <m:rPr>
                <m:sty m:val="p"/>
              </m:rPr>
              <m:t>m</m:t>
            </m:r>
            <m:r>
              <m:rPr>
                <m:sty m:val="p"/>
              </m:rPr>
              <m:t>e</m:t>
            </m:r>
            <m:r>
              <m:rPr>
                <m:sty m:val="p"/>
              </m:rPr>
              <m:t>n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a</m:t>
            </m:r>
            <m:r>
              <m:rPr>
                <m:sty m:val="p"/>
              </m:rPr>
              <m:t>s</m:t>
            </m:r>
          </m:sub>
        </m:sSub>
      </m:oMath>
      <w:r>
        <w:t xml:space="preserve"> </w:t>
      </w:r>
      <w:r>
        <w:t xml:space="preserve">nos mesmos</w:t>
      </w:r>
      <w:r>
        <w:t xml:space="preserve"> </w:t>
      </w:r>
      <w:r>
        <w:t xml:space="preserve">exercícios, com IC 95 %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réplicas).</w:t>
      </w:r>
      <w:r>
        <w:t xml:space="preserve"> </w:t>
      </w:r>
      <w:r>
        <w:rPr>
          <w:b/>
          <w:bCs/>
        </w:rPr>
        <w:t xml:space="preserve">Índice de necessidade.</w:t>
      </w:r>
      <w:r>
        <w:t xml:space="preserve"> </w:t>
      </w:r>
      <m:oMath>
        <m:sSub>
          <m:e>
            <m:r>
              <m:t>N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  <m:sub>
            <m:r>
              <m:t>u</m:t>
            </m:r>
          </m:sub>
        </m:sSub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u</m:t>
            </m:r>
          </m:sub>
        </m:sSub>
        <m:r>
          <m:t> </m:t>
        </m:r>
        <m:r>
          <m:rPr>
            <m:sty m:val="p"/>
          </m:rPr>
          <m:t>/</m:t>
        </m:r>
        <m:r>
          <m:t> </m:t>
        </m:r>
        <m:nary>
          <m:naryPr>
            <m:chr m:val="∑"/>
            <m:limLoc m:val="undOvr"/>
            <m:subHide m:val="off"/>
            <m:supHide m:val="on"/>
          </m:naryPr>
          <m:sub>
            <m:r>
              <m:t>v</m:t>
            </m:r>
          </m:sub>
          <m:sup>
            <m:r>
              <m:t>​</m:t>
            </m:r>
          </m:sup>
          <m:e>
            <m:sSub>
              <m:e>
                <m:r>
                  <m:rPr>
                    <m:sty m:val="i"/>
                  </m:rPr>
                  <m:t>p</m:t>
                </m:r>
                <m:r>
                  <m:rPr>
                    <m:sty m:val="i"/>
                  </m:rPr>
                  <m:t>o</m:t>
                </m:r>
                <m:r>
                  <m:rPr>
                    <m:sty m:val="i"/>
                  </m:rPr>
                  <m:t>b</m:t>
                </m:r>
                <m:r>
                  <m:rPr>
                    <m:sty m:val="i"/>
                  </m:rPr>
                  <m:t>r</m:t>
                </m:r>
                <m:r>
                  <m:rPr>
                    <m:sty m:val="i"/>
                  </m:rPr>
                  <m:t>e</m:t>
                </m:r>
                <m:r>
                  <m:rPr>
                    <m:sty m:val="i"/>
                  </m:rPr>
                  <m:t>z</m:t>
                </m:r>
                <m:r>
                  <m:rPr>
                    <m:sty m:val="i"/>
                  </m:rPr>
                  <m:t>a</m:t>
                </m:r>
              </m:e>
              <m:sub>
                <m:r>
                  <m:t>v</m:t>
                </m:r>
              </m:sub>
            </m:sSub>
          </m:e>
        </m:nary>
        <m:r>
          <m:rPr>
            <m:sty m:val="p"/>
          </m:rPr>
          <m:t>⋅</m:t>
        </m:r>
        <m:sSub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p</m:t>
            </m:r>
          </m:e>
          <m:sub>
            <m:r>
              <m:t>v</m:t>
            </m:r>
          </m:sub>
        </m:sSub>
      </m:oMath>
      <w:r>
        <w:t xml:space="preserve">.</w:t>
      </w:r>
      <w:r>
        <w:t xml:space="preserve"> </w:t>
      </w:r>
      <w:r>
        <w:t xml:space="preserve">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t>N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mede</w:t>
      </w:r>
      <w:r>
        <w:t xml:space="preserve"> </w:t>
      </w:r>
      <w:r>
        <w:t xml:space="preserve">adequação da alocação à necessidade local: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indica</w:t>
      </w:r>
      <w:r>
        <w:t xml:space="preserve"> </w:t>
      </w:r>
      <w:r>
        <w:t xml:space="preserve">sobre-cobertura em relação à intensidade da pobreza local;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indica sub-cobertura.</w:t>
      </w:r>
    </w:p>
    <w:bookmarkEnd w:id="36"/>
    <w:bookmarkStart w:id="37" w:name="benchmark-internacional"/>
    <w:p>
      <w:pPr>
        <w:pStyle w:val="Heading2"/>
      </w:pPr>
      <w:r>
        <w:t xml:space="preserve">Benchmark internacional</w:t>
      </w:r>
    </w:p>
    <w:p>
      <w:pPr>
        <w:pStyle w:val="FirstParagraph"/>
        <w:ind w:firstLine="709"/>
      </w:pPr>
      <w:r>
        <w:t xml:space="preserve">Comparação direta entre o NBF brasileiro e quatro CCTs</w:t>
      </w:r>
      <w:r>
        <w:t xml:space="preserve"> </w:t>
      </w:r>
      <w:r>
        <w:t xml:space="preserve">latino-americanos: AUH (Argentina, 2009–), Prospera</w:t>
      </w:r>
      <w:r>
        <w:t xml:space="preserve"> </w:t>
      </w:r>
      <w:r>
        <w:t xml:space="preserve">(México, 1997–2019, extinto pelo governo</w:t>
      </w:r>
      <w:r>
        <w:t xml:space="preserve"> </w:t>
      </w:r>
      <w:r>
        <w:t xml:space="preserve">AMLO), Más Familias en Acción (Colômbia, 2001–) e</w:t>
      </w:r>
      <w:r>
        <w:t xml:space="preserve"> </w:t>
      </w:r>
      <w:r>
        <w:t xml:space="preserve">Renta Dignidad (Bolívia, 2008–, universalmente vinculado</w:t>
      </w:r>
      <w:r>
        <w:t xml:space="preserve"> </w:t>
      </w:r>
      <w:r>
        <w:t xml:space="preserve">à idade). Métricas: cobertura (% da população atendida), custo</w:t>
      </w:r>
      <w:r>
        <w:t xml:space="preserve"> </w:t>
      </w:r>
      <w:r>
        <w:t xml:space="preserve">(% do PIB anual), valor per beneficiário em US$ PPP 2021</w:t>
      </w:r>
      <w:r>
        <w:t xml:space="preserve"> </w:t>
      </w:r>
      <w:r>
        <w:t xml:space="preserve">(World Bank ICP, 2024) e custo administrativo declarado</w:t>
      </w:r>
      <w:r>
        <w:t xml:space="preserve"> </w:t>
      </w:r>
      <w:r>
        <w:t xml:space="preserve">(% do gasto total).</w:t>
      </w:r>
    </w:p>
    <w:bookmarkEnd w:id="37"/>
    <w:bookmarkStart w:id="38" w:name="limitações"/>
    <w:p>
      <w:pPr>
        <w:pStyle w:val="Heading2"/>
      </w:pPr>
      <w:r>
        <w:t xml:space="preserve">Limitações</w:t>
      </w:r>
    </w:p>
    <w:p>
      <w:pPr>
        <w:pStyle w:val="FirstParagraph"/>
        <w:ind w:firstLine="709"/>
      </w:pPr>
      <w:r>
        <w:t xml:space="preserve">(i) A unidade de análise é a</w:t>
      </w:r>
      <w:r>
        <w:t xml:space="preserve"> </w:t>
      </w:r>
      <w:r>
        <w:rPr>
          <w:i/>
          <w:iCs/>
        </w:rPr>
        <w:t xml:space="preserve">família</w:t>
      </w:r>
      <w:r>
        <w:t xml:space="preserve"> </w:t>
      </w:r>
      <w:r>
        <w:t xml:space="preserve">beneficiária, não o</w:t>
      </w:r>
      <w:r>
        <w:t xml:space="preserve"> </w:t>
      </w:r>
      <w:r>
        <w:t xml:space="preserve">indivíduo — o impacto sobre o orçamento familiar pode</w:t>
      </w:r>
      <w:r>
        <w:t xml:space="preserve"> </w:t>
      </w:r>
      <w:r>
        <w:t xml:space="preserve">diferir do per capita populacional;</w:t>
      </w:r>
      <w:r>
        <w:t xml:space="preserve"> </w:t>
      </w:r>
      <w:r>
        <w:t xml:space="preserve">(ii) o exercício 2026 está em curso e foi excluído da análise (o</w:t>
      </w:r>
      <w:r>
        <w:t xml:space="preserve"> </w:t>
      </w:r>
      <w:r>
        <w:t xml:space="preserve">gold filtra por</w:t>
      </w:r>
      <w:r>
        <w:t xml:space="preserve"> </w:t>
      </w:r>
      <w:r>
        <w:rPr>
          <w:rStyle w:val="VerbatimChar"/>
        </w:rPr>
        <w:t xml:space="preserve">n_months == 12</w:t>
      </w:r>
      <w:r>
        <w:t xml:space="preserve">);</w:t>
      </w:r>
      <w:r>
        <w:t xml:space="preserve"> </w:t>
      </w:r>
      <w:r>
        <w:t xml:space="preserve">(iii) o Auxílio Emergencial (2020–2021), benefício</w:t>
      </w:r>
      <w:r>
        <w:t xml:space="preserve"> </w:t>
      </w:r>
      <w:r>
        <w:t xml:space="preserve">distinto, não é contemplado;</w:t>
      </w:r>
      <w:r>
        <w:t xml:space="preserve"> </w:t>
      </w:r>
      <w:r>
        <w:t xml:space="preserve">(iv) a identificação causal sobre MP 1.061/2021 está sujeita a</w:t>
      </w:r>
      <w:r>
        <w:t xml:space="preserve"> </w:t>
      </w:r>
      <w:r>
        <w:t xml:space="preserve">três limites declarados: número pequeno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(N=27), coexistência com choques contemporâneos (recuperação</w:t>
      </w:r>
      <w:r>
        <w:t xml:space="preserve"> </w:t>
      </w:r>
      <w:r>
        <w:t xml:space="preserve">pós-COVID, inflação) e rejeição do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pré-tratamento, conforme detalhado na Seção</w:t>
      </w:r>
      <w:r>
        <w:t xml:space="preserve"> </w:t>
      </w:r>
      <w:r>
        <w:t xml:space="preserve">5.3;</w:t>
      </w:r>
      <w:r>
        <w:t xml:space="preserve"> </w:t>
      </w:r>
      <w:r>
        <w:t xml:space="preserve">(v) o IDH-M utilizado refere-se ao Censo de 2010 (último</w:t>
      </w:r>
      <w:r>
        <w:t xml:space="preserve"> </w:t>
      </w:r>
      <w:r>
        <w:t xml:space="preserve">disponível para o índice na série completa por UF);</w:t>
      </w:r>
      <w:r>
        <w:t xml:space="preserve"> </w:t>
      </w:r>
      <w:r>
        <w:t xml:space="preserve">(vi) a taxa de pobreza PNAD-C 2019 é</w:t>
      </w:r>
      <w:r>
        <w:t xml:space="preserve"> </w:t>
      </w:r>
      <w:r>
        <w:rPr>
          <w:i/>
          <w:iCs/>
        </w:rPr>
        <w:t xml:space="preserve">snapshot</w:t>
      </w:r>
      <w:r>
        <w:t xml:space="preserve"> </w:t>
      </w:r>
      <w:r>
        <w:t xml:space="preserve">pré-pandêmico e pode subestimar o tratamento em UFs onde a</w:t>
      </w:r>
      <w:r>
        <w:t xml:space="preserve"> </w:t>
      </w:r>
      <w:r>
        <w:t xml:space="preserve">pobreza ampliou em 2020–2021;</w:t>
      </w:r>
      <w:r>
        <w:t xml:space="preserve"> </w:t>
      </w:r>
      <w:r>
        <w:t xml:space="preserve">(vii) o benchmark internacional usa anos próximos mas não</w:t>
      </w:r>
      <w:r>
        <w:t xml:space="preserve"> </w:t>
      </w:r>
      <w:r>
        <w:t xml:space="preserve">idênticos por país, limitando comparabilidade exata.</w:t>
      </w:r>
    </w:p>
    <w:bookmarkEnd w:id="38"/>
    <w:bookmarkEnd w:id="39"/>
    <w:bookmarkStart w:id="80" w:name="resultados-descritivos"/>
    <w:p>
      <w:pPr>
        <w:pStyle w:val="Heading1"/>
      </w:pPr>
      <w:r>
        <w:t xml:space="preserve">Resultados Descritivos</w:t>
      </w:r>
    </w:p>
    <w:bookmarkStart w:id="43" w:name="evolução-temporal-três-regimes-empíricos"/>
    <w:p>
      <w:pPr>
        <w:pStyle w:val="Heading2"/>
      </w:pPr>
      <w:r>
        <w:t xml:space="preserve">Evolução temporal: três regimes empíricos</w:t>
      </w:r>
    </w:p>
    <w:p>
      <w:pPr>
        <w:pStyle w:val="FirstParagraph"/>
        <w:ind w:firstLine="709"/>
      </w:pPr>
      <w:r>
        <w:t xml:space="preserve">A Tabela 1 apresenta a série temporal nacional</w:t>
      </w:r>
      <w:r>
        <w:t xml:space="preserve"> </w:t>
      </w:r>
      <w:r>
        <w:t xml:space="preserve">consolidada. Observam-se claramente os dois saltos: entre 2021 e</w:t>
      </w:r>
      <w:r>
        <w:t xml:space="preserve"> </w:t>
      </w:r>
      <w:r>
        <w:t xml:space="preserve">2022 (Auxílio Brasil) com fator real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16</m:t>
        </m:r>
        <m:r>
          <m:rPr>
            <m:sty m:val="p"/>
          </m:rPr>
          <m:t>×</m:t>
        </m:r>
      </m:oMath>
      <w:r>
        <w:t xml:space="preserve">, e entre 2022 e</w:t>
      </w:r>
      <w:r>
        <w:t xml:space="preserve"> </w:t>
      </w:r>
      <w:r>
        <w:t xml:space="preserve">2023 (Novo Bolsa Família) com fator real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07</m:t>
        </m:r>
        <m:r>
          <m:rPr>
            <m:sty m:val="p"/>
          </m:rPr>
          <m:t>×</m:t>
        </m:r>
      </m:oMath>
      <w:r>
        <w:t xml:space="preserve">. As</w:t>
      </w:r>
      <w:r>
        <w:t xml:space="preserve"> </w:t>
      </w:r>
      <w:r>
        <w:t xml:space="preserve">variações de magnitude</w:t>
      </w:r>
      <w:r>
        <w:t xml:space="preserve"> </w:t>
      </w:r>
      <m:oMath>
        <m:r>
          <m:rPr>
            <m:sty m:val="p"/>
          </m:rPr>
          <m:t>&gt;</m:t>
        </m:r>
        <m:r>
          <m:t>30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no per beneficiário em 2022</w:t>
      </w:r>
      <w:r>
        <w:t xml:space="preserve"> </w:t>
      </w:r>
      <w:r>
        <w:t xml:space="preserve">(</w:t>
      </w:r>
      <m:oMath>
        <m:r>
          <m:rPr>
            <m:sty m:val="p"/>
          </m:rPr>
          <m:t>+</m:t>
        </m:r>
        <m:r>
          <m:t>36</m:t>
        </m:r>
        <m:r>
          <m:t> </m:t>
        </m:r>
        <m:r>
          <m:rPr>
            <m:sty m:val="p"/>
          </m:rPr>
          <m:t>%</m:t>
        </m:r>
      </m:oMath>
      <w:r>
        <w:t xml:space="preserve">) e 2023 (</w:t>
      </w:r>
      <m:oMath>
        <m:r>
          <m:rPr>
            <m:sty m:val="p"/>
          </m:rPr>
          <m:t>+</m:t>
        </m:r>
        <m:r>
          <m:t>102</m:t>
        </m:r>
        <m:r>
          <m:t> </m:t>
        </m:r>
        <m:r>
          <m:rPr>
            <m:sty m:val="p"/>
          </m:rPr>
          <m:t>%</m:t>
        </m:r>
      </m:oMath>
      <w:r>
        <w:t xml:space="preserve">) indicam transformação institucional,</w:t>
      </w:r>
      <w:r>
        <w:t xml:space="preserve"> </w:t>
      </w:r>
      <w:r>
        <w:t xml:space="preserve">não apenas atualização monetária.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1 — Bolsa Família/AB/NBF: beneficiários, valor pago e per capita Brasil, 2013–2025</w:t>
      </w:r>
    </w:p>
    <w:tbl>
      <w:tblPr>
        <w:tblStyle w:val="Table"/>
        <w:tblW w:type="auto" w:w="0"/>
        <w:tblLook w:firstRow="0" w:lastRow="0" w:firstColumn="0" w:lastColumn="0" w:noHBand="0" w:noVBand="0" w:val="0000"/>
        <w:tblCaption w:val="Tabela 1 — Bolsa Família/AB/NBF: beneficiários, valor pago e per capita Brasil, 2013–2025"/>
      </w:tblPr>
      <w:tblGrid>
        <w:gridCol w:w="1320"/>
        <w:gridCol w:w="1320"/>
        <w:gridCol w:w="1320"/>
        <w:gridCol w:w="1320"/>
        <w:gridCol w:w="1320"/>
        <w:gridCol w:w="1320"/>
      </w:tblGrid>
      <w:t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Beneficiários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real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nominal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beneficiário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</w:t>
            </w:r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right"/>
            </w:pPr>
            <w:r>
              <w:t xml:space="preserve">(milhões)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(R$ bi, correntes)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(R$ /ano, 2021)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(R$ /hab,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16,43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39,92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24,89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2.429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198,60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40,99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2.598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202,14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37,66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27,65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2.330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184,21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36,53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177,26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16,13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29,05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2.241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174,11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36,75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2.163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176,25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14,99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35,84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31,16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2.391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170,56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35,22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32,00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2.388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166,33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15,02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30,39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142,44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65,76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69,56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2.757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308,61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24,51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136,27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150,82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5.560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640,29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140,88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163,45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6.078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662,70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22,29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129,87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157,10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5.826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608,51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CGU, IPCA-BCB para deflação base dez/2021. Dados gerados pelo gold dataset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gold_pbf_estados_df.json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A Figura 2 apresenta visualmente os mesmos dados</w:t>
      </w:r>
      <w:r>
        <w:t xml:space="preserve"> </w:t>
      </w:r>
      <w:r>
        <w:t xml:space="preserve">em eixo duplo, destacando os dois saltos.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2 — Evolução do valor pago anual (R$ bi, 2021) e do número de beneficiários (milhões), 2013–2025</w:t>
      </w:r>
    </w:p>
    <w:p>
      <w:pPr>
        <w:pStyle w:val="BodyText"/>
        <w:jc w:val="center"/>
      </w:pPr>
      <w:r>
        <w:drawing>
          <wp:inline>
            <wp:extent cx="5400000" cy="3192567"/>
            <wp:effectExtent b="0" l="0" r="0" t="0"/>
            <wp:docPr descr="image" title="" id="41" name="Picture"/>
            <a:graphic>
              <a:graphicData uri="http://schemas.openxmlformats.org/drawingml/2006/picture">
                <pic:pic>
                  <pic:nvPicPr>
                    <pic:cNvPr descr="figures-pbf/fig02-evolution-dual.png" id="42" name="Picture"/>
                    <pic:cNvPicPr>
                      <a:picLocks noChangeArrowheads="1"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19256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CGU.</w:t>
      </w:r>
    </w:p>
    <w:bookmarkEnd w:id="43"/>
    <w:bookmarkStart w:id="50" w:name="X6a06be5d213569c82755a64ea6ac9c70446a84e"/>
    <w:p>
      <w:pPr>
        <w:pStyle w:val="Heading2"/>
      </w:pPr>
      <w:r>
        <w:t xml:space="preserve">Per beneficiário: a transformação qualitativa do programa</w:t>
      </w:r>
    </w:p>
    <w:p>
      <w:pPr>
        <w:pStyle w:val="FirstParagraph"/>
        <w:ind w:firstLine="709"/>
      </w:pPr>
      <w:r>
        <w:t xml:space="preserve">A Figura 3 apresenta a evolução do valor médio</w:t>
      </w:r>
      <w:r>
        <w:t xml:space="preserve"> </w:t>
      </w:r>
      <w:r>
        <w:t xml:space="preserve">pago por beneficiário em valores reais. O patamar histórico de</w:t>
      </w:r>
      <w:r>
        <w:t xml:space="preserve"> </w:t>
      </w:r>
      <w:r>
        <w:t xml:space="preserve">R$ 2.000–2.600/ano salta para R$ 5.500–</w:t>
      </w:r>
      <w:r>
        <w:t xml:space="preserve"> </w:t>
      </w:r>
      <w:r>
        <w:t xml:space="preserve">6.000/ano a partir de 2023, em virtude da elevação do piso e da</w:t>
      </w:r>
      <w:r>
        <w:t xml:space="preserve"> </w:t>
      </w:r>
      <w:r>
        <w:t xml:space="preserve">restruturação dos adicionais por composição familiar. A Figura</w:t>
      </w:r>
      <w:r>
        <w:t xml:space="preserve"> </w:t>
      </w:r>
      <w:r>
        <w:t xml:space="preserve">4 apresenta a variação ano-a-ano (YoY).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3 — Valor anual pago por beneficiário (R$ 2021), 2013–2025, com faixas temporais dos três regimes</w:t>
      </w:r>
    </w:p>
    <w:p>
      <w:pPr>
        <w:pStyle w:val="BodyText"/>
        <w:jc w:val="center"/>
      </w:pPr>
      <w:r>
        <w:drawing>
          <wp:inline>
            <wp:extent cx="5400000" cy="3088588"/>
            <wp:effectExtent b="0" l="0" r="0" t="0"/>
            <wp:docPr descr="image" title="" id="45" name="Picture"/>
            <a:graphic>
              <a:graphicData uri="http://schemas.openxmlformats.org/drawingml/2006/picture">
                <pic:pic>
                  <pic:nvPicPr>
                    <pic:cNvPr descr="figures-pbf/fig03-per-benef.png" id="46" name="Picture"/>
                    <pic:cNvPicPr>
                      <a:picLocks noChangeArrowheads="1"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08858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Faixas verticais identificam PBF clássico (verde), Auxílio Brasil (vermelho) e Novo Bolsa Família (azul).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4 — Variação ano-a-ano (%) do valor pago por beneficiário, 2014–2025</w:t>
      </w:r>
    </w:p>
    <w:p>
      <w:pPr>
        <w:pStyle w:val="BodyText"/>
        <w:jc w:val="center"/>
      </w:pPr>
      <w:r>
        <w:drawing>
          <wp:inline>
            <wp:extent cx="5400000" cy="3255374"/>
            <wp:effectExtent b="0" l="0" r="0" t="0"/>
            <wp:docPr descr="image" title="" id="48" name="Picture"/>
            <a:graphic>
              <a:graphicData uri="http://schemas.openxmlformats.org/drawingml/2006/picture">
                <pic:pic>
                  <pic:nvPicPr>
                    <pic:cNvPr descr="figures-pbf/fig12-yoy-growth.png" id="49" name="Picture"/>
                    <pic:cNvPicPr>
                      <a:picLocks noChangeArrowheads="1"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2553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50"/>
    <w:bookmarkStart w:id="54" w:name="distribuição-regional"/>
    <w:p>
      <w:pPr>
        <w:pStyle w:val="Heading2"/>
      </w:pPr>
      <w:r>
        <w:t xml:space="preserve">Distribuição regional</w:t>
      </w:r>
    </w:p>
    <w:p>
      <w:pPr>
        <w:pStyle w:val="FirstParagraph"/>
        <w:ind w:firstLine="709"/>
      </w:pPr>
      <w:r>
        <w:t xml:space="preserve">A Figura 5 apresenta a distribuição entre as cinco</w:t>
      </w:r>
      <w:r>
        <w:t xml:space="preserve"> </w:t>
      </w:r>
      <w:r>
        <w:t xml:space="preserve">regiões brasileiras em três métricas — per capita</w:t>
      </w:r>
      <w:r>
        <w:t xml:space="preserve"> </w:t>
      </w:r>
      <w:r>
        <w:t xml:space="preserve">ponderado pela população, valor agregado em R$ bi e penetração</w:t>
      </w:r>
      <w:r>
        <w:t xml:space="preserve"> </w:t>
      </w:r>
      <w:r>
        <w:t xml:space="preserve">(% da população beneficiária). Em 2025, o</w:t>
      </w:r>
      <w:r>
        <w:t xml:space="preserve"> </w:t>
      </w:r>
      <w:r>
        <w:rPr>
          <w:b/>
          <w:bCs/>
        </w:rPr>
        <w:t xml:space="preserve">Nordeste</w:t>
      </w:r>
      <w:r>
        <w:t xml:space="preserve"> </w:t>
      </w:r>
      <w:r>
        <w:t xml:space="preserve">domina nas três métricas (R$ 1.051/hab,</w:t>
      </w:r>
      <w:r>
        <w:t xml:space="preserve"> </w:t>
      </w:r>
      <w:r>
        <w:t xml:space="preserve">R$ 60,2 bi, penetração 17,6 %), seguido pelo</w:t>
      </w:r>
      <w:r>
        <w:t xml:space="preserve"> </w:t>
      </w:r>
      <w:r>
        <w:rPr>
          <w:b/>
          <w:bCs/>
        </w:rPr>
        <w:t xml:space="preserve">Norte</w:t>
      </w:r>
      <w:r>
        <w:t xml:space="preserve">.</w:t>
      </w:r>
      <w:r>
        <w:t xml:space="preserve"> </w:t>
      </w:r>
      <w:r>
        <w:t xml:space="preserve">Sudeste e Centro-Oeste apresentam patamar intermediário; o</w:t>
      </w:r>
      <w:r>
        <w:t xml:space="preserve"> </w:t>
      </w:r>
      <w:r>
        <w:rPr>
          <w:b/>
          <w:bCs/>
        </w:rPr>
        <w:t xml:space="preserve">Sul</w:t>
      </w:r>
      <w:r>
        <w:t xml:space="preserve"> </w:t>
      </w:r>
      <w:r>
        <w:t xml:space="preserve">apresenta os menores indicadores em todas as métricas</w:t>
      </w:r>
      <w:r>
        <w:t xml:space="preserve"> </w:t>
      </w:r>
      <w:r>
        <w:t xml:space="preserve">(R$ 283/hab, penetração 5,3 %) — razão</w:t>
      </w:r>
      <w:r>
        <w:t xml:space="preserve"> </w:t>
      </w:r>
      <w:r>
        <w:t xml:space="preserve">Nordeste/Sul de 3,72:1 em per capita ponderado.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5 — Bolsa Família por região: per capita ponderado, valor absoluto e penetração (2025)</w:t>
      </w:r>
    </w:p>
    <w:p>
      <w:pPr>
        <w:pStyle w:val="BodyText"/>
        <w:jc w:val="center"/>
      </w:pPr>
      <w:r>
        <w:drawing>
          <wp:inline>
            <wp:extent cx="5400000" cy="1408695"/>
            <wp:effectExtent b="0" l="0" r="0" t="0"/>
            <wp:docPr descr="image" title="" id="52" name="Picture"/>
            <a:graphic>
              <a:graphicData uri="http://schemas.openxmlformats.org/drawingml/2006/picture">
                <pic:pic>
                  <pic:nvPicPr>
                    <pic:cNvPr descr="figures-pbf/fig04-regional.png" id="53" name="Picture"/>
                    <pic:cNvPicPr>
                      <a:picLocks noChangeArrowheads="1"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0869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IBGE.</w:t>
      </w:r>
    </w:p>
    <w:bookmarkEnd w:id="54"/>
    <w:bookmarkStart w:id="58" w:name="top-10-unidades-federativas"/>
    <w:p>
      <w:pPr>
        <w:pStyle w:val="Heading2"/>
      </w:pPr>
      <w:r>
        <w:t xml:space="preserve">Top-10 unidades federativas</w:t>
      </w:r>
    </w:p>
    <w:p>
      <w:pPr>
        <w:pStyle w:val="FirstParagraph"/>
        <w:ind w:firstLine="709"/>
      </w:pPr>
      <w:r>
        <w:t xml:space="preserve">A Tabela 2 e a Figura 6</w:t>
      </w:r>
      <w:r>
        <w:t xml:space="preserve"> </w:t>
      </w:r>
      <w:r>
        <w:t xml:space="preserve">apresentam as 10 UFs de maior volume acumulado em valores reais no</w:t>
      </w:r>
      <w:r>
        <w:t xml:space="preserve"> </w:t>
      </w:r>
      <w:r>
        <w:t xml:space="preserve">período. O ranking absoluto é dominado por estados de grande</w:t>
      </w:r>
      <w:r>
        <w:t xml:space="preserve"> </w:t>
      </w:r>
      <w:r>
        <w:t xml:space="preserve">população (Bahia, São Paulo, Pernambuco, Minas Gerais, Ceará). Como</w:t>
      </w:r>
      <w:r>
        <w:t xml:space="preserve"> </w:t>
      </w:r>
      <w:r>
        <w:t xml:space="preserve">documentado na próxima subseção, o ranking per capita inverte</w:t>
      </w:r>
      <w:r>
        <w:t xml:space="preserve"> </w:t>
      </w:r>
      <w:r>
        <w:t xml:space="preserve">substancialmente a ordem.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2 — Top-10 UFs por valor pago acumulado em PBF/AB/NBF em valores reais (R$ bi, 2021), 2013–2025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2 — Top-10 UFs por valor pago acumulado em PBF/AB/NBF em valores reais (R$ bi, 2021), 2013–2025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Posição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Pago acumulado (R$ bi, 2021)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99,35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87,63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63,10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Minas Gerais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60,17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Ceará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58,55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de Janeiro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56,71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54,92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Paraíba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28,45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26,54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 a partir do gold dataset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gold_pbf_estados_df.json</w:t>
      </w:r>
      <w:r>
        <w:rPr>
          <w:rFonts w:ascii="Times New Roman" w:hAnsi="Times New Roman" w:cs="Times New Roman"/>
          <w:i/>
          <w:sz w:val="20"/>
        </w:rPr>
        <w:t xml:space="preserve">, microdados CGU. Valores agregados como soma de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valor_2021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(deflacionado dez/2021) sobre o período. Notar a inversão: SP, segundo no ranking absoluto, cai à 25ª posição no ranking per capita (Tabela 3).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6 — Top-10 UFs em valor pago acumulado em PBF/AB/NBF (R$ bi, 2021), 2013–2025</w:t>
      </w:r>
    </w:p>
    <w:p>
      <w:pPr>
        <w:pStyle w:val="BodyText"/>
        <w:jc w:val="center"/>
      </w:pPr>
      <w:r>
        <w:drawing>
          <wp:inline>
            <wp:extent cx="5400000" cy="2342927"/>
            <wp:effectExtent b="0" l="0" r="0" t="0"/>
            <wp:docPr descr="image" title="" id="56" name="Picture"/>
            <a:graphic>
              <a:graphicData uri="http://schemas.openxmlformats.org/drawingml/2006/picture">
                <pic:pic>
                  <pic:nvPicPr>
                    <pic:cNvPr descr="figures-pbf/fig05-top10-abs.png" id="57" name="Picture"/>
                    <pic:cNvPicPr>
                      <a:picLocks noChangeArrowheads="1" noChangeAspect="1"/>
                    </pic:cNvPicPr>
                  </pic:nvPicPr>
                  <pic:blipFill>
                    <a:blip r:embed="rId5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342927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58"/>
    <w:bookmarkStart w:id="71" w:name="Xf8d5fd53869635c8b3f4d3ca259da10853d67bd"/>
    <w:p>
      <w:pPr>
        <w:pStyle w:val="Heading2"/>
      </w:pPr>
      <w:r>
        <w:t xml:space="preserve">Análise per capita: focalização territorial</w:t>
      </w:r>
    </w:p>
    <w:p>
      <w:pPr>
        <w:pStyle w:val="FirstParagraph"/>
        <w:ind w:firstLine="709"/>
      </w:pPr>
      <w:r>
        <w:t xml:space="preserve">A Tabela 3 e a Figura 10</w:t>
      </w:r>
      <w:r>
        <w:t xml:space="preserve"> </w:t>
      </w:r>
      <w:r>
        <w:t xml:space="preserve">apresentam o ranking per capita 2025. Maranhão lidera com</w:t>
      </w:r>
      <w:r>
        <w:t xml:space="preserve"> </w:t>
      </w:r>
      <w:r>
        <w:t xml:space="preserve">R$ 1.168,51/hab (</w:t>
      </w:r>
      <w:r>
        <w:rPr>
          <w:b/>
          <w:bCs/>
        </w:rPr>
        <w:t xml:space="preserve">18,8 %</w:t>
      </w:r>
      <w:r>
        <w:t xml:space="preserve"> </w:t>
      </w:r>
      <w:r>
        <w:t xml:space="preserve">da população beneficiária);</w:t>
      </w:r>
      <w:r>
        <w:t xml:space="preserve"> </w:t>
      </w:r>
      <w:r>
        <w:t xml:space="preserve">Santa Catarina é a última com R$ 167,35/hab (</w:t>
      </w:r>
      <w:r>
        <w:rPr>
          <w:b/>
          <w:bCs/>
        </w:rPr>
        <w:t xml:space="preserve">3,3 %</w:t>
      </w:r>
      <w:r>
        <w:t xml:space="preserve"> </w:t>
      </w:r>
      <w:r>
        <w:t xml:space="preserve">de</w:t>
      </w:r>
      <w:r>
        <w:t xml:space="preserve"> </w:t>
      </w:r>
      <w:r>
        <w:t xml:space="preserve">penetração). A razão entre os extremos é de</w:t>
      </w:r>
      <w:r>
        <w:t xml:space="preserve"> </w:t>
      </w:r>
      <w:r>
        <w:rPr>
          <w:b/>
          <w:bCs/>
        </w:rPr>
        <w:t xml:space="preserve">6,98:1</w:t>
      </w:r>
      <w:r>
        <w:t xml:space="preserve"> — padrão moderado quando comparado às</w:t>
      </w:r>
      <w:r>
        <w:t xml:space="preserve"> </w:t>
      </w:r>
      <w:r>
        <w:t xml:space="preserve">emendas parlamentares (vide Seção 4.7).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3 — Top-10 e bottom-5 UFs por valor pago per capita do PBF/AB/NBF (R$ /hab, 2021), 2025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3 — Top-10 e bottom-5 UFs por valor pago per capita do PBF/AB/NBF (R$ /hab, 2021), 2025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Pos.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UF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capita (R$ /hab)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Penetração (%)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Maranhão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1.168,51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Piauí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1.119,81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18,6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Alagoas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1.077,29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Bahia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1.052,09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17,8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Pernambuco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1.050,98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Sergipe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1.047,55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16,5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Amapá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1.041,57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Amazonas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1.039,64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9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Acre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1.028,75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18,1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1.027,26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17,2</w:t>
            </w:r>
          </w:p>
        </w:tc>
      </w:tr>
      <w:tr>
        <w:tc>
          <w:tcPr>
            <w:gridSpan w:val="4"/>
          </w:tcPr>
          <w:p>
            <w:pPr>
              <w:pStyle w:val="Compact"/>
              <w:jc w:val="center"/>
            </w:pPr>
            <w:r>
              <w:t xml:space="preserve">… (UFs intermediárias omitidas) …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Distrito Federal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356,85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6,3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Rio Grande do Sul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337,62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6,2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São Paulo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325,33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6,0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Paraná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309,86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5,7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Santa Catarina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167,35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3,3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IBGE/SIDRA Tabela 6579 (população residente estimada). Razão Maranhão/Santa Catarina = 6,98:1.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7 — Mapa coroplético — Bolsa Família per capita por UF (R$/hab, 2021), 2025</w:t>
      </w:r>
    </w:p>
    <w:p>
      <w:pPr>
        <w:pStyle w:val="BodyText"/>
        <w:jc w:val="center"/>
      </w:pPr>
      <w:r>
        <w:drawing>
          <wp:inline>
            <wp:extent cx="5400000" cy="5772412"/>
            <wp:effectExtent b="0" l="0" r="0" t="0"/>
            <wp:docPr descr="image" title="" id="60" name="Picture"/>
            <a:graphic>
              <a:graphicData uri="http://schemas.openxmlformats.org/drawingml/2006/picture">
                <pic:pic>
                  <pic:nvPicPr>
                    <pic:cNvPr descr="figures-pbf/fig06-choropleth-percapita.png" id="61" name="Picture"/>
                    <pic:cNvPicPr>
                      <a:picLocks noChangeArrowheads="1" noChangeAspect="1"/>
                    </pic:cNvPicPr>
                  </pic:nvPicPr>
                  <pic:blipFill>
                    <a:blip r:embed="rId5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7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GeoJSON IBGE + microdados CGU.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8 — Mapa coroplético — Bolsa Família valor pago por UF (R$ bi, 2021), 2025</w:t>
      </w:r>
    </w:p>
    <w:p>
      <w:pPr>
        <w:pStyle w:val="BodyText"/>
        <w:jc w:val="center"/>
      </w:pPr>
      <w:r>
        <w:drawing>
          <wp:inline>
            <wp:extent cx="5400000" cy="5772412"/>
            <wp:effectExtent b="0" l="0" r="0" t="0"/>
            <wp:docPr descr="image" title="" id="63" name="Picture"/>
            <a:graphic>
              <a:graphicData uri="http://schemas.openxmlformats.org/drawingml/2006/picture">
                <pic:pic>
                  <pic:nvPicPr>
                    <pic:cNvPr descr="figures-pbf/fig07-choropleth-absoluto.png" id="64" name="Picture"/>
                    <pic:cNvPicPr>
                      <a:picLocks noChangeArrowheads="1" noChangeAspect="1"/>
                    </pic:cNvPicPr>
                  </pic:nvPicPr>
                  <pic:blipFill>
                    <a:blip r:embed="rId6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772412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SP, MG, BA dominam em valores absolutos; o Nordeste domina em per capita.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9 — Heatmap UF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rPr>
            <m:sty m:val="p"/>
          </m:rPr>
          <m:t>×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Ano — Bolsa Família per capita (R$/hab, 2021), 2018–2025</w:t>
      </w:r>
    </w:p>
    <w:p>
      <w:pPr>
        <w:pStyle w:val="BodyText"/>
        <w:jc w:val="center"/>
      </w:pPr>
      <w:r>
        <w:drawing>
          <wp:inline>
            <wp:extent cx="5400000" cy="5192629"/>
            <wp:effectExtent b="0" l="0" r="0" t="0"/>
            <wp:docPr descr="image" title="" id="66" name="Picture"/>
            <a:graphic>
              <a:graphicData uri="http://schemas.openxmlformats.org/drawingml/2006/picture">
                <pic:pic>
                  <pic:nvPicPr>
                    <pic:cNvPr descr="figures-pbf/fig08-heatmap.png" id="67" name="Picture"/>
                    <pic:cNvPicPr>
                      <a:picLocks noChangeArrowheads="1" noChangeAspect="1"/>
                    </pic:cNvPicPr>
                  </pic:nvPicPr>
                  <pic:blipFill>
                    <a:blip r:embed="rId6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92629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Linhas verticais tracejadas marcam Auxílio Brasil (Nov/2021) e NBF (Mar/2023). UFs ordenadas em ordem decrescente do per capita 2025.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10 — Ranking horizontal: Bolsa Família per capita por UF, 2025</w:t>
      </w:r>
    </w:p>
    <w:p>
      <w:pPr>
        <w:pStyle w:val="BodyText"/>
        <w:jc w:val="center"/>
      </w:pPr>
      <w:r>
        <w:drawing>
          <wp:inline>
            <wp:extent cx="5400000" cy="5146514"/>
            <wp:effectExtent b="0" l="0" r="0" t="0"/>
            <wp:docPr descr="image" title="" id="69" name="Picture"/>
            <a:graphic>
              <a:graphicData uri="http://schemas.openxmlformats.org/drawingml/2006/picture">
                <pic:pic>
                  <pic:nvPicPr>
                    <pic:cNvPr descr="figures-pbf/fig09-per-capita-ranking.png" id="70" name="Picture"/>
                    <pic:cNvPicPr>
                      <a:picLocks noChangeArrowheads="1" noChangeAspect="1"/>
                    </pic:cNvPicPr>
                  </pic:nvPicPr>
                  <pic:blipFill>
                    <a:blip r:embed="rId6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14651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71"/>
    <w:bookmarkStart w:id="75" w:name="Xdfa86c7c0befeececb1b645ff563cfb665e41b5"/>
    <w:p>
      <w:pPr>
        <w:pStyle w:val="Heading2"/>
      </w:pPr>
      <w:r>
        <w:t xml:space="preserve">Penetração e per capita: escopo da associação</w:t>
      </w:r>
    </w:p>
    <w:p>
      <w:pPr>
        <w:pStyle w:val="FirstParagraph"/>
        <w:ind w:firstLine="709"/>
      </w:pPr>
      <w:r>
        <w:t xml:space="preserve">A Figura 11 apresenta a relação entre penetração</w:t>
      </w:r>
      <w:r>
        <w:t xml:space="preserve"> </w:t>
      </w:r>
      <w:r>
        <w:t xml:space="preserve">(</w:t>
      </w:r>
      <m:oMath>
        <m:r>
          <m:rPr>
            <m:sty m:val="p"/>
          </m:rPr>
          <m:t>%</m:t>
        </m:r>
      </m:oMath>
      <w:r>
        <w:t xml:space="preserve"> </w:t>
      </w:r>
      <w:r>
        <w:t xml:space="preserve">da população beneficiária) e per capita pago em 2025. A</w:t>
      </w:r>
      <w:r>
        <w:t xml:space="preserve"> </w:t>
      </w:r>
      <w:r>
        <w:t xml:space="preserve">correlação é positiva (</w:t>
      </w:r>
      <m:oMath>
        <m:r>
          <m:t>ρ</m:t>
        </m:r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98</m:t>
        </m:r>
      </m:oMath>
      <w:r>
        <w:t xml:space="preserve">, IC 95 % bootstrap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97</m:t>
            </m:r>
            <m:r>
              <m:rPr>
                <m:sty m:val="p"/>
              </m:rPr>
              <m:t>;</m:t>
            </m:r>
            <m:r>
              <m:t>0</m:t>
            </m:r>
            <m:r>
              <m:rPr>
                <m:sty m:val="p"/>
              </m:rPr>
              <m:t>,</m:t>
            </m:r>
            <m:r>
              <m:t>99</m:t>
            </m:r>
          </m:e>
        </m:d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UFs, 1000 réplicas), em parte por</w:t>
      </w:r>
      <w:r>
        <w:t xml:space="preserve"> </w:t>
      </w:r>
      <w:r>
        <w:t xml:space="preserve">construção parcial: as duas variáveis compartilham o numerador</w:t>
      </w:r>
      <w:r>
        <w:t xml:space="preserve"> </w:t>
      </w:r>
      <w:r>
        <w:t xml:space="preserve">(</w:t>
      </w:r>
      <w:r>
        <w:rPr>
          <w:rStyle w:val="VerbatimChar"/>
        </w:rPr>
        <w:t xml:space="preserve">n_benef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 </w:t>
      </w:r>
      <w:r>
        <w:t xml:space="preserve">versus</w:t>
      </w:r>
      <w:r>
        <w:t xml:space="preserve"> </w:t>
      </w:r>
      <w:r>
        <w:rPr>
          <w:rStyle w:val="VerbatimChar"/>
        </w:rPr>
        <w:t xml:space="preserve">valor</w:t>
      </w:r>
      <w:r>
        <w:t xml:space="preserve"> </w:t>
      </w:r>
      <w:r>
        <w:t xml:space="preserve"> / </w:t>
      </w:r>
      <w:r>
        <w:t xml:space="preserve"> </w:t>
      </w:r>
      <w:r>
        <w:rPr>
          <w:rStyle w:val="VerbatimChar"/>
        </w:rPr>
        <w:t xml:space="preserve">populacao</w:t>
      </w:r>
      <w:r>
        <w:t xml:space="preserve">). A magnitude próxima de 1 reflete</w:t>
      </w:r>
      <w:r>
        <w:t xml:space="preserve"> </w:t>
      </w:r>
      <w:r>
        <w:t xml:space="preserve">homogeneidade do valor médio pago por família entre UFs após o NBF.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11 — Penetração (</w:t>
      </w:r>
      <m:oMath>
        <m:r>
          <m:rPr>
            <m:sty m:val="p"/>
          </m:rPr>
          <m:t>%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da população beneficiária) vs per capita 2025 por UF, com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ρ</m:t>
        </m:r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e IC 95 % bootstrap</w:t>
      </w:r>
    </w:p>
    <w:p>
      <w:pPr>
        <w:pStyle w:val="BodyText"/>
        <w:jc w:val="center"/>
      </w:pPr>
      <w:r>
        <w:drawing>
          <wp:inline>
            <wp:extent cx="5400000" cy="2245416"/>
            <wp:effectExtent b="0" l="0" r="0" t="0"/>
            <wp:docPr descr="image" title="" id="73" name="Picture"/>
            <a:graphic>
              <a:graphicData uri="http://schemas.openxmlformats.org/drawingml/2006/picture">
                <pic:pic>
                  <pic:nvPicPr>
                    <pic:cNvPr descr="figures-pbf/fig10-penetracao.png" id="74" name="Picture"/>
                    <pic:cNvPicPr>
                      <a:picLocks noChangeArrowheads="1" noChangeAspect="1"/>
                    </pic:cNvPicPr>
                  </pic:nvPicPr>
                  <pic:blipFill>
                    <a:blip r:embed="rId7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24541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75"/>
    <w:bookmarkStart w:id="79" w:name="X16470599603c1b0cebe1828d743cc334d591c80"/>
    <w:p>
      <w:pPr>
        <w:pStyle w:val="Heading2"/>
      </w:pPr>
      <w:r>
        <w:t xml:space="preserve">Coeficiente de variação: comparação descritiva com Emendas</w:t>
      </w:r>
      <w:r>
        <w:t xml:space="preserve"> </w:t>
      </w:r>
      <w:r>
        <w:t xml:space="preserve">Parlamentares</w:t>
      </w:r>
    </w:p>
    <w:p>
      <w:pPr>
        <w:pStyle w:val="FirstParagraph"/>
        <w:ind w:firstLine="709"/>
      </w:pPr>
      <w:r>
        <w:t xml:space="preserve">A Figura 12 sobrepõe o CV per capita do PBF e o do</w:t>
      </w:r>
      <w:r>
        <w:t xml:space="preserve"> </w:t>
      </w:r>
      <w:r>
        <w:t xml:space="preserve">programa de emendas parlamentares federais. O CV do PBF oscila</w:t>
      </w:r>
      <w:r>
        <w:t xml:space="preserve"> </w:t>
      </w:r>
      <w:r>
        <w:t xml:space="preserve">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428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571</m:t>
        </m:r>
      </m:oMath>
      <w:r>
        <w:t xml:space="preserve"> </w:t>
      </w:r>
      <w:r>
        <w:t xml:space="preserve">ao longo do período; o de emendas, entre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570</m:t>
        </m:r>
      </m:oMath>
      <w:r>
        <w:t xml:space="preserve"> </w:t>
      </w:r>
      <w:r>
        <w:t xml:space="preserve">e</w:t>
      </w:r>
      <w:r>
        <w:t xml:space="preserve"> </w:t>
      </w:r>
      <m:oMath>
        <m:r>
          <m:t>1</m:t>
        </m:r>
        <m:r>
          <m:rPr>
            <m:sty m:val="p"/>
          </m:rPr>
          <m:t>,</m:t>
        </m:r>
        <m:r>
          <m:t>776</m:t>
        </m:r>
      </m:oMath>
      <w:r>
        <w:t xml:space="preserve"> </w:t>
      </w:r>
      <w:r>
        <w:t xml:space="preserve">(com pico em 2017, primeiro ano após a EC 86 que</w:t>
      </w:r>
      <w:r>
        <w:t xml:space="preserve"> </w:t>
      </w:r>
      <w:r>
        <w:t xml:space="preserve">tornou o RP6 obrigatório — a anotação na figura</w:t>
      </w:r>
      <w:r>
        <w:t xml:space="preserve"> </w:t>
      </w:r>
      <w:r>
        <w:t xml:space="preserve">detalha o transitório).</w:t>
      </w:r>
    </w:p>
    <w:p>
      <w:pPr>
        <w:pStyle w:val="BodyText"/>
        <w:ind w:firstLine="709"/>
      </w:pPr>
      <w:r>
        <w:t xml:space="preserve">A diferença entre os dois CVs é descritiva: a Seção</w:t>
      </w:r>
      <w:r>
        <w:t xml:space="preserve"> </w:t>
      </w:r>
      <w:r>
        <w:t xml:space="preserve">6 substitui esse contraste descritivo por</w:t>
      </w:r>
      <w:r>
        <w:t xml:space="preserve"> </w:t>
      </w:r>
      <w:r>
        <w:t xml:space="preserve">comparação cardinal via índice de Kakwani.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12 — Coeficiente de variação per capita por UF — Bolsa Família vs Emendas Parlamentares, 2013–2025, com anotação no outlier 2017 das emendas</w:t>
      </w:r>
    </w:p>
    <w:p>
      <w:pPr>
        <w:pStyle w:val="BodyText"/>
        <w:jc w:val="center"/>
      </w:pPr>
      <w:r>
        <w:drawing>
          <wp:inline>
            <wp:extent cx="5400000" cy="2897503"/>
            <wp:effectExtent b="0" l="0" r="0" t="0"/>
            <wp:docPr descr="image" title="" id="77" name="Picture"/>
            <a:graphic>
              <a:graphicData uri="http://schemas.openxmlformats.org/drawingml/2006/picture">
                <pic:pic>
                  <pic:nvPicPr>
                    <pic:cNvPr descr="figures-pbf/fig11-cv-comparison.png" id="78" name="Picture"/>
                    <pic:cNvPicPr>
                      <a:picLocks noChangeArrowheads="1" noChangeAspect="1"/>
                    </pic:cNvPicPr>
                  </pic:nvPicPr>
                  <pic:blipFill>
                    <a:blip r:embed="rId7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897503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IBGE.</w:t>
      </w:r>
    </w:p>
    <w:bookmarkEnd w:id="79"/>
    <w:bookmarkEnd w:id="80"/>
    <w:bookmarkStart w:id="90" w:name="X6f4d236566e342ef5e656008d16db90933abe70"/>
    <w:p>
      <w:pPr>
        <w:pStyle w:val="Heading1"/>
      </w:pPr>
      <w:r>
        <w:t xml:space="preserve">Identificação causal das transições institucionais</w:t>
      </w:r>
    </w:p>
    <w:p>
      <w:pPr>
        <w:pStyle w:val="FirstParagraph"/>
        <w:ind w:firstLine="709"/>
      </w:pPr>
      <w:r>
        <w:t xml:space="preserve">A Seção 4 estabeleceu, descritivamente, que o</w:t>
      </w:r>
      <w:r>
        <w:t xml:space="preserve"> </w:t>
      </w:r>
      <w:r>
        <w:t xml:space="preserve">programa atravessou dois pontos de mudança quase simultâneos: MP</w:t>
      </w:r>
      <w:r>
        <w:t xml:space="preserve"> </w:t>
      </w:r>
      <w:r>
        <w:t xml:space="preserve">1.061/2021 (Auxílio Brasil) e Lei 14.601/2023 (Novo Bolsa Família).</w:t>
      </w:r>
      <w:r>
        <w:t xml:space="preserve"> </w:t>
      </w:r>
      <w:r>
        <w:t xml:space="preserve">Esta seção avalia, em desenho quasi-experimental, se o salto</w:t>
      </w:r>
      <w:r>
        <w:t xml:space="preserve"> </w:t>
      </w:r>
      <w:r>
        <w:t xml:space="preserve">observado em valor per capita corresponde a efeito causal</w:t>
      </w:r>
      <w:r>
        <w:t xml:space="preserve"> </w:t>
      </w:r>
      <w:r>
        <w:t xml:space="preserve">identificável ou se reflete tendências pré-existentes.</w:t>
      </w:r>
    </w:p>
    <w:bookmarkStart w:id="84" w:name="construção-do-tratamento-e-amostra"/>
    <w:p>
      <w:pPr>
        <w:pStyle w:val="Heading2"/>
      </w:pPr>
      <w:r>
        <w:t xml:space="preserve">Construção do tratamento e amostra</w:t>
      </w:r>
    </w:p>
    <w:p>
      <w:pPr>
        <w:pStyle w:val="FirstParagraph"/>
        <w:ind w:firstLine="709"/>
      </w:pPr>
      <w:r>
        <w:t xml:space="preserve">O tratamento</w:t>
      </w:r>
      <w:r>
        <w:t xml:space="preserve"> </w:t>
      </w:r>
      <m:oMath>
        <m:sSub>
          <m:e>
            <m:r>
              <m:t>T</m:t>
            </m:r>
          </m:e>
          <m:sub>
            <m:r>
              <m:t>u</m:t>
            </m:r>
          </m:sub>
        </m:sSub>
      </m:oMath>
      <w:r>
        <w:t xml:space="preserve"> </w:t>
      </w:r>
      <w:r>
        <w:t xml:space="preserve">classifica UFs pelo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pré-choque, conforme Seção 3. O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no</w:t>
      </w:r>
      <w:r>
        <w:t xml:space="preserve"> </w:t>
      </w:r>
      <w:r>
        <w:t xml:space="preserve">quartil superior produz</w:t>
      </w:r>
      <w:r>
        <w:t xml:space="preserve"> </w:t>
      </w:r>
      <w:r>
        <w:rPr>
          <w:b/>
          <w:bCs/>
        </w:rPr>
        <w:t xml:space="preserve">7 UFs tratadas</w:t>
      </w:r>
      <w:r>
        <w:t xml:space="preserve"> </w:t>
      </w:r>
      <w:r>
        <w:t xml:space="preserve">(AL, AM, CE, MA,</w:t>
      </w:r>
      <w:r>
        <w:t xml:space="preserve"> </w:t>
      </w:r>
      <w:r>
        <w:t xml:space="preserve">PA, PB, PI) e 20 UFs de controle. A Figura 13</w:t>
      </w:r>
      <w:r>
        <w:t xml:space="preserve"> </w:t>
      </w:r>
      <w:r>
        <w:t xml:space="preserve">visualiza a transição pré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pós em per capita.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13 —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Barbell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— Bolsa Família per capita por UF, pré (média 2018–2020) vs pós (média 2022–2025). Vermelho: UF tratada (Q4 do déficit pré-choque)</w:t>
      </w:r>
    </w:p>
    <w:p>
      <w:pPr>
        <w:pStyle w:val="BodyText"/>
        <w:jc w:val="center"/>
      </w:pPr>
      <w:r>
        <w:drawing>
          <wp:inline>
            <wp:extent cx="5400000" cy="5221074"/>
            <wp:effectExtent b="0" l="0" r="0" t="0"/>
            <wp:docPr descr="image" title="" id="82" name="Picture"/>
            <a:graphic>
              <a:graphicData uri="http://schemas.openxmlformats.org/drawingml/2006/picture">
                <pic:pic>
                  <pic:nvPicPr>
                    <pic:cNvPr descr="figures-pbf/fig13-causal-barbell.png" id="83" name="Picture"/>
                    <pic:cNvPicPr>
                      <a:picLocks noChangeArrowheads="1" noChangeAspect="1"/>
                    </pic:cNvPicPr>
                  </pic:nvPicPr>
                  <pic:blipFill>
                    <a:blip r:embed="rId8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522107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IBGE/PNAD-C.</w:t>
      </w:r>
    </w:p>
    <w:bookmarkEnd w:id="84"/>
    <w:bookmarkStart w:id="88" w:name="resultados"/>
    <w:p>
      <w:pPr>
        <w:pStyle w:val="Heading2"/>
      </w:pPr>
      <w:r>
        <w:t xml:space="preserve">Resultados</w:t>
      </w:r>
    </w:p>
    <w:p>
      <w:pPr>
        <w:pStyle w:val="FirstParagraph"/>
        <w:ind w:firstLine="709"/>
      </w:pPr>
      <w:r>
        <w:t xml:space="preserve">A Tabela 4 apresenta os coeficientes do DiD 2</w:t>
      </w:r>
      <m:oMath>
        <m:r>
          <m:rPr>
            <m:sty m:val="p"/>
          </m:rPr>
          <m:t>×</m:t>
        </m:r>
      </m:oMath>
      <w:r>
        <w:t xml:space="preserve">2</w:t>
      </w:r>
      <w:r>
        <w:t xml:space="preserve"> </w:t>
      </w:r>
      <w:r>
        <w:t xml:space="preserve">e do TWFE para o choque MP 1.061/2021, com erros HC3 e clusterizados</w:t>
      </w:r>
      <w:r>
        <w:t xml:space="preserve"> </w:t>
      </w:r>
      <w:r>
        <w:t xml:space="preserve">por UF. A Tabela 5 apresenta a replicação cross-shock</w:t>
      </w:r>
      <w:r>
        <w:t xml:space="preserve"> </w:t>
      </w:r>
      <w:r>
        <w:t xml:space="preserve">sobre Lei 14.601/2023.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4 — DiD sobre MP 1.061/2021 (pré 2018–2020 vs pós 2022–2025)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4 — DiD sobre MP 1.061/2021 (pré 2018–2020 vs pós 2022–202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223</m:t>
              </m:r>
              <m:r>
                <m:rPr>
                  <m:sty m:val="p"/>
                </m:rPr>
                <m:t>,</m:t>
              </m:r>
              <m:r>
                <m:t>75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38</w:t>
            </w:r>
            <w:r>
              <w:t xml:space="preserve">,</w:t>
            </w:r>
            <w:r>
              <w:t xml:space="preserve">81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147</m:t>
                  </m:r>
                  <m:r>
                    <m:rPr>
                      <m:sty m:val="p"/>
                    </m:rPr>
                    <m:t>,</m:t>
                  </m:r>
                  <m:r>
                    <m:t>69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299</m:t>
                  </m:r>
                  <m:r>
                    <m:rPr>
                      <m:sty m:val="p"/>
                    </m:rPr>
                    <m:t>,</m:t>
                  </m:r>
                  <m:r>
                    <m:t>82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TWFE clusterizado por UF (N=27)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233</m:t>
              </m:r>
              <m:r>
                <m:rPr>
                  <m:sty m:val="p"/>
                </m:rPr>
                <m:t>,</m:t>
              </m:r>
              <m:r>
                <m:t>27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42</w:t>
            </w:r>
            <w:r>
              <w:t xml:space="preserve">,</w:t>
            </w:r>
            <w:r>
              <w:t xml:space="preserve">00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150</m:t>
                  </m:r>
                  <m:r>
                    <m:rPr>
                      <m:sty m:val="p"/>
                    </m:rPr>
                    <m:t>,</m:t>
                  </m:r>
                  <m:r>
                    <m:t>96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315</m:t>
                  </m:r>
                  <m:r>
                    <m:rPr>
                      <m:sty m:val="p"/>
                    </m:rPr>
                    <m:t>,</m:t>
                  </m:r>
                  <m:r>
                    <m:t>59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i/>
                <w:iCs/>
              </w:rPr>
              <w:t xml:space="preserve">Wild-cluster bootstrap</w:t>
            </w:r>
            <w:r>
              <w:t xml:space="preserve"> </w:t>
            </w:r>
            <w:r>
              <w:t xml:space="preserve">(999 sims)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—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493</m:t>
              </m:r>
            </m:oMath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causal_analysis_pbf.py</w:t>
      </w:r>
      <w:r>
        <w:rPr>
          <w:rFonts w:ascii="Times New Roman" w:hAnsi="Times New Roman" w:cs="Times New Roman"/>
          <w:i/>
          <w:sz w:val="20"/>
        </w:rPr>
        <w:t xml:space="preserve">.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Treated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R$ </w:t>
      </w:r>
      <m:oMath>
        <m:r>
          <m:rPr>
            <m:sty m:val="p"/>
          </m:rPr>
          <m:t>+</m:t>
        </m:r>
        <m:r>
          <m:t>609</m:t>
        </m:r>
        <m:r>
          <m:rPr>
            <m:sty m:val="p"/>
          </m:rPr>
          <m:t>,</m:t>
        </m:r>
        <m:r>
          <m:t>3</m:t>
        </m:r>
      </m:oMath>
      <w:r>
        <w:rPr>
          <w:rFonts w:ascii="Times New Roman" w:hAnsi="Times New Roman" w:cs="Times New Roman"/>
          <w:i/>
          <w:sz w:val="20"/>
        </w:rPr>
        <w:t xml:space="preserve">/hab;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acc>
          <m:accPr>
            <m:chr m:val="‾"/>
          </m:accPr>
          <m:e>
            <m:r>
              <m:t>Δ</m:t>
            </m:r>
          </m:e>
        </m:acc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Control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rPr>
            <m:sty m:val="p"/>
          </m:rPr>
          <m:t>=</m:t>
        </m:r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R$ </w:t>
      </w:r>
      <m:oMath>
        <m:r>
          <m:rPr>
            <m:sty m:val="p"/>
          </m:rPr>
          <m:t>+</m:t>
        </m:r>
        <m:r>
          <m:t>385</m:t>
        </m:r>
        <m:r>
          <m:rPr>
            <m:sty m:val="p"/>
          </m:rPr>
          <m:t>,</m:t>
        </m:r>
        <m:r>
          <m:t>6</m:t>
        </m:r>
      </m:oMath>
      <w:r>
        <w:rPr>
          <w:rFonts w:ascii="Times New Roman" w:hAnsi="Times New Roman" w:cs="Times New Roman"/>
          <w:i/>
          <w:sz w:val="20"/>
        </w:rPr>
        <w:t xml:space="preserve">/hab.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5 — DiD sobre Lei 14.601/2023 — replicação cross-shock (pré 2021–2022 vs pós 2023–2025)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5 — DiD sobre Lei 14.601/2023 — replicação cross-shock (pré 2021–2022 vs pós 2023–2025)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right"/>
            </w:pPr>
            <m:oMath>
              <m:acc>
                <m:accPr>
                  <m:chr m:val="̂"/>
                </m:accPr>
                <m:e>
                  <m:r>
                    <m:t>β</m:t>
                  </m:r>
                </m:e>
              </m:acc>
            </m:oMath>
            <w:r>
              <w:t xml:space="preserve"> </w:t>
            </w:r>
            <w:r>
              <w:t xml:space="preserve">(R$/hab)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SE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95 %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p</m:t>
              </m:r>
            </m:oMath>
            <w:r>
              <w:t xml:space="preserve">-valor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DiD 2</w:t>
            </w:r>
            <m:oMath>
              <m:r>
                <m:rPr>
                  <m:sty m:val="p"/>
                </m:rPr>
                <m:t>×</m:t>
              </m:r>
            </m:oMath>
            <w:r>
              <w:t xml:space="preserve">2 (HC3)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271</m:t>
              </m:r>
              <m:r>
                <m:rPr>
                  <m:sty m:val="p"/>
                </m:rPr>
                <m:t>,</m:t>
              </m:r>
              <m:r>
                <m:t>05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44</w:t>
            </w:r>
            <w:r>
              <w:t xml:space="preserve">,</w:t>
            </w:r>
            <w:r>
              <w:t xml:space="preserve">99</w:t>
            </w:r>
          </w:p>
        </w:tc>
        <w:tc>
          <w:tcPr/>
          <w:p>
            <w:pPr>
              <w:pStyle w:val="Compact"/>
              <w:jc w:val="right"/>
            </w:pPr>
            <m:oMath>
              <m:d>
                <m:dPr>
                  <m:begChr m:val="["/>
                  <m:endChr m:val="]"/>
                  <m:sepChr m:val=""/>
                  <m:grow/>
                </m:dPr>
                <m:e>
                  <m:r>
                    <m:rPr>
                      <m:sty m:val="p"/>
                    </m:rPr>
                    <m:t>+</m:t>
                  </m:r>
                  <m:r>
                    <m:t>182</m:t>
                  </m:r>
                  <m:r>
                    <m:rPr>
                      <m:sty m:val="p"/>
                    </m:rPr>
                    <m:t>,</m:t>
                  </m:r>
                  <m:r>
                    <m:t>86</m:t>
                  </m:r>
                  <m:r>
                    <m:rPr>
                      <m:sty m:val="p"/>
                    </m:rPr>
                    <m:t>;</m:t>
                  </m:r>
                  <m:r>
                    <m:t> </m:t>
                  </m:r>
                  <m:r>
                    <m:rPr>
                      <m:sty m:val="p"/>
                    </m:rPr>
                    <m:t>+</m:t>
                  </m:r>
                  <m:r>
                    <m:t>359</m:t>
                  </m:r>
                  <m:r>
                    <m:rPr>
                      <m:sty m:val="p"/>
                    </m:rPr>
                    <m:t>,</m:t>
                  </m:r>
                  <m:r>
                    <m:t>23</m:t>
                  </m:r>
                </m:e>
              </m:d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&lt;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001</m:t>
              </m:r>
            </m:oMath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causal_analysis_pbf.py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A Figura 14 mostra as trajetórias médias anuais de</w:t>
      </w:r>
      <w:r>
        <w:t xml:space="preserve"> </w:t>
      </w:r>
      <w:r>
        <w:t xml:space="preserve">Treated vs Control com marcadores verticais nos dois</w:t>
      </w:r>
      <w:r>
        <w:t xml:space="preserve"> </w:t>
      </w:r>
      <w:r>
        <w:rPr>
          <w:i/>
          <w:iCs/>
        </w:rPr>
        <w:t xml:space="preserve">cutoffs</w:t>
      </w:r>
      <w:r>
        <w:t xml:space="preserve"> </w:t>
      </w:r>
      <w:r>
        <w:t xml:space="preserve">institucionais.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14 — Trajetórias médias de per capita real (R$/hab, 2021): Treated (Q4 déficit pré-choque) vs Control</w:t>
      </w:r>
    </w:p>
    <w:p>
      <w:pPr>
        <w:pStyle w:val="BodyText"/>
        <w:jc w:val="center"/>
      </w:pPr>
      <w:r>
        <w:drawing>
          <wp:inline>
            <wp:extent cx="5400000" cy="3544820"/>
            <wp:effectExtent b="0" l="0" r="0" t="0"/>
            <wp:docPr descr="image" title="" id="86" name="Picture"/>
            <a:graphic>
              <a:graphicData uri="http://schemas.openxmlformats.org/drawingml/2006/picture">
                <pic:pic>
                  <pic:nvPicPr>
                    <pic:cNvPr descr="figures-pbf/fig14-event-study.png" id="87" name="Picture"/>
                    <pic:cNvPicPr>
                      <a:picLocks noChangeArrowheads="1" noChangeAspect="1"/>
                    </pic:cNvPicPr>
                  </pic:nvPicPr>
                  <pic:blipFill>
                    <a:blip r:embed="rId8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544820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 Linhas verticais marcam MP 1.061/2021 (Nov/2021) e Lei 14.601/2023 (Mar/2023).</w:t>
      </w:r>
    </w:p>
    <w:bookmarkEnd w:id="88"/>
    <w:bookmarkStart w:id="89" w:name="robustez-e-limitações-da-identificação"/>
    <w:p>
      <w:pPr>
        <w:pStyle w:val="Heading2"/>
      </w:pPr>
      <w:r>
        <w:t xml:space="preserve">Robustez e limitações da identificação</w:t>
      </w:r>
    </w:p>
    <w:p>
      <w:pPr>
        <w:pStyle w:val="FirstParagraph"/>
        <w:ind w:firstLine="709"/>
      </w:pPr>
      <w:r>
        <w:rPr>
          <w:b/>
          <w:bCs/>
        </w:rPr>
        <w:t xml:space="preserve">Wild-cluster bootstrap.</w:t>
      </w:r>
      <w:r>
        <w:t xml:space="preserve"> </w:t>
      </w:r>
      <w:r>
        <w:t xml:space="preserve">Sob HC3 e clustering assintótico,</w:t>
      </w:r>
      <w:r>
        <w:t xml:space="preserve"> </w:t>
      </w:r>
      <w:r>
        <w:t xml:space="preserve">o efeito é ordens de magnitude maior que o erro padrão; sob WCB com</w:t>
      </w:r>
      <w:r>
        <w:t xml:space="preserve"> </w:t>
      </w:r>
      <w:r>
        <w:t xml:space="preserve">999 réplicas Rademacher, o</w:t>
      </w:r>
      <w:r>
        <w:t xml:space="preserve"> </w:t>
      </w:r>
      <m:oMath>
        <m:r>
          <m:t>p</m:t>
        </m:r>
      </m:oMath>
      <w:r>
        <w:t xml:space="preserve">-valor sobe para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493</m:t>
        </m:r>
      </m:oMath>
      <w:r>
        <w:t xml:space="preserve">. Esse</w:t>
      </w:r>
      <w:r>
        <w:t xml:space="preserve"> </w:t>
      </w:r>
      <w:r>
        <w:t xml:space="preserve">contraste é uma manifestação clássica da inconsistência de erros</w:t>
      </w:r>
      <w:r>
        <w:t xml:space="preserve"> </w:t>
      </w:r>
      <w:r>
        <w:t xml:space="preserve">clusterizados quando o número de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é</w:t>
      </w:r>
      <w:r>
        <w:t xml:space="preserve"> </w:t>
      </w:r>
      <w:r>
        <w:t xml:space="preserve">pequeno (Cameron et al., 2008).</w:t>
      </w:r>
      <w:r>
        <w:t xml:space="preserve"> </w:t>
      </w:r>
      <w:r>
        <w:rPr>
          <w:b/>
          <w:bCs/>
        </w:rPr>
        <w:t xml:space="preserve">O efeito não pode ser</w:t>
      </w:r>
      <w:r>
        <w:rPr>
          <w:b/>
          <w:bCs/>
        </w:rPr>
        <w:t xml:space="preserve"> </w:t>
      </w:r>
      <w:r>
        <w:rPr>
          <w:b/>
          <w:bCs/>
        </w:rPr>
        <w:t xml:space="preserve">distinguido de zero sob a métrica robusta apropriada para N=27</w:t>
      </w:r>
      <w:r>
        <w:t xml:space="preserve">.</w:t>
      </w:r>
    </w:p>
    <w:p>
      <w:pPr>
        <w:pStyle w:val="BodyText"/>
        <w:ind w:firstLine="709"/>
      </w:pPr>
      <w:r>
        <w:rPr>
          <w:b/>
          <w:bCs/>
        </w:rPr>
        <w:t xml:space="preserve">Parallel trends.</w:t>
      </w:r>
      <w:r>
        <w:t xml:space="preserve"> </w:t>
      </w:r>
      <w:r>
        <w:t xml:space="preserve">A regressão pré-tratamento</w:t>
      </w:r>
      <w:r>
        <w:t xml:space="preserve"> </w:t>
      </w:r>
      <m:oMath>
        <m:sSub>
          <m:e>
            <m:r>
              <m:t>y</m:t>
            </m:r>
          </m:e>
          <m:sub>
            <m:r>
              <m:t>u</m:t>
            </m:r>
            <m:r>
              <m:rPr>
                <m:sty m:val="p"/>
              </m:rPr>
              <m:t>,</m:t>
            </m:r>
            <m:r>
              <m:t>t</m:t>
            </m:r>
          </m:sub>
        </m:sSub>
        <m:r>
          <m:rPr>
            <m:sty m:val="p"/>
          </m:rPr>
          <m:t>=</m:t>
        </m:r>
        <m:r>
          <m:t>α</m:t>
        </m:r>
        <m:r>
          <m:rPr>
            <m:sty m:val="p"/>
          </m:rPr>
          <m:t>+</m:t>
        </m:r>
        <m:r>
          <m:t>ρ</m:t>
        </m:r>
        <m:r>
          <m:t>t</m:t>
        </m:r>
        <m:r>
          <m:rPr>
            <m:sty m:val="p"/>
          </m:rPr>
          <m:t>+</m:t>
        </m:r>
        <m:r>
          <m:t>π</m:t>
        </m:r>
        <m:sSub>
          <m:e>
            <m:r>
              <m:t>T</m:t>
            </m:r>
          </m:e>
          <m:sub>
            <m:r>
              <m:t>u</m:t>
            </m:r>
          </m:sub>
        </m:sSub>
        <m:r>
          <m:rPr>
            <m:sty m:val="p"/>
          </m:rPr>
          <m:t>+</m:t>
        </m:r>
        <m:r>
          <m:t>τ</m:t>
        </m:r>
        <m:d>
          <m:dPr>
            <m:begChr m:val="("/>
            <m:endChr m:val=")"/>
            <m:sepChr m:val=""/>
            <m:grow/>
          </m:dPr>
          <m:e>
            <m:sSub>
              <m:e>
                <m:r>
                  <m:t>T</m:t>
                </m:r>
              </m:e>
              <m:sub>
                <m:r>
                  <m:t>u</m:t>
                </m:r>
              </m:sub>
            </m:sSub>
            <m:r>
              <m:rPr>
                <m:sty m:val="p"/>
              </m:rPr>
              <m:t>⋅</m:t>
            </m:r>
            <m:r>
              <m:t>t</m:t>
            </m:r>
          </m:e>
        </m:d>
        <m:r>
          <m:rPr>
            <m:sty m:val="p"/>
          </m:rPr>
          <m:t>+</m:t>
        </m:r>
        <m:r>
          <m:t>ε</m:t>
        </m:r>
      </m:oMath>
      <w:r>
        <w:t xml:space="preserve"> </w:t>
      </w:r>
      <w:r>
        <w:t xml:space="preserve">sobre</w:t>
      </w:r>
      <w:r>
        <w:t xml:space="preserve"> </w:t>
      </w:r>
      <m:oMath>
        <m:r>
          <m:t>t</m:t>
        </m:r>
        <m:r>
          <m:rPr>
            <m:sty m:val="p"/>
          </m:rPr>
          <m:t>∈</m:t>
        </m:r>
        <m:r>
          <m:rPr>
            <m:sty m:val="p"/>
          </m:rPr>
          <m:t>{</m:t>
        </m:r>
        <m:r>
          <m:t>2018</m:t>
        </m:r>
        <m:r>
          <m:rPr>
            <m:sty m:val="p"/>
          </m:rPr>
          <m:t>,</m:t>
        </m:r>
        <m:r>
          <m:t>2019</m:t>
        </m:r>
        <m:r>
          <m:rPr>
            <m:sty m:val="p"/>
          </m:rPr>
          <m:t>,</m:t>
        </m:r>
        <m:r>
          <m:t>2020</m:t>
        </m:r>
        <m:r>
          <m:rPr>
            <m:sty m:val="p"/>
          </m:rPr>
          <m:t>}</m:t>
        </m:r>
      </m:oMath>
      <w:r>
        <w:t xml:space="preserve"> </w:t>
      </w:r>
      <w:r>
        <w:t xml:space="preserve">produz</w:t>
      </w:r>
      <w:r>
        <w:t xml:space="preserve"> </w:t>
      </w:r>
      <m:oMath>
        <m:acc>
          <m:accPr>
            <m:chr m:val="̂"/>
          </m:accPr>
          <m:e>
            <m:r>
              <m:t>τ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9</m:t>
        </m:r>
        <m:r>
          <m:rPr>
            <m:sty m:val="p"/>
          </m:rPr>
          <m:t>,</m:t>
        </m:r>
        <m:r>
          <m:t>03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, clustering por UF). A hipótese</w:t>
      </w:r>
      <w:r>
        <w:t xml:space="preserve"> </w:t>
      </w:r>
      <w:r>
        <w:t xml:space="preserve">de tendências paralelas é</w:t>
      </w:r>
      <w:r>
        <w:t xml:space="preserve"> </w:t>
      </w:r>
      <w:r>
        <w:rPr>
          <w:b/>
          <w:bCs/>
        </w:rPr>
        <w:t xml:space="preserve">rejeitada</w:t>
      </w:r>
      <w:r>
        <w:t xml:space="preserve">: já havia divergência</w:t>
      </w:r>
      <w:r>
        <w:t xml:space="preserve"> </w:t>
      </w:r>
      <w:r>
        <w:t xml:space="preserve">sistemática entre Treated e Control antes de novembro de 2021. Sob</w:t>
      </w:r>
      <w:r>
        <w:t xml:space="preserve"> </w:t>
      </w:r>
      <w:r>
        <w:t xml:space="preserve">o</w:t>
      </w:r>
      <w:r>
        <w:t xml:space="preserve"> </w:t>
      </w:r>
      <w:r>
        <w:rPr>
          <w:i/>
          <w:iCs/>
        </w:rPr>
        <w:t xml:space="preserve">ônus</w:t>
      </w:r>
      <w:r>
        <w:t xml:space="preserve"> </w:t>
      </w:r>
      <w:r>
        <w:t xml:space="preserve">de Roth (2022), parte do efeito estimado pode</w:t>
      </w:r>
      <w:r>
        <w:t xml:space="preserve"> </w:t>
      </w:r>
      <w:r>
        <w:t xml:space="preserve">refletir essa divergência pré-existente.</w:t>
      </w:r>
    </w:p>
    <w:p>
      <w:pPr>
        <w:pStyle w:val="BodyText"/>
        <w:ind w:firstLine="709"/>
      </w:pPr>
      <w:r>
        <w:rPr>
          <w:b/>
          <w:bCs/>
        </w:rPr>
        <w:t xml:space="preserve">Placebo.</w:t>
      </w:r>
      <w:r>
        <w:t xml:space="preserve"> </w:t>
      </w:r>
      <w:r>
        <w:t xml:space="preserve">O DiD com</w:t>
      </w:r>
      <w:r>
        <w:t xml:space="preserve"> </w:t>
      </w:r>
      <w:r>
        <w:rPr>
          <w:i/>
          <w:iCs/>
        </w:rPr>
        <w:t xml:space="preserve">cutoff</w:t>
      </w:r>
      <w:r>
        <w:t xml:space="preserve"> </w:t>
      </w:r>
      <w:r>
        <w:t xml:space="preserve">em 2020 (sem mudança</w:t>
      </w:r>
      <w:r>
        <w:t xml:space="preserve"> </w:t>
      </w:r>
      <w:r>
        <w:t xml:space="preserve">institucional) retorna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=</m:t>
        </m:r>
        <m:r>
          <m:rPr>
            <m:sty m:val="p"/>
          </m:rPr>
          <m:t>−</m:t>
        </m:r>
        <m:r>
          <m:t>11</m:t>
        </m:r>
        <m:r>
          <m:rPr>
            <m:sty m:val="p"/>
          </m:rPr>
          <m:t>,</m:t>
        </m:r>
        <m:r>
          <m:t>72</m:t>
        </m:r>
      </m:oMath>
      <w:r>
        <w:t xml:space="preserve"> </w:t>
      </w:r>
      <w:r>
        <w:t xml:space="preserve">(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004</m:t>
        </m:r>
      </m:oMath>
      <w:r>
        <w:t xml:space="preserve">),</w:t>
      </w:r>
      <w:r>
        <w:t xml:space="preserve"> </w:t>
      </w:r>
      <w:r>
        <w:t xml:space="preserve">sugerindo presença de tendência diferencial não-relacionada a MP</w:t>
      </w:r>
      <w:r>
        <w:t xml:space="preserve"> </w:t>
      </w:r>
      <w:r>
        <w:t xml:space="preserve">1.061/2021.</w:t>
      </w:r>
    </w:p>
    <w:p>
      <w:pPr>
        <w:pStyle w:val="BodyText"/>
        <w:ind w:firstLine="709"/>
      </w:pPr>
      <w:r>
        <w:rPr>
          <w:b/>
          <w:bCs/>
        </w:rPr>
        <w:t xml:space="preserve">Leave-one-out.</w:t>
      </w:r>
      <w:r>
        <w:t xml:space="preserve"> </w:t>
      </w:r>
      <w:r>
        <w:t xml:space="preserve">A retirada sequencial de cada UF resulta</w:t>
      </w:r>
      <w:r>
        <w:t xml:space="preserve"> </w:t>
      </w:r>
      <w:r>
        <w:t xml:space="preserve">em</w:t>
      </w:r>
      <w:r>
        <w:t xml:space="preserve"> 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+</m:t>
            </m:r>
            <m:r>
              <m:t>209</m:t>
            </m:r>
            <m:r>
              <m:rPr>
                <m:sty m:val="p"/>
              </m:rPr>
              <m:t>,</m:t>
            </m:r>
            <m:r>
              <m:t>70</m:t>
            </m:r>
            <m:r>
              <m:rPr>
                <m:sty m:val="p"/>
              </m:rPr>
              <m:t>;</m:t>
            </m:r>
            <m:r>
              <m:t> </m:t>
            </m:r>
            <m:r>
              <m:rPr>
                <m:sty m:val="p"/>
              </m:rPr>
              <m:t>+</m:t>
            </m:r>
            <m:r>
              <m:t>237</m:t>
            </m:r>
            <m:r>
              <m:rPr>
                <m:sty m:val="p"/>
              </m:rPr>
              <m:t>,</m:t>
            </m:r>
            <m:r>
              <m:t>56</m:t>
            </m:r>
          </m:e>
        </m:d>
      </m:oMath>
      <w:r>
        <w:t xml:space="preserve"> </w:t>
      </w:r>
      <w:r>
        <w:t xml:space="preserve">(média</w:t>
      </w:r>
      <w:r>
        <w:t xml:space="preserve"> </w:t>
      </w:r>
      <m:oMath>
        <m:r>
          <m:rPr>
            <m:sty m:val="p"/>
          </m:rPr>
          <m:t>+</m:t>
        </m:r>
        <m:r>
          <m:t>223</m:t>
        </m:r>
        <m:r>
          <m:rPr>
            <m:sty m:val="p"/>
          </m:rPr>
          <m:t>,</m:t>
        </m:r>
        <m:r>
          <m:t>75</m:t>
        </m:r>
      </m:oMath>
      <w:r>
        <w:t xml:space="preserve">, dp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47</m:t>
        </m:r>
      </m:oMath>
      <w:r>
        <w:t xml:space="preserve">),</w:t>
      </w:r>
      <w:r>
        <w:t xml:space="preserve"> </w:t>
      </w:r>
      <w:r>
        <w:t xml:space="preserve">indicando estabilidade ao subconjunto amostral.</w:t>
      </w:r>
    </w:p>
    <w:p>
      <w:pPr>
        <w:pStyle w:val="BodyText"/>
        <w:ind w:firstLine="709"/>
      </w:pPr>
      <w:r>
        <w:rPr>
          <w:b/>
          <w:bCs/>
        </w:rPr>
        <w:t xml:space="preserve">Interpretação.</w:t>
      </w:r>
      <w:r>
        <w:t xml:space="preserve"> </w:t>
      </w:r>
      <w:r>
        <w:t xml:space="preserve">Os pontos (i) WCB</w:t>
      </w:r>
      <w:r>
        <w:t xml:space="preserve"> </w:t>
      </w:r>
      <m:oMath>
        <m:r>
          <m:t>p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 </w:t>
      </w:r>
      <w:r>
        <w:t xml:space="preserve">e (ii)</w:t>
      </w:r>
      <w:r>
        <w:t xml:space="preserve"> </w:t>
      </w:r>
      <w:r>
        <w:t xml:space="preserve">parallel-trends rejeitado são</w:t>
      </w:r>
      <w:r>
        <w:t xml:space="preserve"> </w:t>
      </w:r>
      <w:r>
        <w:rPr>
          <w:i/>
          <w:iCs/>
        </w:rPr>
        <w:t xml:space="preserve">red flags</w:t>
      </w:r>
      <w:r>
        <w:t xml:space="preserve"> </w:t>
      </w:r>
      <w:r>
        <w:t xml:space="preserve">identificacionais.</w:t>
      </w:r>
      <w:r>
        <w:t xml:space="preserve"> </w:t>
      </w:r>
      <w:r>
        <w:t xml:space="preserve">A magnitude do salto descritivo é incontroversa; a atribuição</w:t>
      </w:r>
      <w:r>
        <w:t xml:space="preserve"> </w:t>
      </w:r>
      <w:r>
        <w:rPr>
          <w:i/>
          <w:iCs/>
        </w:rPr>
        <w:t xml:space="preserve">causal</w:t>
      </w:r>
      <w:r>
        <w:t xml:space="preserve"> </w:t>
      </w:r>
      <w:r>
        <w:t xml:space="preserve">da diferença a MP 1.061/2021</w:t>
      </w:r>
      <w:r>
        <w:t xml:space="preserve"> </w:t>
      </w:r>
      <w:r>
        <w:rPr>
          <w:b/>
          <w:bCs/>
        </w:rPr>
        <w:t xml:space="preserve">não é sustentada</w:t>
      </w:r>
      <w:r>
        <w:rPr>
          <w:b/>
          <w:bCs/>
        </w:rPr>
        <w:t xml:space="preserve"> </w:t>
      </w:r>
      <w:r>
        <w:rPr>
          <w:b/>
          <w:bCs/>
        </w:rPr>
        <w:t xml:space="preserve">pela métrica robusta apropriada para N=27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clusters</w:t>
      </w:r>
      <w:r>
        <w:t xml:space="preserve">. O</w:t>
      </w:r>
      <w:r>
        <w:t xml:space="preserve"> </w:t>
      </w:r>
      <w:r>
        <w:t xml:space="preserve">desenho aqui apresentado é o melhor possível com os dados</w:t>
      </w:r>
      <w:r>
        <w:t xml:space="preserve"> </w:t>
      </w:r>
      <w:r>
        <w:t xml:space="preserve">disponíveis em frequência anual e cobertura por UF — a</w:t>
      </w:r>
      <w:r>
        <w:t xml:space="preserve"> </w:t>
      </w:r>
      <w:r>
        <w:t xml:space="preserve">identificação rigorosa do efeito requer microdados mensais por</w:t>
      </w:r>
      <w:r>
        <w:t xml:space="preserve"> </w:t>
      </w:r>
      <w:r>
        <w:t xml:space="preserve">município com Cadastro Único, que não estão publicamente disponíveis</w:t>
      </w:r>
      <w:r>
        <w:t xml:space="preserve"> </w:t>
      </w:r>
      <w:r>
        <w:t xml:space="preserve">em série completa.</w:t>
      </w:r>
    </w:p>
    <w:bookmarkEnd w:id="89"/>
    <w:bookmarkEnd w:id="90"/>
    <w:bookmarkStart w:id="99" w:name="análise-formal-de-equidade"/>
    <w:p>
      <w:pPr>
        <w:pStyle w:val="Heading1"/>
      </w:pPr>
      <w:r>
        <w:t xml:space="preserve">Análise formal de equidade</w:t>
      </w:r>
    </w:p>
    <w:bookmarkStart w:id="94" w:name="X9d997a9dbc608279f75c2473e8f1b9f4da257f2"/>
    <w:p>
      <w:pPr>
        <w:pStyle w:val="Heading2"/>
      </w:pPr>
      <w:r>
        <w:t xml:space="preserve">Índice de Kakwani sobre PBF e emendas, 2018–2024</w:t>
      </w:r>
    </w:p>
    <w:p>
      <w:pPr>
        <w:pStyle w:val="FirstParagraph"/>
        <w:ind w:firstLine="709"/>
      </w:pPr>
      <w:r>
        <w:t xml:space="preserve">A Tabela 6 apresenta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t>z</m:t>
            </m:r>
          </m:sub>
        </m:sSub>
      </m:oMath>
      <w:r>
        <w:t xml:space="preserve"> </w:t>
      </w:r>
      <w:r>
        <w:t xml:space="preserve">para PBF</w:t>
      </w:r>
      <w:r>
        <w:t xml:space="preserve"> </w:t>
      </w:r>
      <w:r>
        <w:t xml:space="preserve">per capita ordenado por IDH-M e para emendas per capita no mesmo</w:t>
      </w:r>
      <w:r>
        <w:t xml:space="preserve"> </w:t>
      </w:r>
      <w:r>
        <w:rPr>
          <w:i/>
          <w:iCs/>
        </w:rPr>
        <w:t xml:space="preserve">ranking</w:t>
      </w:r>
      <w:r>
        <w:t xml:space="preserve">, em quatro exercícios. Os intervalos de confiança</w:t>
      </w:r>
      <w:r>
        <w:t xml:space="preserve"> </w:t>
      </w:r>
      <w:r>
        <w:rPr>
          <w:i/>
          <w:iCs/>
        </w:rPr>
        <w:t xml:space="preserve">bootstrap</w:t>
      </w:r>
      <w:r>
        <w:t xml:space="preserve"> </w:t>
      </w:r>
      <w:r>
        <w:t xml:space="preserve">(1000 réplicas) acompanham cada estimativa.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6 — Kakwani</w:t>
      </w:r>
      <w:r>
        <w:rPr>
          <w:rFonts w:ascii="Times New Roman" w:hAnsi="Times New Roman" w:cs="Times New Roman"/>
          <w:i/>
          <w:sz w:val="20"/>
        </w:rPr>
        <w:t xml:space="preserve"> </w:t>
      </w:r>
      <m:oMath>
        <m:r>
          <m:t>K</m:t>
        </m:r>
        <m:r>
          <m:rPr>
            <m:sty m:val="p"/>
          </m:rPr>
          <m:t>=</m:t>
        </m:r>
        <m:sSub>
          <m:e>
            <m:r>
              <m:t>C</m:t>
            </m:r>
          </m:e>
          <m:sub>
            <m:r>
              <m:t>y</m:t>
            </m:r>
          </m:sub>
        </m:sSub>
        <m:r>
          <m:rPr>
            <m:sty m:val="p"/>
          </m:rPr>
          <m:t>−</m:t>
        </m:r>
        <m:sSub>
          <m:e>
            <m:r>
              <m:t>G</m:t>
            </m:r>
          </m:e>
          <m:sub>
            <m:r>
              <m:rPr>
                <m:sty m:val="p"/>
              </m:rPr>
              <m:t>I</m:t>
            </m:r>
            <m:r>
              <m:rPr>
                <m:sty m:val="p"/>
              </m:rPr>
              <m:t>D</m:t>
            </m:r>
            <m:r>
              <m:rPr>
                <m:sty m:val="p"/>
              </m:rPr>
              <m:t>H</m:t>
            </m:r>
            <m:r>
              <m:rPr>
                <m:sty m:val="p"/>
              </m:rPr>
              <m:t>M</m:t>
            </m:r>
          </m:sub>
        </m:sSub>
      </m:oMath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— PBF e emendas, com IC 95 % bootstrap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6 — Kakwani K = C_y - G_{\mathrm{IDHM}} — PBF e emendas, com IC 95 % bootstrap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Programa/Regime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K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IC inf.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IC sup.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Sinal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clássico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3340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3942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2474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PBF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3238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3810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2395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Auxílio Brasil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2749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3229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2045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Novo Bolsa Família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2582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3039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1898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pré-AB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1734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3096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0263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2022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1312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2207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0246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  <w:tr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Emendas 2024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1548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2701</m:t>
              </m:r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0251</m:t>
              </m:r>
            </m:oMath>
          </w:p>
        </w:tc>
        <w:tc>
          <w:tcPr/>
          <w:p>
            <w:pPr>
              <w:pStyle w:val="Compact"/>
              <w:jc w:val="right"/>
            </w:pPr>
            <w:r>
              <w:t xml:space="preserve">progressivo (fraco)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equity_indices_pbf.py</w:t>
      </w:r>
      <w:r>
        <w:rPr>
          <w:rFonts w:ascii="Times New Roman" w:hAnsi="Times New Roman" w:cs="Times New Roman"/>
          <w:i/>
          <w:sz w:val="20"/>
        </w:rPr>
        <w:t xml:space="preserve">. UFs ordenadas por IDH-M (PNUD/Atlas Brasil 2010) crescente. Bootstrap 1000 réplicas.</w:t>
      </w:r>
    </w:p>
    <w:p>
      <w:pPr>
        <w:pStyle w:val="BodyText"/>
        <w:ind w:firstLine="709"/>
      </w:pPr>
      <w:r>
        <w:t xml:space="preserve">Dois resultados distintos da literatura descritiva pré-existente:</w:t>
      </w:r>
      <w:r>
        <w:t xml:space="preserve"> </w:t>
      </w:r>
      <w:r>
        <w:t xml:space="preserve">(i) PBF/NBF é consistentemente mais progressivo que emendas</w:t>
      </w:r>
      <w:r>
        <w:t xml:space="preserve"> </w:t>
      </w:r>
      <w:r>
        <w:t xml:space="preserve">— a magnitude é cardinal, não apenas comparativa de CVs;</w:t>
      </w:r>
      <w:r>
        <w:t xml:space="preserve"> </w:t>
      </w:r>
      <w:r>
        <w:t xml:space="preserve">(ii)</w:t>
      </w:r>
      <w:r>
        <w:t xml:space="preserve"> </w:t>
      </w:r>
      <w:r>
        <w:rPr>
          <w:b/>
          <w:bCs/>
        </w:rPr>
        <w:t xml:space="preserve">a progressividade do programa caiu monotonicamente</w:t>
      </w:r>
      <w:r>
        <w:rPr>
          <w:b/>
          <w:bCs/>
        </w:rPr>
        <w:t xml:space="preserve"> </w:t>
      </w:r>
      <w:r>
        <w:rPr>
          <w:b/>
          <w:bCs/>
        </w:rPr>
        <w:t xml:space="preserve">entre 2018 e 2024</w:t>
      </w:r>
      <w:r>
        <w:t xml:space="preserve"> </w:t>
      </w:r>
      <w:r>
        <w:t xml:space="preserve">(</w:t>
      </w:r>
      <m:oMath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334</m:t>
        </m:r>
        <m:r>
          <m:rPr>
            <m:sty m:val="p"/>
          </m:rPr>
          <m:t>→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258</m:t>
        </m:r>
      </m:oMath>
      <w:r>
        <w:t xml:space="preserve">), sugerindo que a expansão</w:t>
      </w:r>
      <w:r>
        <w:t xml:space="preserve"> </w:t>
      </w:r>
      <w:r>
        <w:t xml:space="preserve">de cobertura via Auxílio Brasil e NBF incorporou famílias em UFs</w:t>
      </w:r>
      <w:r>
        <w:t xml:space="preserve"> </w:t>
      </w:r>
      <w:r>
        <w:t xml:space="preserve">de IDH-M mais alto na proporção, atenuando o gradiente</w:t>
      </w:r>
      <w:r>
        <w:t xml:space="preserve"> </w:t>
      </w:r>
      <w:r>
        <w:t xml:space="preserve">progressivo. O programa ficou mais grande mas, por essa métrica,</w:t>
      </w:r>
      <w:r>
        <w:t xml:space="preserve"> </w:t>
      </w:r>
      <w:r>
        <w:t xml:space="preserve">ligeiramente menos focado nos estados com pior IDH-M.</w:t>
      </w:r>
    </w:p>
    <w:p>
      <w:pPr>
        <w:pStyle w:val="BodyText"/>
        <w:ind w:firstLine="709"/>
      </w:pPr>
      <w:r>
        <w:t xml:space="preserve">A Figura 15 apresenta as curvas de concentração de</w:t>
      </w:r>
      <w:r>
        <w:t xml:space="preserve"> </w:t>
      </w:r>
      <w:r>
        <w:t xml:space="preserve">PBF/NBF (2024) e emendas (2024) sobre as UFs ordenadas por IDH-M.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15 — Curvas de concentração: PBF/NBF (2024) vs Emendas Parlamentares (2024), UFs ordenadas por IDH-M crescente</w:t>
      </w:r>
    </w:p>
    <w:p>
      <w:pPr>
        <w:pStyle w:val="BodyText"/>
        <w:jc w:val="center"/>
      </w:pPr>
      <w:r>
        <w:drawing>
          <wp:inline>
            <wp:extent cx="5400000" cy="2913465"/>
            <wp:effectExtent b="0" l="0" r="0" t="0"/>
            <wp:docPr descr="image" title="" id="92" name="Picture"/>
            <a:graphic>
              <a:graphicData uri="http://schemas.openxmlformats.org/drawingml/2006/picture">
                <pic:pic>
                  <pic:nvPicPr>
                    <pic:cNvPr descr="figures-pbf/fig15-kakwani-curve.png" id="93" name="Picture"/>
                    <pic:cNvPicPr>
                      <a:picLocks noChangeArrowheads="1" noChangeAspect="1"/>
                    </pic:cNvPicPr>
                  </pic:nvPicPr>
                  <pic:blipFill>
                    <a:blip r:embed="rId9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2913465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bookmarkEnd w:id="94"/>
    <w:bookmarkStart w:id="98" w:name="X249df5432f7f942e4a1722a7fd425b50fdb4faf"/>
    <w:p>
      <w:pPr>
        <w:pStyle w:val="Heading2"/>
      </w:pPr>
      <w:r>
        <w:t xml:space="preserve">Índice de necessidade — adequação à intensidade da pobreza local</w:t>
      </w:r>
    </w:p>
    <w:p>
      <w:pPr>
        <w:pStyle w:val="FirstParagraph"/>
        <w:ind w:firstLine="709"/>
      </w:pPr>
      <w:r>
        <w:t xml:space="preserve">A Figura 16 apresenta a razão</w:t>
      </w:r>
      <w:r>
        <w:t xml:space="preserve"> </w:t>
      </w:r>
      <m:oMath>
        <m:sSub>
          <m:e>
            <m:r>
              <m:t>R</m:t>
            </m:r>
          </m:e>
          <m:sub>
            <m:r>
              <m:t>u</m:t>
            </m:r>
          </m:sub>
        </m:sSub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  <m:r>
              <m:rPr>
                <m:sty m:val="p"/>
              </m:rPr>
              <m:t>,</m:t>
            </m:r>
            <m:r>
              <m:t>u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  <m:r>
              <m:rPr>
                <m:sty m:val="p"/>
              </m:rPr>
              <m:t>,</m:t>
            </m:r>
            <m:r>
              <m:t>u</m:t>
            </m:r>
          </m:sub>
        </m:sSub>
      </m:oMath>
      <w:r>
        <w:t xml:space="preserve"> </w:t>
      </w:r>
      <w:r>
        <w:t xml:space="preserve">em 2024, ordenada do menor ao maior. UFs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recebem</w:t>
      </w:r>
      <w:r>
        <w:t xml:space="preserve"> </w:t>
      </w:r>
      <w:r>
        <w:t xml:space="preserve">proporcionalmente mais que sua</w:t>
      </w:r>
      <w:r>
        <w:t xml:space="preserve"> </w:t>
      </w:r>
      <w:r>
        <w:rPr>
          <w:i/>
          <w:iCs/>
        </w:rPr>
        <w:t xml:space="preserve">fatia de necessidade</w:t>
      </w:r>
      <w:r>
        <w:t xml:space="preserve"> </w:t>
      </w:r>
      <w:r>
        <w:t xml:space="preserve">(definida como pobreza </w:t>
      </w:r>
      <m:oMath>
        <m:r>
          <m:rPr>
            <m:sty m:val="p"/>
          </m:rPr>
          <m:t>×</m:t>
        </m:r>
      </m:oMath>
      <w:r>
        <w:t xml:space="preserve"> população); UFs com</w:t>
      </w:r>
      <w:r>
        <w:t xml:space="preserve"> 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 </w:t>
      </w:r>
      <w:r>
        <w:t xml:space="preserve">estão</w:t>
      </w:r>
      <w:r>
        <w:t xml:space="preserve"> </w:t>
      </w:r>
      <w:r>
        <w:t xml:space="preserve">sub-cobertas em relação à intensidade da pobreza local.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16 — Razão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R</m:t>
        </m:r>
        <m:r>
          <m:rPr>
            <m:sty m:val="p"/>
          </m:rPr>
          <m:t>=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p"/>
              </m:rPr>
              <m:t>P</m:t>
            </m:r>
            <m:r>
              <m:rPr>
                <m:sty m:val="p"/>
              </m:rPr>
              <m:t>B</m:t>
            </m:r>
            <m:r>
              <m:rPr>
                <m:sty m:val="p"/>
              </m:rPr>
              <m:t>F</m:t>
            </m:r>
          </m:sub>
        </m:sSub>
        <m:r>
          <m:rPr>
            <m:sty m:val="p"/>
          </m:rPr>
          <m:t>/</m:t>
        </m:r>
        <m:sSub>
          <m:e>
            <m:r>
              <m:rPr>
                <m:sty m:val="i"/>
              </m:rPr>
              <m:t>s</m:t>
            </m:r>
            <m:r>
              <m:rPr>
                <m:sty m:val="i"/>
              </m:rPr>
              <m:t>h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</m:e>
          <m:sub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s</m:t>
            </m:r>
            <m:r>
              <m:rPr>
                <m:sty m:val="i"/>
              </m:rPr>
              <m:t>i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d</m:t>
            </m:r>
            <m:r>
              <m:rPr>
                <m:sty m:val="i"/>
              </m:rPr>
              <m:t>e</m:t>
            </m:r>
          </m:sub>
        </m:sSub>
      </m:oMath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por UF, 2024. Linha tracejada em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m:oMath>
        <m:r>
          <m:t>R</m:t>
        </m:r>
        <m:r>
          <m:rPr>
            <m:sty m:val="p"/>
          </m:rPr>
          <m:t>=</m:t>
        </m:r>
        <m:r>
          <m:t>1</m:t>
        </m:r>
      </m:oMath>
    </w:p>
    <w:p>
      <w:pPr>
        <w:pStyle w:val="BodyText"/>
        <w:jc w:val="center"/>
      </w:pPr>
      <w:r>
        <w:drawing>
          <wp:inline>
            <wp:extent cx="5400000" cy="3484051"/>
            <wp:effectExtent b="0" l="0" r="0" t="0"/>
            <wp:docPr descr="image" title="" id="96" name="Picture"/>
            <a:graphic>
              <a:graphicData uri="http://schemas.openxmlformats.org/drawingml/2006/picture">
                <pic:pic>
                  <pic:nvPicPr>
                    <pic:cNvPr descr="figures-pbf/fig16-need-vs-coverage.png" id="97" name="Picture"/>
                    <pic:cNvPicPr>
                      <a:picLocks noChangeArrowheads="1" noChangeAspect="1"/>
                    </pic:cNvPicPr>
                  </pic:nvPicPr>
                  <pic:blipFill>
                    <a:blip r:embed="rId9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48405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 microdados CGU + PNAD-C 2019.</w:t>
      </w:r>
    </w:p>
    <w:p>
      <w:pPr>
        <w:pStyle w:val="BodyText"/>
        <w:ind w:firstLine="709"/>
      </w:pPr>
      <w:r>
        <w:t xml:space="preserve">Resultado contraintuitivo distinto da análise per capita simples:</w:t>
      </w:r>
      <w:r>
        <w:t xml:space="preserve"> </w:t>
      </w:r>
      <w:r>
        <w:rPr>
          <w:b/>
          <w:bCs/>
        </w:rPr>
        <w:t xml:space="preserve">UFs aparentemente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campeãs</w:t>
      </w:r>
      <w:r>
        <w:rPr>
          <w:b/>
          <w:bCs/>
        </w:rPr>
        <w:t xml:space="preserve"> </w:t>
      </w:r>
      <w:r>
        <w:rPr>
          <w:b/>
          <w:bCs/>
        </w:rPr>
        <w:t xml:space="preserve">em per capita (Maranhão,</w:t>
      </w:r>
      <w:r>
        <w:rPr>
          <w:b/>
          <w:bCs/>
        </w:rPr>
        <w:t xml:space="preserve"> </w:t>
      </w:r>
      <w:r>
        <w:rPr>
          <w:b/>
          <w:bCs/>
        </w:rPr>
        <w:t xml:space="preserve">Roraima, Rondônia) estão de fato sub-atendidas em relação à</w:t>
      </w:r>
      <w:r>
        <w:rPr>
          <w:b/>
          <w:bCs/>
        </w:rPr>
        <w:t xml:space="preserve"> </w:t>
      </w:r>
      <w:r>
        <w:rPr>
          <w:b/>
          <w:bCs/>
        </w:rPr>
        <w:t xml:space="preserve">intensidade da pobreza local</w:t>
      </w:r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89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80</m:t>
        </m:r>
        <m:r>
          <m:rPr>
            <m:sty m:val="p"/>
          </m:rPr>
          <m:t>;</m:t>
        </m:r>
        <m:r>
          <m:t>0</m:t>
        </m:r>
        <m:r>
          <m:rPr>
            <m:sty m:val="p"/>
          </m:rPr>
          <m:t>,</m:t>
        </m:r>
        <m:r>
          <m:t>84</m:t>
        </m:r>
      </m:oMath>
      <w:r>
        <w:t xml:space="preserve">). Isso</w:t>
      </w:r>
      <w:r>
        <w:t xml:space="preserve"> </w:t>
      </w:r>
      <w:r>
        <w:t xml:space="preserve">ocorre porque a</w:t>
      </w:r>
      <w:r>
        <w:t xml:space="preserve"> </w:t>
      </w:r>
      <w:r>
        <w:rPr>
          <w:i/>
          <w:iCs/>
        </w:rPr>
        <w:t xml:space="preserve">intensidade</w:t>
      </w:r>
      <w:r>
        <w:t xml:space="preserve"> </w:t>
      </w:r>
      <w:r>
        <w:t xml:space="preserve">da pobreza nessas UFs é tão</w:t>
      </w:r>
      <w:r>
        <w:t xml:space="preserve"> </w:t>
      </w:r>
      <w:r>
        <w:t xml:space="preserve">elevada que mesmo o per capita líder não compensa o número de</w:t>
      </w:r>
      <w:r>
        <w:t xml:space="preserve"> </w:t>
      </w:r>
      <w:r>
        <w:t xml:space="preserve">famílias em situação de pobreza monetária. UFs ricas como Distrito</w:t>
      </w:r>
      <w:r>
        <w:t xml:space="preserve"> </w:t>
      </w:r>
      <w:r>
        <w:t xml:space="preserve">Federal, Rio de Janeiro e Rio Grande do Sul aparecem com</w:t>
      </w:r>
      <w:r>
        <w:t xml:space="preserve"> </w:t>
      </w:r>
      <m:oMath>
        <m:r>
          <m:t>R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— a pobreza nelas é menor em proporção, e a presença de</w:t>
      </w:r>
      <w:r>
        <w:t xml:space="preserve"> </w:t>
      </w:r>
      <w:r>
        <w:t xml:space="preserve">estruturas urbanas e de Cadastro Único mais consolidadas favorecem</w:t>
      </w:r>
      <w:r>
        <w:t xml:space="preserve"> </w:t>
      </w:r>
      <w:r>
        <w:t xml:space="preserve">sobre-cobertura relativa.</w:t>
      </w:r>
    </w:p>
    <w:bookmarkEnd w:id="98"/>
    <w:bookmarkEnd w:id="99"/>
    <w:bookmarkStart w:id="103" w:name="benchmark-internacional-1"/>
    <w:p>
      <w:pPr>
        <w:pStyle w:val="Heading1"/>
      </w:pPr>
      <w:r>
        <w:t xml:space="preserve">Benchmark internacional</w:t>
      </w:r>
    </w:p>
    <w:p>
      <w:pPr>
        <w:pStyle w:val="FirstParagraph"/>
        <w:ind w:firstLine="709"/>
      </w:pPr>
      <w:r>
        <w:t xml:space="preserve">A Tabela 7 apresenta o NBF brasileiro lado a lado</w:t>
      </w:r>
      <w:r>
        <w:t xml:space="preserve"> </w:t>
      </w:r>
      <w:r>
        <w:t xml:space="preserve">com quatro CCTs latino-americanos. A Figura 17</w:t>
      </w:r>
      <w:r>
        <w:t xml:space="preserve"> </w:t>
      </w:r>
      <w:r>
        <w:t xml:space="preserve">visualiza simultaneamente cobertura, custo (% PIB) e per</w:t>
      </w:r>
      <w:r>
        <w:t xml:space="preserve"> </w:t>
      </w:r>
      <w:r>
        <w:t xml:space="preserve">beneficiário em US$ PPP 2021.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7 — CCTs na América Latina: cobertura, custo e per beneficiário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7 — CCTs na América Latina: cobertura, custo e per beneficiário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País / Programa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Ano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Cobert. (% pop)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Custo (% PIB)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Per benef. (US$ PPP/ano)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Famílias (mi)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Brasil / NBF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2024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33,1 %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1,10 %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2.179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23,18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Argentina / AUH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9,5 %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0,55 %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1.380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2,20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México / Prospera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2018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27,0 %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0,30 %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720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6,50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Colômbia / MFA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14,5 %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0,40 %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1.100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2,60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Bolívia / Renta Dignidad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2023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11,2 %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1,20 %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1.670</w:t>
            </w:r>
          </w:p>
        </w:tc>
        <w:tc>
          <w:tcPr/>
          <w:p>
            <w:pPr>
              <w:pStyle w:val="Compact"/>
              <w:jc w:val="right"/>
            </w:pPr>
            <w:r>
              <w:t xml:space="preserve">1,40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Fontes: World Bank ASPIRE database (World Bank, 2024a), CEPAL Panorama Social 2024 (CEPAL, 2024), MDS/CGU (Brasil), ANSES (Argentina), SEDESOL (México), DPS (Colômbia), MEFP (Bolívia). PPP 2021 da ICP do World Bank (World Bank, 2024b).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17 — Comparativo CCT — Brasil vs Argentina, México, Colômbia e Bolívia: cobertura, custo (%PIB) e per beneficiário US$ PPP 2021</w:t>
      </w:r>
    </w:p>
    <w:p>
      <w:pPr>
        <w:pStyle w:val="BodyText"/>
        <w:jc w:val="center"/>
      </w:pPr>
      <w:r>
        <w:drawing>
          <wp:inline>
            <wp:extent cx="5400000" cy="1499471"/>
            <wp:effectExtent b="0" l="0" r="0" t="0"/>
            <wp:docPr descr="image" title="" id="101" name="Picture"/>
            <a:graphic>
              <a:graphicData uri="http://schemas.openxmlformats.org/drawingml/2006/picture">
                <pic:pic>
                  <pic:nvPicPr>
                    <pic:cNvPr descr="figures-pbf/fig17-cct-international.png" id="102" name="Picture"/>
                    <pic:cNvPicPr>
                      <a:picLocks noChangeArrowheads="1" noChangeAspect="1"/>
                    </pic:cNvPicPr>
                  </pic:nvPicPr>
                  <pic:blipFill>
                    <a:blip r:embed="rId10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149947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própria.</w:t>
      </w:r>
    </w:p>
    <w:p>
      <w:pPr>
        <w:pStyle w:val="BodyText"/>
        <w:ind w:firstLine="709"/>
      </w:pPr>
      <w:r>
        <w:t xml:space="preserve">Quatro observações comparativas.</w:t>
      </w:r>
      <w:r>
        <w:t xml:space="preserve"> </w:t>
      </w:r>
      <w:r>
        <w:rPr>
          <w:b/>
          <w:bCs/>
        </w:rPr>
        <w:t xml:space="preserve">(i) Cobertura.</w:t>
      </w:r>
      <w:r>
        <w:t xml:space="preserve"> </w:t>
      </w:r>
      <w:r>
        <w:t xml:space="preserve">O NBF</w:t>
      </w:r>
      <w:r>
        <w:t xml:space="preserve"> </w:t>
      </w:r>
      <w:r>
        <w:t xml:space="preserve">brasileiro a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 33 % da população está em patamar superior à</w:t>
      </w:r>
      <w:r>
        <w:t xml:space="preserve"> </w:t>
      </w:r>
      <w:r>
        <w:t xml:space="preserve">maioria dos CCTs latino-americanos, apenas comparável ao pico do</w:t>
      </w:r>
      <w:r>
        <w:t xml:space="preserve"> </w:t>
      </w:r>
      <w:r>
        <w:t xml:space="preserve">Prospera mexicano em sua fase pré-extinção (2018).</w:t>
      </w:r>
      <w:r>
        <w:t xml:space="preserve"> </w:t>
      </w:r>
      <w:r>
        <w:rPr>
          <w:b/>
          <w:bCs/>
        </w:rPr>
        <w:t xml:space="preserve">(ii)</w:t>
      </w:r>
      <w:r>
        <w:rPr>
          <w:b/>
          <w:bCs/>
        </w:rPr>
        <w:t xml:space="preserve"> </w:t>
      </w:r>
      <w:r>
        <w:rPr>
          <w:b/>
          <w:bCs/>
        </w:rPr>
        <w:t xml:space="preserve">Custo (%PIB).</w:t>
      </w:r>
      <w:r>
        <w:t xml:space="preserve"> </w:t>
      </w:r>
      <w:r>
        <w:t xml:space="preserve">Brasil em 1,10 % é elevado para o padrão regional</w:t>
      </w:r>
      <w:r>
        <w:t xml:space="preserve"> </w:t>
      </w:r>
      <w:r>
        <w:t xml:space="preserve">(Argentina 0,55 %, México 0,30 %, Colômbia 0,40 %) —</w:t>
      </w:r>
      <w:r>
        <w:t xml:space="preserve"> </w:t>
      </w:r>
      <w:r>
        <w:t xml:space="preserve">superado apenas pela Bolívia (1,20 %, mas universal por idade,</w:t>
      </w:r>
      <w:r>
        <w:t xml:space="preserve"> </w:t>
      </w:r>
      <w:r>
        <w:t xml:space="preserve">não focalizado por renda).</w:t>
      </w:r>
      <w:r>
        <w:t xml:space="preserve"> </w:t>
      </w:r>
      <w:r>
        <w:rPr>
          <w:b/>
          <w:bCs/>
        </w:rPr>
        <w:t xml:space="preserve">(iii) Per beneficiário.</w:t>
      </w:r>
      <w:r>
        <w:t xml:space="preserve"> </w:t>
      </w:r>
      <w:r>
        <w:t xml:space="preserve">O NBF</w:t>
      </w:r>
      <w:r>
        <w:t xml:space="preserve"> </w:t>
      </w:r>
      <w:r>
        <w:t xml:space="preserve">entrega US$ PPP 2.179/família/ano,</w:t>
      </w:r>
      <w:r>
        <w:t xml:space="preserve"> </w:t>
      </w:r>
      <w:r>
        <w:rPr>
          <w:b/>
          <w:bCs/>
        </w:rPr>
        <w:t xml:space="preserve">o maior valor da</w:t>
      </w:r>
      <w:r>
        <w:rPr>
          <w:b/>
          <w:bCs/>
        </w:rPr>
        <w:t xml:space="preserve"> </w:t>
      </w:r>
      <w:r>
        <w:rPr>
          <w:b/>
          <w:bCs/>
        </w:rPr>
        <w:t xml:space="preserve">região</w:t>
      </w:r>
      <w:r>
        <w:t xml:space="preserve"> </w:t>
      </w:r>
      <w:r>
        <w:t xml:space="preserve">—</w:t>
      </w:r>
      <w:r>
        <w:t xml:space="preserve"> </w:t>
      </w:r>
      <m:oMath>
        <m:r>
          <m:rPr>
            <m:sty m:val="p"/>
          </m:rPr>
          <m:t>∼</m:t>
        </m:r>
      </m:oMath>
      <w:r>
        <w:t xml:space="preserve"> 58 % acima da Argentina, três vezes</w:t>
      </w:r>
      <w:r>
        <w:t xml:space="preserve"> </w:t>
      </w:r>
      <w:r>
        <w:t xml:space="preserve">o México e duas vezes a Colômbia.</w:t>
      </w:r>
      <w:r>
        <w:t xml:space="preserve"> </w:t>
      </w:r>
      <w:r>
        <w:rPr>
          <w:b/>
          <w:bCs/>
        </w:rPr>
        <w:t xml:space="preserve">(iv) Custo</w:t>
      </w:r>
      <w:r>
        <w:rPr>
          <w:b/>
          <w:bCs/>
        </w:rPr>
        <w:t xml:space="preserve"> </w:t>
      </w:r>
      <w:r>
        <w:rPr>
          <w:b/>
          <w:bCs/>
        </w:rPr>
        <w:t xml:space="preserve">administrativo.</w:t>
      </w:r>
      <w:r>
        <w:t xml:space="preserve"> </w:t>
      </w:r>
      <w:r>
        <w:t xml:space="preserve">Brasil reporta o menor custo administrativo</w:t>
      </w:r>
      <w:r>
        <w:t xml:space="preserve"> </w:t>
      </w:r>
      <w:r>
        <w:t xml:space="preserve">declarado (</w:t>
      </w:r>
      <m:oMath>
        <m:r>
          <m:rPr>
            <m:sty m:val="p"/>
          </m:rPr>
          <m:t>∼</m:t>
        </m:r>
      </m:oMath>
      <w:r>
        <w:t xml:space="preserve"> 1,5 %), reflexo da operação bancária</w:t>
      </w:r>
      <w:r>
        <w:t xml:space="preserve"> </w:t>
      </w:r>
      <w:r>
        <w:t xml:space="preserve">centralizada na CEF e do CadÚnico amortizado.</w:t>
      </w:r>
    </w:p>
    <w:bookmarkEnd w:id="103"/>
    <w:bookmarkStart w:id="118" w:name="Xaebc0c56e2ef43d41ccef62104a063d46de059d"/>
    <w:p>
      <w:pPr>
        <w:pStyle w:val="Heading1"/>
      </w:pPr>
      <w:r>
        <w:t xml:space="preserve">Aprendizado de máquina: 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de pobreza e desenvolvimento</w:t>
      </w:r>
    </w:p>
    <w:p>
      <w:pPr>
        <w:pStyle w:val="FirstParagraph"/>
        <w:ind w:firstLine="709"/>
      </w:pPr>
      <w:r>
        <w:t xml:space="preserve">Uma literatura consolidada emprega a cobertura do Bolsa Família como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territorial de pobreza e de nível de desenvolvimento</w:t>
      </w:r>
      <w:r>
        <w:t xml:space="preserve"> </w:t>
      </w:r>
      <w:r>
        <w:t xml:space="preserve">local, sobretudo onde indicadores diretos e atualizados são escassos na</w:t>
      </w:r>
      <w:r>
        <w:t xml:space="preserve"> </w:t>
      </w:r>
      <w:r>
        <w:t xml:space="preserve">granularidade desejada (Rasella et al., 2013; Hoffmann, 2006; Rocha, 2008). Estudos epidemiológicos e econômicos usam a penetração</w:t>
      </w:r>
      <w:r>
        <w:t xml:space="preserve"> </w:t>
      </w:r>
      <w:r>
        <w:t xml:space="preserve">do programa como variável de exposição associada a desfechos sociais</w:t>
      </w:r>
      <w:r>
        <w:t xml:space="preserve"> </w:t>
      </w:r>
      <w:r>
        <w:t xml:space="preserve">(p. ex. mortalidade infantil ao nível municipal) (Rasella et al., 2013).</w:t>
      </w:r>
      <w:r>
        <w:t xml:space="preserve"> </w:t>
      </w:r>
      <w:r>
        <w:t xml:space="preserve">Esta seção testa</w:t>
      </w:r>
      <w:r>
        <w:t xml:space="preserve"> </w:t>
      </w:r>
      <w:r>
        <w:rPr>
          <w:b/>
          <w:bCs/>
        </w:rPr>
        <w:t xml:space="preserve">explicitamente</w:t>
      </w:r>
      <w:r>
        <w:t xml:space="preserve">, com aprendizado de máquina, em</w:t>
      </w:r>
      <w:r>
        <w:t xml:space="preserve"> </w:t>
      </w:r>
      <w:r>
        <w:t xml:space="preserve">que medida indicadores</w:t>
      </w:r>
      <w:r>
        <w:t xml:space="preserve"> </w:t>
      </w:r>
      <w:r>
        <w:rPr>
          <w:i/>
          <w:iCs/>
        </w:rPr>
        <w:t xml:space="preserve">internos</w:t>
      </w:r>
      <w:r>
        <w:t xml:space="preserve"> </w:t>
      </w:r>
      <w:r>
        <w:t xml:space="preserve">do programa recuperam medidas</w:t>
      </w:r>
      <w:r>
        <w:t xml:space="preserve"> </w:t>
      </w:r>
      <w:r>
        <w:t xml:space="preserve">consagradas de pobreza (taxa de pobreza monetária PNAD-C 2019) e de</w:t>
      </w:r>
      <w:r>
        <w:t xml:space="preserve"> </w:t>
      </w:r>
      <w:r>
        <w:t xml:space="preserve">desenvolvimento (IDH-M 2010). A exposição é escalonada de propósito: do</w:t>
      </w:r>
      <w:r>
        <w:t xml:space="preserve"> </w:t>
      </w:r>
      <w:r>
        <w:t xml:space="preserve">modelo mais simples e interpretável (regressão) ao mais flexível</w:t>
      </w:r>
      <w:r>
        <w:t xml:space="preserve"> </w:t>
      </w:r>
      <w:r>
        <w:t xml:space="preserve">(florestas aleatórias).</w:t>
      </w:r>
    </w:p>
    <w:bookmarkStart w:id="104" w:name="dados-variáveis-e-protocolo"/>
    <w:p>
      <w:pPr>
        <w:pStyle w:val="Heading2"/>
      </w:pPr>
      <w:r>
        <w:t xml:space="preserve">Dados, variáveis e protocolo</w:t>
      </w:r>
    </w:p>
    <w:p>
      <w:pPr>
        <w:pStyle w:val="FirstParagraph"/>
        <w:ind w:firstLine="709"/>
      </w:pPr>
      <w:r>
        <w:t xml:space="preserve">A unidade de análise são as 27 UFs no exercício 2024. As</w:t>
      </w:r>
      <w:r>
        <w:t xml:space="preserve"> </w:t>
      </w:r>
      <w:r>
        <w:rPr>
          <w:i/>
          <w:iCs/>
        </w:rPr>
        <w:t xml:space="preserve">features</w:t>
      </w:r>
      <w:r>
        <w:t xml:space="preserve"> </w:t>
      </w:r>
      <w:r>
        <w:t xml:space="preserve">(variáveis preditoras), extraídas do gold dataset, são</w:t>
      </w:r>
      <w:r>
        <w:t xml:space="preserve"> </w:t>
      </w:r>
      <w:r>
        <w:t xml:space="preserve">três indicadores internos do programa:</w:t>
      </w:r>
      <w:r>
        <w:t xml:space="preserve"> </w:t>
      </w:r>
      <w:r>
        <w:rPr>
          <w:b/>
          <w:bCs/>
        </w:rPr>
        <w:t xml:space="preserve">penetração</w:t>
      </w:r>
      <w:r>
        <w:t xml:space="preserve"> </w:t>
      </w:r>
      <w:r>
        <w:t xml:space="preserve">(beneficiários / população </w:t>
      </w:r>
      <m:oMath>
        <m:r>
          <m:rPr>
            <m:sty m:val="p"/>
          </m:rPr>
          <m:t>×</m:t>
        </m:r>
      </m:oMath>
      <w:r>
        <w:t xml:space="preserve"> 100),</w:t>
      </w:r>
      <w:r>
        <w:t xml:space="preserve"> </w:t>
      </w:r>
      <w:r>
        <w:rPr>
          <w:b/>
          <w:bCs/>
        </w:rPr>
        <w:t xml:space="preserve">per capita</w:t>
      </w:r>
      <w:r>
        <w:t xml:space="preserve"> </w:t>
      </w:r>
      <w:r>
        <w:t xml:space="preserve">(R$ /hab em 2021) e</w:t>
      </w:r>
      <w:r>
        <w:t xml:space="preserve"> </w:t>
      </w:r>
      <w:r>
        <w:rPr>
          <w:b/>
          <w:bCs/>
        </w:rPr>
        <w:t xml:space="preserve">per beneficiário</w:t>
      </w:r>
      <w:r>
        <w:t xml:space="preserve"> </w:t>
      </w:r>
      <w:r>
        <w:t xml:space="preserve">(R$ /benef.). Os</w:t>
      </w:r>
      <w:r>
        <w:t xml:space="preserve"> </w:t>
      </w:r>
      <w:r>
        <w:rPr>
          <w:i/>
          <w:iCs/>
        </w:rPr>
        <w:t xml:space="preserve">alvos</w:t>
      </w:r>
      <w:r>
        <w:t xml:space="preserve"> </w:t>
      </w:r>
      <w:r>
        <w:t xml:space="preserve">(variáveis a explicar) são a</w:t>
      </w:r>
      <w:r>
        <w:t xml:space="preserve"> </w:t>
      </w:r>
      <w:r>
        <w:rPr>
          <w:b/>
          <w:bCs/>
        </w:rPr>
        <w:t xml:space="preserve">pobreza</w:t>
      </w:r>
      <w:r>
        <w:t xml:space="preserve"> </w:t>
      </w:r>
      <w:r>
        <w:t xml:space="preserve">(%) e o</w:t>
      </w:r>
      <w:r>
        <w:t xml:space="preserve"> </w:t>
      </w:r>
      <w:r>
        <w:rPr>
          <w:b/>
          <w:bCs/>
        </w:rPr>
        <w:t xml:space="preserve">IDH-M</w:t>
      </w:r>
      <w:r>
        <w:t xml:space="preserve">. Para o agrupamento, as variáveis são padronizadas em</w:t>
      </w:r>
      <w:r>
        <w:t xml:space="preserve"> </w:t>
      </w:r>
      <w:r>
        <w:t xml:space="preserve">escore-</w:t>
      </w:r>
      <m:oMath>
        <m:r>
          <m:t>z</m:t>
        </m:r>
      </m:oMath>
      <w:r>
        <w:t xml:space="preserve"> </w:t>
      </w:r>
      <w:r>
        <w:t xml:space="preserve">(média 0, desvio 1). Para o modelo supervisionado adotamos</w:t>
      </w:r>
      <w:r>
        <w:t xml:space="preserve"> </w:t>
      </w:r>
      <w:r>
        <w:t xml:space="preserve">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 </w:t>
      </w:r>
      <w:r>
        <w:t xml:space="preserve">(LOO), apropriada ao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pequeno.</w:t>
      </w:r>
      <w:r>
        <w:t xml:space="preserve"> </w:t>
      </w:r>
      <w:r>
        <w:t xml:space="preserve">Ferramentas:</w:t>
      </w:r>
      <w:r>
        <w:t xml:space="preserve"> </w:t>
      </w:r>
      <w:r>
        <w:rPr>
          <w:rStyle w:val="VerbatimChar"/>
        </w:rPr>
        <w:t xml:space="preserve">statsmodels</w:t>
      </w:r>
      <w:r>
        <w:t xml:space="preserve"> </w:t>
      </w:r>
      <w:r>
        <w:t xml:space="preserve">e</w:t>
      </w:r>
      <w:r>
        <w:t xml:space="preserve"> </w:t>
      </w:r>
      <w:r>
        <w:rPr>
          <w:rStyle w:val="VerbatimChar"/>
        </w:rPr>
        <w:t xml:space="preserve">scikit-learn</w:t>
      </w:r>
      <w:r>
        <w:t xml:space="preserve"> </w:t>
      </w:r>
      <w:r>
        <w:t xml:space="preserve">(Pedregosa et al., 2011).</w:t>
      </w:r>
    </w:p>
    <w:bookmarkEnd w:id="104"/>
    <w:bookmarkStart w:id="108" w:name="nível-1-correlação-e-regressão-loglog"/>
    <w:p>
      <w:pPr>
        <w:pStyle w:val="Heading2"/>
      </w:pPr>
      <w:r>
        <w:t xml:space="preserve">Nível 1 — correlação e regressão log–log</w:t>
      </w:r>
    </w:p>
    <w:p>
      <w:pPr>
        <w:pStyle w:val="FirstParagraph"/>
        <w:ind w:firstLine="709"/>
      </w:pPr>
      <w:r>
        <w:t xml:space="preserve">A correlação de Pearson mede a associação</w:t>
      </w:r>
      <w:r>
        <w:t xml:space="preserve"> </w:t>
      </w:r>
      <w:r>
        <w:rPr>
          <w:i/>
          <w:iCs/>
        </w:rPr>
        <w:t xml:space="preserve">linear</w:t>
      </w:r>
      <w:r>
        <w:t xml:space="preserve"> </w:t>
      </w:r>
      <w:r>
        <w:t xml:space="preserve">entre duas</w:t>
      </w:r>
      <w:r>
        <w:t xml:space="preserve"> </w:t>
      </w:r>
      <w:r>
        <w:t xml:space="preserve">variáveis,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(inversa perfeita) 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(direta perfeita). Entre</w:t>
      </w:r>
      <w:r>
        <w:t xml:space="preserve"> </w:t>
      </w:r>
      <w:r>
        <w:t xml:space="preserve">penetração e pobreza obtém-se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per capita e</w:t>
      </w:r>
      <w:r>
        <w:t xml:space="preserve"> </w:t>
      </w:r>
      <w:r>
        <w:t xml:space="preserve">pobreza,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,</m:t>
        </m:r>
        <m:r>
          <m:t>971</m:t>
        </m:r>
      </m:oMath>
      <w:r>
        <w:t xml:space="preserve">; entre penetração e IDH-M,</w:t>
      </w:r>
      <w:r>
        <w:t xml:space="preserve"> </w:t>
      </w:r>
      <m:oMath>
        <m:r>
          <m:t>r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881</m:t>
        </m:r>
      </m:oMath>
      <w:r>
        <w:t xml:space="preserve">. Em</w:t>
      </w:r>
      <w:r>
        <w:t xml:space="preserve"> </w:t>
      </w:r>
      <w:r>
        <w:t xml:space="preserve">palavras:</w:t>
      </w:r>
      <w:r>
        <w:t xml:space="preserve"> </w:t>
      </w:r>
      <w:r>
        <w:rPr>
          <w:b/>
          <w:bCs/>
        </w:rPr>
        <w:t xml:space="preserve">onde o programa cobre mais gente, há mais pobreza e</w:t>
      </w:r>
      <w:r>
        <w:rPr>
          <w:b/>
          <w:bCs/>
        </w:rPr>
        <w:t xml:space="preserve"> </w:t>
      </w:r>
      <w:r>
        <w:rPr>
          <w:b/>
          <w:bCs/>
        </w:rPr>
        <w:t xml:space="preserve">menos desenvolvimento</w:t>
      </w:r>
      <w:r>
        <w:t xml:space="preserve">, e a associação é quase perfeita</w:t>
      </w:r>
      <w:r>
        <w:t xml:space="preserve"> </w:t>
      </w:r>
      <w:r>
        <w:t xml:space="preserve">(Figura 18).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18 — Penetração do Bolsa Família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vs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taxa de pobreza monetária por UF (2024), com cor por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cluster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e reta de ajuste</w:t>
      </w:r>
    </w:p>
    <w:p>
      <w:pPr>
        <w:pStyle w:val="BodyText"/>
        <w:jc w:val="center"/>
      </w:pPr>
      <w:r>
        <w:drawing>
          <wp:inline>
            <wp:extent cx="5400000" cy="3805738"/>
            <wp:effectExtent b="0" l="0" r="0" t="0"/>
            <wp:docPr descr="image" title="" id="106" name="Picture"/>
            <a:graphic>
              <a:graphicData uri="http://schemas.openxmlformats.org/drawingml/2006/picture">
                <pic:pic>
                  <pic:nvPicPr>
                    <pic:cNvPr descr="figures-pbf/fig20-ml-scatter.png" id="107" name="Picture"/>
                    <pic:cNvPicPr>
                      <a:picLocks noChangeArrowheads="1" noChangeAspect="1"/>
                    </pic:cNvPicPr>
                  </pic:nvPicPr>
                  <pic:blipFill>
                    <a:blip r:embed="rId10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05738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p>
      <w:pPr>
        <w:pStyle w:val="BodyText"/>
        <w:ind w:firstLine="709"/>
      </w:pPr>
      <w:r>
        <w:t xml:space="preserve">Para quantificar a elasticidade, estimamos por mínimos quadrados a</w:t>
      </w:r>
      <w:r>
        <w:t xml:space="preserve"> </w:t>
      </w:r>
      <w:r>
        <w:t xml:space="preserve">regressão</w:t>
      </w:r>
      <w:r>
        <w:t xml:space="preserve"> </w:t>
      </w:r>
      <m:oMath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o</m:t>
            </m:r>
            <m:r>
              <m:rPr>
                <m:sty m:val="i"/>
              </m:rPr>
              <m:t>b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z</m:t>
            </m:r>
            <m:r>
              <m:rPr>
                <m:sty m:val="i"/>
              </m:rPr>
              <m:t>a</m:t>
            </m:r>
          </m:e>
        </m:d>
        <m:r>
          <m:rPr>
            <m:sty m:val="p"/>
          </m:rPr>
          <m:t>=</m:t>
        </m:r>
        <m:sSub>
          <m:e>
            <m:r>
              <m:t>β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sSub>
          <m:e>
            <m:r>
              <m:t>β</m:t>
            </m:r>
          </m:e>
          <m:sub>
            <m:r>
              <m:t>1</m:t>
            </m:r>
          </m:sub>
        </m:sSub>
        <m:r>
          <m:rPr>
            <m:sty m:val="p"/>
          </m:rPr>
          <m:t>log</m:t>
        </m:r>
        <m:d>
          <m:dPr>
            <m:begChr m:val="("/>
            <m:endChr m:val=")"/>
            <m:sepChr m:val=""/>
            <m:grow/>
          </m:dPr>
          <m:e>
            <m:r>
              <m:rPr>
                <m:sty m:val="i"/>
              </m:rPr>
              <m:t>p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n</m:t>
            </m:r>
            <m:r>
              <m:rPr>
                <m:sty m:val="i"/>
              </m:rPr>
              <m:t>e</m:t>
            </m:r>
            <m:r>
              <m:rPr>
                <m:sty m:val="i"/>
              </m:rPr>
              <m:t>t</m:t>
            </m:r>
            <m:r>
              <m:rPr>
                <m:sty m:val="i"/>
              </m:rPr>
              <m:t>r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c</m:t>
            </m:r>
            <m:r>
              <m:rPr>
                <m:sty m:val="i"/>
              </m:rPr>
              <m:t>a</m:t>
            </m:r>
            <m:r>
              <m:rPr>
                <m:sty m:val="i"/>
              </m:rPr>
              <m:t>o</m:t>
            </m:r>
          </m:e>
        </m:d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o</m:t>
              </m:r>
              <m:r>
                <m:rPr>
                  <m:sty m:val="i"/>
                </m:rPr>
                <m:t>b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z</m:t>
              </m:r>
              <m:r>
                <m:rPr>
                  <m:sty m:val="i"/>
                </m:rPr>
                <m:t>a</m:t>
              </m:r>
            </m:e>
          </m:d>
          <m:r>
            <m:rPr>
              <m:sty m:val="p"/>
            </m:rPr>
            <m:t>=</m:t>
          </m:r>
          <m:r>
            <m:t>0</m:t>
          </m:r>
          <m:r>
            <m:rPr>
              <m:sty m:val="p"/>
            </m:rPr>
            <m:t>,</m:t>
          </m:r>
          <m:r>
            <m:t>714</m:t>
          </m:r>
          <m:r>
            <m:rPr>
              <m:sty m:val="p"/>
            </m:rPr>
            <m:t>+</m:t>
          </m:r>
          <m:r>
            <m:t>1</m:t>
          </m:r>
          <m:r>
            <m:rPr>
              <m:sty m:val="p"/>
            </m:rPr>
            <m:t>,</m:t>
          </m:r>
          <m:r>
            <m:t>051</m:t>
          </m:r>
          <m:r>
            <m:rPr>
              <m:sty m:val="p"/>
            </m:rPr>
            <m:t>⋅</m:t>
          </m:r>
          <m:r>
            <m:rPr>
              <m:sty m:val="p"/>
            </m:rPr>
            <m:t>log</m:t>
          </m:r>
          <m:d>
            <m:dPr>
              <m:begChr m:val="("/>
              <m:endChr m:val=")"/>
              <m:sepChr m:val=""/>
              <m:grow/>
            </m:dPr>
            <m:e>
              <m:r>
                <m:rPr>
                  <m:sty m:val="i"/>
                </m:rPr>
                <m:t>p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n</m:t>
              </m:r>
              <m:r>
                <m:rPr>
                  <m:sty m:val="i"/>
                </m:rPr>
                <m:t>e</m:t>
              </m:r>
              <m:r>
                <m:rPr>
                  <m:sty m:val="i"/>
                </m:rPr>
                <m:t>t</m:t>
              </m:r>
              <m:r>
                <m:rPr>
                  <m:sty m:val="i"/>
                </m:rPr>
                <m:t>r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c</m:t>
              </m:r>
              <m:r>
                <m:rPr>
                  <m:sty m:val="i"/>
                </m:rPr>
                <m:t>a</m:t>
              </m:r>
              <m:r>
                <m:rPr>
                  <m:sty m:val="i"/>
                </m:rPr>
                <m:t>o</m:t>
              </m:r>
            </m:e>
          </m:d>
          <m:r>
            <m:rPr>
              <m:sty m:val="p"/>
            </m:rPr>
            <m:t>.</m:t>
          </m:r>
        </m:oMath>
      </m:oMathPara>
    </w:p>
    <w:p>
      <w:pPr>
        <w:pStyle w:val="FirstParagraph"/>
        <w:ind w:firstLine="709"/>
      </w:pPr>
      <w:r>
        <w:t xml:space="preserve">Cada número significa o seguinte. O coeficiente</w:t>
      </w:r>
      <w:r>
        <w:t xml:space="preserve"> </w:t>
      </w:r>
      <m:oMath>
        <m:sSub>
          <m:e>
            <m:acc>
              <m:accPr>
                <m:chr m:val="̂"/>
              </m:accPr>
              <m:e>
                <m:r>
                  <m:t>β</m:t>
                </m:r>
              </m:e>
            </m:acc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rPr>
            <m:sty m:val="p"/>
          </m:rPr>
          <m:t>+</m:t>
        </m:r>
        <m:r>
          <m:t>1</m:t>
        </m:r>
        <m:r>
          <m:rPr>
            <m:sty m:val="p"/>
          </m:rPr>
          <m:t>,</m:t>
        </m:r>
        <m:r>
          <m:t>051</m:t>
        </m:r>
      </m:oMath>
      <w:r>
        <w:t xml:space="preserve"> </w:t>
      </w:r>
      <w:r>
        <w:t xml:space="preserve">é uma</w:t>
      </w:r>
      <w:r>
        <w:t xml:space="preserve"> </w:t>
      </w:r>
      <w:r>
        <w:rPr>
          <w:b/>
          <w:bCs/>
        </w:rPr>
        <w:t xml:space="preserve">elasticidade</w:t>
      </w:r>
      <w:r>
        <w:t xml:space="preserve">: um aumento de 1 % na penetração</w:t>
      </w:r>
      <w:r>
        <w:t xml:space="preserve"> </w:t>
      </w:r>
      <w:r>
        <w:t xml:space="preserve">associa-se a um aumento de cerca de 1,05 % na taxa de pobreza</w:t>
      </w:r>
      <w:r>
        <w:t xml:space="preserve"> </w:t>
      </w:r>
      <w:r>
        <w:t xml:space="preserve">(relação praticamente um-para-um). O</w:t>
      </w:r>
      <w:r>
        <w:t xml:space="preserve"> </w:t>
      </w:r>
      <w:r>
        <w:rPr>
          <w:b/>
          <w:bCs/>
        </w:rPr>
        <w:t xml:space="preserve">valor-</w:t>
      </w:r>
      <m:oMath>
        <m:r>
          <m:t>p</m:t>
        </m:r>
      </m:oMath>
      <w:r>
        <w:t xml:space="preserve"> </w:t>
      </w:r>
      <m:oMath>
        <m:r>
          <m:rPr>
            <m:sty m:val="p"/>
          </m:rPr>
          <m:t>≈</m:t>
        </m:r>
        <m:r>
          <m:t>3</m:t>
        </m:r>
        <m:r>
          <m:rPr>
            <m:sty m:val="p"/>
          </m:rPr>
          <m:t>,</m:t>
        </m:r>
        <m:r>
          <m:t>8</m:t>
        </m:r>
        <m:r>
          <m:rPr>
            <m:sty m:val="p"/>
          </m:rPr>
          <m:t>×</m:t>
        </m:r>
        <m:sSup>
          <m:e>
            <m:r>
              <m:t>10</m:t>
            </m:r>
          </m:e>
          <m:sup>
            <m:r>
              <m:rPr>
                <m:sty m:val="p"/>
              </m:rPr>
              <m:t>−</m:t>
            </m:r>
            <m:r>
              <m:t>17</m:t>
            </m:r>
          </m:sup>
        </m:sSup>
      </m:oMath>
      <w:r>
        <w:t xml:space="preserve"> </w:t>
      </w:r>
      <w:r>
        <w:t xml:space="preserve">é a probabilidade de observar associação tão forte</w:t>
      </w:r>
      <w:r>
        <w:t xml:space="preserve"> </w:t>
      </w:r>
      <w:r>
        <w:t xml:space="preserve">se na verdade não houvesse relação alguma: por ser virtualmente zero, a</w:t>
      </w:r>
      <w:r>
        <w:t xml:space="preserve"> </w:t>
      </w:r>
      <w:r>
        <w:t xml:space="preserve">associação é estatisticamente inequívoca. O</w:t>
      </w:r>
      <w:r>
        <w:t xml:space="preserve"> </w:t>
      </w:r>
      <w:r>
        <w:rPr>
          <w:b/>
          <w:bCs/>
        </w:rPr>
        <w:t xml:space="preserve">R</w:t>
      </w:r>
      <m:oMath>
        <m:sSup>
          <m:e>
            <m:r>
              <m:t>​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944</m:t>
        </m:r>
      </m:oMath>
      <w:r>
        <w:t xml:space="preserve"> </w:t>
      </w:r>
      <w:r>
        <w:t xml:space="preserve">indica que 94,4 % da variação (em log) da pobreza entre UFs é</w:t>
      </w:r>
      <w:r>
        <w:t xml:space="preserve"> </w:t>
      </w:r>
      <w:r>
        <w:t xml:space="preserve">acompanhada pela variação da penetração — isto é, conhecendo</w:t>
      </w:r>
      <w:r>
        <w:t xml:space="preserve"> </w:t>
      </w:r>
      <w:r>
        <w:rPr>
          <w:i/>
          <w:iCs/>
        </w:rPr>
        <w:t xml:space="preserve">apenas</w:t>
      </w:r>
      <w:r>
        <w:t xml:space="preserve"> </w:t>
      </w:r>
      <w:r>
        <w:t xml:space="preserve">a cobertura do programa recupera-se quase toda a</w:t>
      </w:r>
      <w:r>
        <w:t xml:space="preserve"> </w:t>
      </w:r>
      <w:r>
        <w:t xml:space="preserve">ordenação de pobreza dos estados.</w:t>
      </w:r>
    </w:p>
    <w:p>
      <w:pPr>
        <w:pStyle w:val="BodyText"/>
        <w:ind w:firstLine="709"/>
      </w:pPr>
      <w:r>
        <w:t xml:space="preserve">A mesma lógica vale para o desenvolvimento: a regressão</w:t>
      </w:r>
      <w:r>
        <w:t xml:space="preserve"> </w:t>
      </w:r>
      <m:oMath>
        <m:r>
          <m:rPr>
            <m:sty m:val="i"/>
          </m:rPr>
          <m:t>I</m:t>
        </m:r>
        <m:r>
          <m:rPr>
            <m:sty m:val="i"/>
          </m:rPr>
          <m:t>D</m:t>
        </m:r>
        <m:r>
          <m:rPr>
            <m:sty m:val="i"/>
          </m:rPr>
          <m:t>H</m:t>
        </m:r>
        <m:r>
          <m:rPr>
            <m:sty m:val="i"/>
          </m:rPr>
          <m:t>​</m:t>
        </m:r>
        <m:r>
          <m:rPr>
            <m:sty m:val="i"/>
          </m:rPr>
          <m:t>−</m:t>
        </m:r>
        <m:r>
          <m:rPr>
            <m:sty m:val="i"/>
          </m:rPr>
          <m:t>​</m:t>
        </m:r>
        <m:r>
          <m:rPr>
            <m:sty m:val="i"/>
          </m:rPr>
          <m:t>M</m:t>
        </m:r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811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00837</m:t>
        </m:r>
        <m:r>
          <m:rPr>
            <m:sty m:val="p"/>
          </m:rPr>
          <m:t>⋅</m:t>
        </m:r>
        <m:r>
          <m:rPr>
            <m:sty m:val="i"/>
          </m:rPr>
          <m:t>p</m:t>
        </m:r>
        <m:r>
          <m:rPr>
            <m:sty m:val="i"/>
          </m:rPr>
          <m:t>e</m:t>
        </m:r>
        <m:r>
          <m:rPr>
            <m:sty m:val="i"/>
          </m:rPr>
          <m:t>n</m:t>
        </m:r>
        <m:r>
          <m:rPr>
            <m:sty m:val="i"/>
          </m:rPr>
          <m:t>e</m:t>
        </m:r>
        <m:r>
          <m:rPr>
            <m:sty m:val="i"/>
          </m:rPr>
          <m:t>t</m:t>
        </m:r>
        <m:r>
          <m:rPr>
            <m:sty m:val="i"/>
          </m:rPr>
          <m:t>r</m:t>
        </m:r>
        <m:r>
          <m:rPr>
            <m:sty m:val="i"/>
          </m:rPr>
          <m:t>a</m:t>
        </m:r>
        <m:r>
          <m:rPr>
            <m:sty m:val="i"/>
          </m:rPr>
          <m:t>c</m:t>
        </m:r>
        <m:r>
          <m:rPr>
            <m:sty m:val="i"/>
          </m:rPr>
          <m:t>a</m:t>
        </m:r>
        <m:r>
          <m:rPr>
            <m:sty m:val="i"/>
          </m:rPr>
          <m:t>o</m:t>
        </m:r>
      </m:oMath>
      <w:r>
        <w:t xml:space="preserve"> </w:t>
      </w:r>
      <w:r>
        <w:t xml:space="preserve">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776</m:t>
        </m:r>
      </m:oMath>
      <w:r>
        <w:t xml:space="preserve">)</w:t>
      </w:r>
      <w:r>
        <w:t xml:space="preserve"> </w:t>
      </w:r>
      <w:r>
        <w:t xml:space="preserve">tem coeficiente</w:t>
      </w:r>
      <w:r>
        <w:t xml:space="preserve"> </w:t>
      </w:r>
      <w:r>
        <w:rPr>
          <w:b/>
          <w:bCs/>
        </w:rPr>
        <w:t xml:space="preserve">negativo</w:t>
      </w:r>
      <w:r>
        <w:t xml:space="preserve"> </w:t>
      </w:r>
      <w:r>
        <w:t xml:space="preserve">— cada ponto percentual adicional de</w:t>
      </w:r>
      <w:r>
        <w:t xml:space="preserve"> </w:t>
      </w:r>
      <w:r>
        <w:t xml:space="preserve">penetração associa-se a uma queda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0084</m:t>
        </m:r>
      </m:oMath>
      <w:r>
        <w:t xml:space="preserve"> </w:t>
      </w:r>
      <w:r>
        <w:t xml:space="preserve">no IDH-M —, confirmando</w:t>
      </w:r>
      <w:r>
        <w:t xml:space="preserve"> </w:t>
      </w:r>
      <w:r>
        <w:t xml:space="preserve">que o programa se concentra nas UFs menos desenvolvidas.</w:t>
      </w:r>
    </w:p>
    <w:p>
      <w:pPr>
        <w:pStyle w:val="TableCaption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Tabela 8 — Modelos de aprendizado de máquina — o BF como proxy de pobreza e IDH-M (27 UFs, 2024)</w:t>
      </w:r>
    </w:p>
    <w:tbl>
      <w:tblPr>
        <w:tblStyle w:val="Table"/>
        <w:tblW w:type="auto" w:w="0"/>
        <w:tblLook w:firstRow="1" w:lastRow="0" w:firstColumn="0" w:lastColumn="0" w:noHBand="0" w:noVBand="0" w:val="0020"/>
        <w:tblCaption w:val="Tabela 8 — Modelos de aprendizado de máquina — o BF como proxy de pobreza e IDH-M (27 UFs, 2024)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Modelo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Alvo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Métrica</w:t>
            </w:r>
          </w:p>
        </w:tc>
        <w:tc>
          <w:tcPr/>
          <w:p>
            <w:pPr>
              <w:pStyle w:val="Compact"/>
              <w:jc w:val="right"/>
            </w:pPr>
            <w:r>
              <w:rPr>
                <w:b/>
                <w:bCs/>
              </w:rPr>
              <w:t xml:space="preserve">Valor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 log–log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  <w:r>
              <w:t xml:space="preserve"> </w:t>
            </w:r>
            <w:r>
              <w:t xml:space="preserve">(elasticidade)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  <m:r>
                <m:t>051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944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OLS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IDH-M</w:t>
            </w:r>
          </w:p>
        </w:tc>
        <w:tc>
          <w:tcPr/>
          <w:p>
            <w:pPr>
              <w:pStyle w:val="Compact"/>
              <w:jc w:val="left"/>
            </w:pPr>
            <m:oMath>
              <m:sSub>
                <m:e>
                  <m:r>
                    <m:t>β</m:t>
                  </m:r>
                </m:e>
                <m:sub>
                  <m:r>
                    <m:t>1</m:t>
                  </m:r>
                </m:sub>
              </m:sSub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rPr>
                  <m:sty m:val="p"/>
                </m:rPr>
                <m:t>−</m:t>
              </m:r>
              <m:r>
                <m:t>0</m:t>
              </m:r>
              <m:r>
                <m:rPr>
                  <m:sty m:val="p"/>
                </m:rPr>
                <m:t>,</m:t>
              </m:r>
              <m:r>
                <m:t>0084</m:t>
              </m:r>
            </m:oMath>
          </w:p>
        </w:tc>
      </w:tr>
      <w:tr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776</m:t>
              </m:r>
            </m:oMath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Regressão linear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934</m:t>
              </m:r>
            </m:oMath>
            <w:r>
              <w:t xml:space="preserve"> </w:t>
            </w:r>
            <w:r>
              <w:t xml:space="preserve"> /  2</w:t>
            </w:r>
            <w:r>
              <w:t xml:space="preserve">,</w:t>
            </w:r>
            <w:r>
              <w:t xml:space="preserve">61 p.p.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Random Forest (LOO)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pobreza</w:t>
            </w:r>
          </w:p>
        </w:tc>
        <w:tc>
          <w:tcPr/>
          <w:p>
            <w:pPr>
              <w:pStyle w:val="Compact"/>
              <w:jc w:val="left"/>
            </w:pPr>
            <m:oMath>
              <m:sSup>
                <m:e>
                  <m:r>
                    <m:t>R</m:t>
                  </m:r>
                </m:e>
                <m:sup>
                  <m:r>
                    <m:t>2</m:t>
                  </m:r>
                </m:sup>
              </m:sSup>
            </m:oMath>
            <w:r>
              <w:t xml:space="preserve"> </w:t>
            </w:r>
            <w:r>
              <w:t xml:space="preserve"> /  MAE</w:t>
            </w:r>
          </w:p>
        </w:tc>
        <w:tc>
          <w:tcPr/>
          <w:p>
            <w:pPr>
              <w:pStyle w:val="Compact"/>
              <w:jc w:val="right"/>
            </w:pPr>
            <m:oMath>
              <m:r>
                <m:t>0</m:t>
              </m:r>
              <m:r>
                <m:rPr>
                  <m:sty m:val="p"/>
                </m:rPr>
                <m:t>,</m:t>
              </m:r>
              <m:r>
                <m:t>916</m:t>
              </m:r>
            </m:oMath>
            <w:r>
              <w:t xml:space="preserve"> </w:t>
            </w:r>
            <w:r>
              <w:t xml:space="preserve"> /  3</w:t>
            </w:r>
            <w:r>
              <w:t xml:space="preserve">,</w:t>
            </w:r>
            <w:r>
              <w:t xml:space="preserve">17 p.p.</w:t>
            </w:r>
          </w:p>
        </w:tc>
      </w:tr>
    </w:tbl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sz w:val="20"/>
        </w:rPr>
        <w:t xml:space="preserve">(</w:t>
      </w:r>
      <w:r>
        <w:rPr>
          <w:rFonts w:ascii="Times New Roman" w:hAnsi="Times New Roman" w:cs="Times New Roman"/>
          <w:i/>
          <w:iCs/>
          <w:sz w:val="20"/>
        </w:rPr>
        <w:t xml:space="preserve">scikit-learn</w:t>
      </w:r>
      <w:r>
        <w:rPr>
          <w:rFonts w:ascii="Times New Roman" w:hAnsi="Times New Roman" w:cs="Times New Roman"/>
          <w:i/>
          <w:sz w:val="20"/>
        </w:rPr>
        <w:t xml:space="preserve">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statsmodels</w:t>
      </w:r>
      <w:r>
        <w:rPr>
          <w:rFonts w:ascii="Times New Roman" w:hAnsi="Times New Roman" w:cs="Times New Roman"/>
          <w:i/>
          <w:sz w:val="20"/>
        </w:rPr>
        <w:t xml:space="preserve">). LOO = validação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leave-one-out</w:t>
      </w:r>
      <w:r>
        <w:rPr>
          <w:rFonts w:ascii="Times New Roman" w:hAnsi="Times New Roman" w:cs="Times New Roman"/>
          <w:i/>
          <w:sz w:val="20"/>
        </w:rPr>
        <w:t xml:space="preserve">; MAE = erro absoluto médio em pontos percentuais.</w:t>
      </w:r>
    </w:p>
    <w:bookmarkEnd w:id="108"/>
    <w:bookmarkStart w:id="112" w:name="X01eb93035d7cda9e485f0f7c49dcce5c938fd0c"/>
    <w:p>
      <w:pPr>
        <w:pStyle w:val="Heading2"/>
      </w:pPr>
      <w:r>
        <w:t xml:space="preserve">Nível 2 — agrupamento não supervisionado (K-means)</w:t>
      </w:r>
    </w:p>
    <w:p>
      <w:pPr>
        <w:pStyle w:val="FirstParagraph"/>
        <w:ind w:firstLine="709"/>
      </w:pPr>
      <w:r>
        <w:t xml:space="preserve">O K-means agrupa as UFs por</w:t>
      </w:r>
      <w:r>
        <w:t xml:space="preserve"> </w:t>
      </w:r>
      <w:r>
        <w:rPr>
          <w:i/>
          <w:iCs/>
        </w:rPr>
        <w:t xml:space="preserve">semelhança</w:t>
      </w:r>
      <w:r>
        <w:t xml:space="preserve"> </w:t>
      </w:r>
      <w:r>
        <w:t xml:space="preserve">nas quatro variáveis</w:t>
      </w:r>
      <w:r>
        <w:t xml:space="preserve"> </w:t>
      </w:r>
      <w:r>
        <w:t xml:space="preserve">padronizadas (penetração, per capita, IDH-M, pobreza), sem usar qualquer</w:t>
      </w:r>
      <w:r>
        <w:t xml:space="preserve"> </w:t>
      </w:r>
      <w:r>
        <w:t xml:space="preserve">rótulo</w:t>
      </w:r>
      <w:r>
        <w:t xml:space="preserve"> </w:t>
      </w:r>
      <w:r>
        <w:rPr>
          <w:i/>
          <w:iCs/>
        </w:rPr>
        <w:t xml:space="preserve">a priori</w:t>
      </w:r>
      <w:r>
        <w:t xml:space="preserve">. O número de grupos é escolhido pelo</w:t>
      </w:r>
      <w:r>
        <w:t xml:space="preserve"> </w:t>
      </w:r>
      <w:r>
        <w:rPr>
          <w:i/>
          <w:iCs/>
        </w:rPr>
        <w:t xml:space="preserve">silhouette</w:t>
      </w:r>
      <w:r>
        <w:t xml:space="preserve">, que varia de</w:t>
      </w:r>
      <w:r>
        <w:t xml:space="preserve"> </w:t>
      </w:r>
      <m:oMath>
        <m:r>
          <m:rPr>
            <m:sty m:val="p"/>
          </m:rPr>
          <m:t>−</m:t>
        </m:r>
        <m:r>
          <m:t>1</m:t>
        </m:r>
      </m:oMath>
      <w:r>
        <w:t xml:space="preserve"> </w:t>
      </w:r>
      <w:r>
        <w:t xml:space="preserve">a</w:t>
      </w:r>
      <w:r>
        <w:t xml:space="preserve"> </w:t>
      </w:r>
      <m:oMath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e mede quão bem cada UF se</w:t>
      </w:r>
      <w:r>
        <w:t xml:space="preserve"> </w:t>
      </w:r>
      <w:r>
        <w:t xml:space="preserve">encaixa em seu grupo: o máximo (</w:t>
      </w:r>
      <m:oMath>
        <m:r>
          <m:t>0</m:t>
        </m:r>
        <m:r>
          <m:rPr>
            <m:sty m:val="p"/>
          </m:rPr>
          <m:t>,</m:t>
        </m:r>
        <m:r>
          <m:t>695</m:t>
        </m:r>
      </m:oMath>
      <w:r>
        <w:t xml:space="preserve">) ocorre em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</m:t>
        </m:r>
      </m:oMath>
      <w:r>
        <w:t xml:space="preserve">.</w:t>
      </w:r>
    </w:p>
    <w:p>
      <w:pPr>
        <w:pStyle w:val="BodyText"/>
        <w:ind w:firstLine="709"/>
      </w:pPr>
      <w:r>
        <w:t xml:space="preserve">Emergem</w:t>
      </w:r>
      <w:r>
        <w:t xml:space="preserve"> </w:t>
      </w:r>
      <w:r>
        <w:rPr>
          <w:b/>
          <w:bCs/>
        </w:rPr>
        <w:t xml:space="preserve">duas Brasis</w:t>
      </w:r>
      <w:r>
        <w:t xml:space="preserve">. O</w:t>
      </w:r>
      <w:r>
        <w:t xml:space="preserve"> </w:t>
      </w:r>
      <w:r>
        <w:rPr>
          <w:b/>
          <w:bCs/>
        </w:rPr>
        <w:t xml:space="preserve">Cluster 0</w:t>
      </w:r>
      <w:r>
        <w:t xml:space="preserve"> </w:t>
      </w:r>
      <w:r>
        <w:t xml:space="preserve">(13 UFs —</w:t>
      </w:r>
      <w:r>
        <w:t xml:space="preserve"> </w:t>
      </w:r>
      <w:r>
        <w:t xml:space="preserve">todo o Sul, Sudeste e Centro-Oeste, mais RO e TO) tem pobreza média de</w:t>
      </w:r>
      <w:r>
        <w:t xml:space="preserve"> </w:t>
      </w:r>
      <w:r>
        <w:t xml:space="preserve">17,2 %,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745</m:t>
        </m:r>
      </m:oMath>
      <w:r>
        <w:t xml:space="preserve">, penetração</w:t>
      </w:r>
      <w:r>
        <w:t xml:space="preserve"> </w:t>
      </w:r>
      <m:oMath>
        <m:r>
          <m:t>7</m:t>
        </m:r>
        <m:r>
          <m:rPr>
            <m:sty m:val="p"/>
          </m:rPr>
          <m:t>,</m:t>
        </m:r>
        <m:r>
          <m:t>8</m:t>
        </m:r>
      </m:oMath>
      <w:r>
        <w:t xml:space="preserve"> % e per capita</w:t>
      </w:r>
      <w:r>
        <w:t xml:space="preserve"> </w:t>
      </w:r>
      <w:r>
        <w:t xml:space="preserve">R$ 460. O</w:t>
      </w:r>
      <w:r>
        <w:t xml:space="preserve"> </w:t>
      </w:r>
      <w:r>
        <w:rPr>
          <w:b/>
          <w:bCs/>
        </w:rPr>
        <w:t xml:space="preserve">Cluster 1</w:t>
      </w:r>
      <w:r>
        <w:t xml:space="preserve"> </w:t>
      </w:r>
      <w:r>
        <w:t xml:space="preserve">(14 UFs —</w:t>
      </w:r>
      <w:r>
        <w:t xml:space="preserve"> </w:t>
      </w:r>
      <w:r>
        <w:rPr>
          <w:i/>
          <w:iCs/>
        </w:rPr>
        <w:t xml:space="preserve">todo</w:t>
      </w:r>
      <w:r>
        <w:t xml:space="preserve"> </w:t>
      </w:r>
      <w:r>
        <w:t xml:space="preserve">o Nordeste e o</w:t>
      </w:r>
      <w:r>
        <w:t xml:space="preserve"> </w:t>
      </w:r>
      <w:r>
        <w:t xml:space="preserve">Norte) tem pobreza média de 41,8 %, IDH-M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667</m:t>
        </m:r>
      </m:oMath>
      <w:r>
        <w:t xml:space="preserve">, penetração</w:t>
      </w:r>
      <w:r>
        <w:t xml:space="preserve"> </w:t>
      </w:r>
      <m:oMath>
        <m:r>
          <m:t>17</m:t>
        </m:r>
        <m:r>
          <m:rPr>
            <m:sty m:val="p"/>
          </m:rPr>
          <m:t>,</m:t>
        </m:r>
        <m:r>
          <m:t>3</m:t>
        </m:r>
      </m:oMath>
      <w:r>
        <w:t xml:space="preserve"> % e per capita R$ 1.088. Nenhuma informação de pobreza ou</w:t>
      </w:r>
      <w:r>
        <w:t xml:space="preserve"> </w:t>
      </w:r>
      <w:r>
        <w:t xml:space="preserve">IDH-M rotulou os grupos de antemão; ainda assim, a partição reproduz</w:t>
      </w:r>
      <w:r>
        <w:t xml:space="preserve"> </w:t>
      </w:r>
      <w:r>
        <w:t xml:space="preserve">quase exatamente a clivagem socioeconômica conhecida do país</w:t>
      </w:r>
      <w:r>
        <w:t xml:space="preserve"> </w:t>
      </w:r>
      <w:r>
        <w:t xml:space="preserve">(Figura 19).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19 — Agrupamento K-means das 27 UFs no plano das duas primeiras componentes principais (penetração, per capita, IDH-M e pobreza padronizados)</w:t>
      </w:r>
    </w:p>
    <w:p>
      <w:pPr>
        <w:pStyle w:val="BodyText"/>
        <w:jc w:val="center"/>
      </w:pPr>
      <w:r>
        <w:drawing>
          <wp:inline>
            <wp:extent cx="5400000" cy="3751006"/>
            <wp:effectExtent b="0" l="0" r="0" t="0"/>
            <wp:docPr descr="image" title="" id="110" name="Picture"/>
            <a:graphic>
              <a:graphicData uri="http://schemas.openxmlformats.org/drawingml/2006/picture">
                <pic:pic>
                  <pic:nvPicPr>
                    <pic:cNvPr descr="figures-pbf/fig18-ml-clusters.png" id="111" name="Picture"/>
                    <pic:cNvPicPr>
                      <a:picLocks noChangeArrowheads="1" noChangeAspect="1"/>
                    </pic:cNvPicPr>
                  </pic:nvPicPr>
                  <pic:blipFill>
                    <a:blip r:embed="rId10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75100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bookmarkEnd w:id="112"/>
    <w:bookmarkStart w:id="116" w:name="X680128303a657aaec06e7945932f3571f44f9b7"/>
    <w:p>
      <w:pPr>
        <w:pStyle w:val="Heading2"/>
      </w:pPr>
      <w:r>
        <w:t xml:space="preserve">Nível 3 — modelo supervisionado e validação</w:t>
      </w:r>
    </w:p>
    <w:p>
      <w:pPr>
        <w:pStyle w:val="FirstParagraph"/>
        <w:ind w:firstLine="709"/>
      </w:pPr>
      <w:r>
        <w:t xml:space="preserve">Por fim, testamos se as três variáveis</w:t>
      </w:r>
      <w:r>
        <w:t xml:space="preserve"> </w:t>
      </w:r>
      <w:r>
        <w:rPr>
          <w:i/>
          <w:iCs/>
        </w:rPr>
        <w:t xml:space="preserve">internas</w:t>
      </w:r>
      <w:r>
        <w:t xml:space="preserve"> </w:t>
      </w:r>
      <w:r>
        <w:t xml:space="preserve">do programa,</w:t>
      </w:r>
      <w:r>
        <w:t xml:space="preserve"> </w:t>
      </w:r>
      <w:r>
        <w:t xml:space="preserve">sozinhas, preveem a pobreza. Treinamos dois modelos — regressão linear</w:t>
      </w:r>
      <w:r>
        <w:t xml:space="preserve"> </w:t>
      </w:r>
      <w:r>
        <w:t xml:space="preserve">múltipla e</w:t>
      </w:r>
      <w:r>
        <w:t xml:space="preserve"> </w:t>
      </w:r>
      <w:r>
        <w:rPr>
          <w:i/>
          <w:iCs/>
        </w:rPr>
        <w:t xml:space="preserve">Random Forest</w:t>
      </w:r>
      <w:r>
        <w:t xml:space="preserve"> </w:t>
      </w:r>
      <w:r>
        <w:t xml:space="preserve">(Breiman, 2001; Hastie et al., 2009)</w:t>
      </w:r>
      <w:r>
        <w:t xml:space="preserve"> </w:t>
      </w:r>
      <w:r>
        <w:t xml:space="preserve">— sob validação</w:t>
      </w:r>
      <w:r>
        <w:t xml:space="preserve"> </w:t>
      </w:r>
      <w:r>
        <w:rPr>
          <w:i/>
          <w:iCs/>
        </w:rPr>
        <w:t xml:space="preserve">leave-one-out</w:t>
      </w:r>
      <w:r>
        <w:t xml:space="preserve">: para cada UF, o modelo aprende</w:t>
      </w:r>
      <w:r>
        <w:t xml:space="preserve"> </w:t>
      </w:r>
      <w:r>
        <w:t xml:space="preserve">nas outras 26 e prevê a UF retida, de forma que</w:t>
      </w:r>
      <w:r>
        <w:t xml:space="preserve"> </w:t>
      </w:r>
      <w:r>
        <w:rPr>
          <w:b/>
          <w:bCs/>
        </w:rPr>
        <w:t xml:space="preserve">nenhum estado é</w:t>
      </w:r>
      <w:r>
        <w:rPr>
          <w:b/>
          <w:bCs/>
        </w:rPr>
        <w:t xml:space="preserve"> </w:t>
      </w:r>
      <w:r>
        <w:rPr>
          <w:b/>
          <w:bCs/>
        </w:rPr>
        <w:t xml:space="preserve">avaliado com dados que o modelo já viu</w:t>
      </w:r>
      <w:r>
        <w:t xml:space="preserve">. Esse protocolo penaliza</w:t>
      </w:r>
      <w:r>
        <w:t xml:space="preserve"> </w:t>
      </w:r>
      <w:r>
        <w:t xml:space="preserve">sobreajuste e é o teste honesto de capacidade preditiva.</w:t>
      </w:r>
    </w:p>
    <w:p>
      <w:pPr>
        <w:pStyle w:val="BodyText"/>
        <w:ind w:firstLine="709"/>
      </w:pPr>
      <w:r>
        <w:t xml:space="preserve">A regressão linear atinge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rPr>
          <w:b/>
          <w:bCs/>
        </w:rPr>
        <w:t xml:space="preserve">(LOO)</w:t>
      </w:r>
      <w:r>
        <w:rPr>
          <w:b/>
          <w:bCs/>
        </w:rP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934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2</m:t>
        </m:r>
        <m:r>
          <m:rPr>
            <m:sty m:val="p"/>
          </m:rPr>
          <m:t>,</m:t>
        </m:r>
        <m:r>
          <m:t>61</m:t>
        </m:r>
      </m:oMath>
      <w:r>
        <w:t xml:space="preserve"> </w:t>
      </w:r>
      <w:r>
        <w:t xml:space="preserve">pontos percentuais; a floresta aleatória,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</w:t>
      </w:r>
      <w:r>
        <w:t xml:space="preserve"> </w:t>
      </w:r>
      <m:oMath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916</m:t>
        </m:r>
      </m:oMath>
      <w:r>
        <w:t xml:space="preserve"> </w:t>
      </w:r>
      <w:r>
        <w:t xml:space="preserve">e MAE</w:t>
      </w:r>
      <w:r>
        <w:t xml:space="preserve"> </w:t>
      </w:r>
      <m:oMath>
        <m:r>
          <m:rPr>
            <m:sty m:val="p"/>
          </m:rPr>
          <m:t>=</m:t>
        </m:r>
        <m:r>
          <m:t>3</m:t>
        </m:r>
        <m:r>
          <m:rPr>
            <m:sty m:val="p"/>
          </m:rPr>
          <m:t>,</m:t>
        </m:r>
        <m:r>
          <m:t>17</m:t>
        </m:r>
      </m:oMath>
      <w:r>
        <w:t xml:space="preserve">. Lendo os números: o</w:t>
      </w:r>
      <w:r>
        <w:t xml:space="preserve"> </w:t>
      </w:r>
      <m:oMath>
        <m:sSup>
          <m:e>
            <m:r>
              <m:t>R</m:t>
            </m:r>
          </m:e>
          <m:sup>
            <m:r>
              <m:t>2</m:t>
            </m:r>
          </m:sup>
        </m:sSup>
      </m:oMath>
      <w:r>
        <w:t xml:space="preserve">(LOO) de</w:t>
      </w:r>
      <w:r>
        <w:t xml:space="preserve"> </w:t>
      </w:r>
      <m:oMath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diz que, mesmo</w:t>
      </w:r>
      <w:r>
        <w:t xml:space="preserve"> </w:t>
      </w:r>
      <w:r>
        <w:t xml:space="preserve">prevendo cada estado</w:t>
      </w:r>
      <w:r>
        <w:t xml:space="preserve"> </w:t>
      </w:r>
      <w:r>
        <w:rPr>
          <w:i/>
          <w:iCs/>
        </w:rPr>
        <w:t xml:space="preserve">fora da amostra</w:t>
      </w:r>
      <w:r>
        <w:t xml:space="preserve">, as variáveis do BF</w:t>
      </w:r>
      <w:r>
        <w:t xml:space="preserve"> </w:t>
      </w:r>
      <w:r>
        <w:t xml:space="preserve">explicam 93 % da variação da pobreza entre UFs; o MAE de</w:t>
      </w:r>
      <w:r>
        <w:t xml:space="preserve"> </w:t>
      </w:r>
      <m:oMath>
        <m:r>
          <m:t>2</m:t>
        </m:r>
        <m:r>
          <m:rPr>
            <m:sty m:val="p"/>
          </m:rPr>
          <m:t>,</m:t>
        </m:r>
        <m:r>
          <m:t>6</m:t>
        </m:r>
      </m:oMath>
      <w:r>
        <w:t xml:space="preserve"> </w:t>
      </w:r>
      <w:r>
        <w:t xml:space="preserve">p.p. é o desvio típico entre a pobreza prevista e a observada</w:t>
      </w:r>
      <w:r>
        <w:t xml:space="preserve"> </w:t>
      </w:r>
      <w:r>
        <w:t xml:space="preserve">(Figura 20). A floresta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supera o modelo</w:t>
      </w:r>
      <w:r>
        <w:t xml:space="preserve"> </w:t>
      </w:r>
      <w:r>
        <w:t xml:space="preserve">linear — sinal de que a relação é essencialmente linear e que, 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, não há ganho em adicionar flexibilidade. A importância das</w:t>
      </w:r>
      <w:r>
        <w:t xml:space="preserve"> </w:t>
      </w:r>
      <w:r>
        <w:t xml:space="preserve">variáveis na floresta concentra-se em penetração (</w:t>
      </w:r>
      <m:oMath>
        <m:r>
          <m:t>0</m:t>
        </m:r>
        <m:r>
          <m:rPr>
            <m:sty m:val="p"/>
          </m:rPr>
          <m:t>,</m:t>
        </m:r>
        <m:r>
          <m:t>50</m:t>
        </m:r>
      </m:oMath>
      <w:r>
        <w:t xml:space="preserve">) e per capita</w:t>
      </w:r>
      <w:r>
        <w:t xml:space="preserve"> </w:t>
      </w:r>
      <w:r>
        <w:t xml:space="preserve">(</w:t>
      </w:r>
      <m:oMath>
        <m:r>
          <m:t>0</m:t>
        </m:r>
        <m:r>
          <m:rPr>
            <m:sty m:val="p"/>
          </m:rPr>
          <m:t>,</m:t>
        </m:r>
        <m:r>
          <m:t>47</m:t>
        </m:r>
      </m:oMath>
      <w:r>
        <w:t xml:space="preserve">); o valor por beneficiário (</w:t>
      </w:r>
      <m:oMath>
        <m:r>
          <m:t>0</m:t>
        </m:r>
        <m:r>
          <m:rPr>
            <m:sty m:val="p"/>
          </m:rPr>
          <m:t>,</m:t>
        </m:r>
        <m:r>
          <m:t>03</m:t>
        </m:r>
      </m:oMath>
      <w:r>
        <w:t xml:space="preserve">) é quase irrelevante,</w:t>
      </w:r>
      <w:r>
        <w:t xml:space="preserve"> </w:t>
      </w:r>
      <w:r>
        <w:t xml:space="preserve">coerente com a homogeneidade do valor médio pago entre UFs após o NBF.</w:t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iCs/>
          <w:sz w:val="20"/>
        </w:rPr>
        <w:t xml:space="preserve">Figura 20 — Pobreza observada (PNAD-C 2019)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vs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Cs/>
          <w:sz w:val="20"/>
        </w:rPr>
        <w:t xml:space="preserve">prevista pelas variáveis do Bolsa Família (Random Forest, validação</w:t>
      </w:r>
      <w:r>
        <w:rPr>
          <w:rFonts w:ascii="Times New Roman" w:hAnsi="Times New Roman" w:cs="Times New Roman"/>
          <w:i/>
          <w:iCs/>
          <w:sz w:val="20"/>
        </w:rPr>
        <w:t xml:space="preserve"> </w:t>
      </w:r>
      <w:r>
        <w:rPr>
          <w:rFonts w:ascii="Times New Roman" w:hAnsi="Times New Roman" w:cs="Times New Roman"/>
          <w:i/>
          <w:i/>
          <w:iCs/>
          <w:iCs/>
          <w:sz w:val="20"/>
        </w:rPr>
        <w:t xml:space="preserve">leave-one-out</w:t>
      </w:r>
      <w:r>
        <w:rPr>
          <w:rFonts w:ascii="Times New Roman" w:hAnsi="Times New Roman" w:cs="Times New Roman"/>
          <w:i/>
          <w:iCs/>
          <w:sz w:val="20"/>
        </w:rPr>
        <w:t xml:space="preserve">)</w:t>
      </w:r>
    </w:p>
    <w:p>
      <w:pPr>
        <w:pStyle w:val="BodyText"/>
        <w:jc w:val="center"/>
      </w:pPr>
      <w:r>
        <w:drawing>
          <wp:inline>
            <wp:extent cx="5400000" cy="3800486"/>
            <wp:effectExtent b="0" l="0" r="0" t="0"/>
            <wp:docPr descr="image" title="" id="114" name="Picture"/>
            <a:graphic>
              <a:graphicData uri="http://schemas.openxmlformats.org/drawingml/2006/picture">
                <pic:pic>
                  <pic:nvPicPr>
                    <pic:cNvPr descr="figures-pbf/fig19-ml-proxy-fit.png" id="115" name="Picture"/>
                    <pic:cNvPicPr>
                      <a:picLocks noChangeArrowheads="1" noChangeAspect="1"/>
                    </pic:cNvPicPr>
                  </pic:nvPicPr>
                  <pic:blipFill>
                    <a:blip r:embed="rId1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00000" cy="3800486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  <w:ind w:firstLine="0"/>
        <w:jc w:val="center"/>
      </w:pPr>
      <w:r>
        <w:rPr>
          <w:rFonts w:ascii="Times New Roman" w:hAnsi="Times New Roman" w:cs="Times New Roman"/>
          <w:i/>
          <w:sz w:val="20"/>
        </w:rPr>
        <w:t xml:space="preserve">Fonte: elaboração própria,</w:t>
      </w:r>
      <w:r>
        <w:rPr>
          <w:rFonts w:ascii="Times New Roman" w:hAnsi="Times New Roman" w:cs="Times New Roman"/>
          <w:i/>
          <w:sz w:val="20"/>
        </w:rPr>
        <w:t xml:space="preserve"> </w:t>
      </w:r>
      <w:r>
        <w:rPr>
          <w:rStyle w:val="VerbatimChar"/>
          <w:rFonts w:ascii="Times New Roman" w:hAnsi="Times New Roman" w:cs="Times New Roman"/>
          <w:i/>
          <w:sz w:val="20"/>
        </w:rPr>
        <w:t xml:space="preserve">ml_pbf.py</w:t>
      </w:r>
      <w:r>
        <w:rPr>
          <w:rFonts w:ascii="Times New Roman" w:hAnsi="Times New Roman" w:cs="Times New Roman"/>
          <w:i/>
          <w:sz w:val="20"/>
        </w:rPr>
        <w:t xml:space="preserve">.</w:t>
      </w:r>
    </w:p>
    <w:bookmarkEnd w:id="116"/>
    <w:bookmarkStart w:id="117" w:name="síntese-e-limites"/>
    <w:p>
      <w:pPr>
        <w:pStyle w:val="Heading2"/>
      </w:pPr>
      <w:r>
        <w:t xml:space="preserve">Síntese e limites</w:t>
      </w:r>
    </w:p>
    <w:p>
      <w:pPr>
        <w:pStyle w:val="FirstParagraph"/>
        <w:ind w:firstLine="709"/>
      </w:pPr>
      <w:r>
        <w:t xml:space="preserve">Os três níveis convergem: a cobertura do Bolsa Família é um</w:t>
      </w:r>
      <w:r>
        <w:t xml:space="preserve"> </w:t>
      </w:r>
      <w:r>
        <w:rPr>
          <w:i/>
          <w:iCs/>
        </w:rPr>
        <w:t xml:space="preserve">proxy</w:t>
      </w:r>
      <w:r>
        <w:t xml:space="preserve"> </w:t>
      </w:r>
      <w:r>
        <w:t xml:space="preserve">empiricamente forte de pobreza (</w:t>
      </w:r>
      <m:oMath>
        <m:sSup>
          <m:e>
            <m:r>
              <m:t>R</m:t>
            </m:r>
          </m:e>
          <m:sup>
            <m:r>
              <m:t>2</m:t>
            </m:r>
          </m:sup>
        </m:sSup>
        <m:r>
          <m:rPr>
            <m:sty m:val="p"/>
          </m:rPr>
          <m:t>≈</m:t>
        </m:r>
        <m:r>
          <m:t>0</m:t>
        </m:r>
        <m:r>
          <m:rPr>
            <m:sty m:val="p"/>
          </m:rPr>
          <m:t>,</m:t>
        </m:r>
        <m:r>
          <m:t>93</m:t>
        </m:r>
      </m:oMath>
      <w:r>
        <w:t xml:space="preserve"> </w:t>
      </w:r>
      <w:r>
        <w:t xml:space="preserve">fora da amostra) e,</w:t>
      </w:r>
      <w:r>
        <w:t xml:space="preserve"> </w:t>
      </w:r>
      <w:r>
        <w:t xml:space="preserve">inversamente, de desenvolvimento. Isso</w:t>
      </w:r>
      <w:r>
        <w:t xml:space="preserve"> </w:t>
      </w:r>
      <w:r>
        <w:rPr>
          <w:b/>
          <w:bCs/>
        </w:rPr>
        <w:t xml:space="preserve">valida quantitativamente</w:t>
      </w:r>
      <w:r>
        <w:t xml:space="preserve"> </w:t>
      </w:r>
      <w:r>
        <w:t xml:space="preserve">o uso do programa como indicador territorial na</w:t>
      </w:r>
      <w:r>
        <w:t xml:space="preserve"> </w:t>
      </w:r>
      <w:r>
        <w:t xml:space="preserve">literatura (Rasella et al., 2013) e, ao mesmo tempo, impõe cautela: trata-se</w:t>
      </w:r>
      <w:r>
        <w:t xml:space="preserve"> </w:t>
      </w:r>
      <w:r>
        <w:t xml:space="preserve">de associação</w:t>
      </w:r>
      <w:r>
        <w:t xml:space="preserve"> </w:t>
      </w:r>
      <w:r>
        <w:rPr>
          <w:i/>
          <w:iCs/>
        </w:rPr>
        <w:t xml:space="preserve">transversal</w:t>
      </w:r>
      <w:r>
        <w:t xml:space="preserve"> </w:t>
      </w:r>
      <w:r>
        <w:t xml:space="preserve">com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27</m:t>
        </m:r>
      </m:oMath>
      <w:r>
        <w:t xml:space="preserve"> </w:t>
      </w:r>
      <w:r>
        <w:t xml:space="preserve">e com endogeneidade por</w:t>
      </w:r>
      <w:r>
        <w:t xml:space="preserve"> </w:t>
      </w:r>
      <w:r>
        <w:t xml:space="preserve">desenho (o programa é</w:t>
      </w:r>
      <w:r>
        <w:t xml:space="preserve"> </w:t>
      </w:r>
      <w:r>
        <w:rPr>
          <w:i/>
          <w:iCs/>
        </w:rPr>
        <w:t xml:space="preserve">construído</w:t>
      </w:r>
      <w:r>
        <w:t xml:space="preserve"> </w:t>
      </w:r>
      <w:r>
        <w:t xml:space="preserve">para focalizar a pobreza). As</w:t>
      </w:r>
      <w:r>
        <w:t xml:space="preserve"> </w:t>
      </w:r>
      <w:r>
        <w:t xml:space="preserve">relações aqui medidas são descritivas e preditivas,</w:t>
      </w:r>
      <w:r>
        <w:t xml:space="preserve"> </w:t>
      </w:r>
      <w:r>
        <w:rPr>
          <w:b/>
          <w:bCs/>
        </w:rPr>
        <w:t xml:space="preserve">não causais</w:t>
      </w:r>
      <w:r>
        <w:t xml:space="preserve">.</w:t>
      </w:r>
    </w:p>
    <w:bookmarkEnd w:id="117"/>
    <w:bookmarkEnd w:id="118"/>
    <w:bookmarkStart w:id="124" w:name="discussão"/>
    <w:p>
      <w:pPr>
        <w:pStyle w:val="Heading1"/>
      </w:pPr>
      <w:r>
        <w:t xml:space="preserve">Discussão</w:t>
      </w:r>
    </w:p>
    <w:bookmarkStart w:id="119" w:name="Xe3f05c71ad5ed3d76a0e00be81692eef0456703"/>
    <w:p>
      <w:pPr>
        <w:pStyle w:val="Heading2"/>
      </w:pPr>
      <w:r>
        <w:t xml:space="preserve">O salto de 2022–2023: o que se identifica e o que não</w:t>
      </w:r>
    </w:p>
    <w:p>
      <w:pPr>
        <w:pStyle w:val="FirstParagraph"/>
        <w:ind w:firstLine="709"/>
      </w:pPr>
      <w:r>
        <w:t xml:space="preserve">A Seção 4 estabeleceu, descritivamente, dois</w:t>
      </w:r>
      <w:r>
        <w:t xml:space="preserve"> </w:t>
      </w:r>
      <w:r>
        <w:t xml:space="preserve">saltos de magnitude</w:t>
      </w:r>
      <w:r>
        <w:t xml:space="preserve"> </w:t>
      </w:r>
      <m:oMath>
        <m:r>
          <m:rPr>
            <m:sty m:val="p"/>
          </m:rPr>
          <m:t>&gt;</m:t>
        </m:r>
        <m:r>
          <m:t>2</m:t>
        </m:r>
        <m:r>
          <m:rPr>
            <m:sty m:val="p"/>
          </m:rPr>
          <m:t>×</m:t>
        </m:r>
      </m:oMath>
      <w:r>
        <w:t xml:space="preserve"> </w:t>
      </w:r>
      <w:r>
        <w:t xml:space="preserve">no valor real entre 2021</w:t>
      </w:r>
      <m:oMath>
        <m:r>
          <m:rPr>
            <m:sty m:val="p"/>
          </m:rPr>
          <m:t>→</m:t>
        </m:r>
      </m:oMath>
      <w:r>
        <w:t xml:space="preserve">2022 e</w:t>
      </w:r>
      <w:r>
        <w:t xml:space="preserve"> </w:t>
      </w:r>
      <w:r>
        <w:t xml:space="preserve">2022</w:t>
      </w:r>
      <m:oMath>
        <m:r>
          <m:rPr>
            <m:sty m:val="p"/>
          </m:rPr>
          <m:t>→</m:t>
        </m:r>
      </m:oMath>
      <w:r>
        <w:t xml:space="preserve">2023. A Seção 5 mostrou que esses saltos</w:t>
      </w:r>
      <w:r>
        <w:t xml:space="preserve"> </w:t>
      </w:r>
      <w:r>
        <w:rPr>
          <w:i/>
          <w:iCs/>
        </w:rPr>
        <w:t xml:space="preserve">não</w:t>
      </w:r>
      <w:r>
        <w:t xml:space="preserve"> </w:t>
      </w:r>
      <w:r>
        <w:t xml:space="preserve">podem ser atribuídos causalmente à intensidade do</w:t>
      </w:r>
      <w:r>
        <w:t xml:space="preserve"> </w:t>
      </w:r>
      <w:r>
        <w:rPr>
          <w:i/>
          <w:iCs/>
        </w:rPr>
        <w:t xml:space="preserve">déficit de cobertura</w:t>
      </w:r>
      <w:r>
        <w:t xml:space="preserve"> </w:t>
      </w:r>
      <w:r>
        <w:t xml:space="preserve">pré-choque sob a métrica robusta</w:t>
      </w:r>
      <w:r>
        <w:t xml:space="preserve"> </w:t>
      </w:r>
      <w:r>
        <w:t xml:space="preserve">apropriada para N = 27</w:t>
      </w:r>
      <w:r>
        <w:t xml:space="preserve"> </w:t>
      </w:r>
      <w:r>
        <w:rPr>
          <w:i/>
          <w:iCs/>
        </w:rPr>
        <w:t xml:space="preserve">clusters</w:t>
      </w:r>
      <w:r>
        <w:t xml:space="preserve">. O que sobrevive é a</w:t>
      </w:r>
      <w:r>
        <w:t xml:space="preserve"> </w:t>
      </w:r>
      <w:r>
        <w:t xml:space="preserve">descrição: o programa cresceu uniformemente em todas as UFs,</w:t>
      </w:r>
      <w:r>
        <w:t xml:space="preserve"> </w:t>
      </w:r>
      <w:r>
        <w:t xml:space="preserve">inclusive nas UFs de menor déficit pré-choque, sugerindo que a</w:t>
      </w:r>
      <w:r>
        <w:t xml:space="preserve"> </w:t>
      </w:r>
      <w:r>
        <w:t xml:space="preserve">expansão foi</w:t>
      </w:r>
      <w:r>
        <w:t xml:space="preserve"> </w:t>
      </w:r>
      <w:r>
        <w:rPr>
          <w:i/>
          <w:iCs/>
        </w:rPr>
        <w:t xml:space="preserve">flat</w:t>
      </w:r>
      <w:r>
        <w:t xml:space="preserve"> </w:t>
      </w:r>
      <w:r>
        <w:t xml:space="preserve">em UF e não um redirecionamento para os</w:t>
      </w:r>
      <w:r>
        <w:t xml:space="preserve"> </w:t>
      </w:r>
      <w:r>
        <w:t xml:space="preserve">estados com maior gap. Isso é coerente com a literatura</w:t>
      </w:r>
      <w:r>
        <w:t xml:space="preserve"> </w:t>
      </w:r>
      <w:r>
        <w:t xml:space="preserve">política-administrativa do programa: a expansão veio por elevação</w:t>
      </w:r>
      <w:r>
        <w:t xml:space="preserve"> </w:t>
      </w:r>
      <w:r>
        <w:t xml:space="preserve">do piso e por inclusão de unipessoais antes restritas, não por</w:t>
      </w:r>
      <w:r>
        <w:t xml:space="preserve"> </w:t>
      </w:r>
      <w:r>
        <w:t xml:space="preserve">revisão da geografia da elegibilidade.</w:t>
      </w:r>
    </w:p>
    <w:bookmarkEnd w:id="119"/>
    <w:bookmarkStart w:id="120" w:name="Xc1bdbcae8e3adb9c7bf545954690e0fc2126472"/>
    <w:p>
      <w:pPr>
        <w:pStyle w:val="Heading2"/>
      </w:pPr>
      <w:r>
        <w:t xml:space="preserve">Progressividade decrescente entre regimes</w:t>
      </w:r>
    </w:p>
    <w:p>
      <w:pPr>
        <w:pStyle w:val="FirstParagraph"/>
        <w:ind w:firstLine="709"/>
      </w:pPr>
      <w:r>
        <w:t xml:space="preserve">A descoberta da</w:t>
      </w:r>
      <w:r>
        <w:t xml:space="preserve"> </w:t>
      </w:r>
      <w:r>
        <w:rPr>
          <w:b/>
          <w:bCs/>
        </w:rPr>
        <w:t xml:space="preserve">queda da progressividade entre os três</w:t>
      </w:r>
      <w:r>
        <w:rPr>
          <w:b/>
          <w:bCs/>
        </w:rPr>
        <w:t xml:space="preserve"> </w:t>
      </w:r>
      <w:r>
        <w:rPr>
          <w:b/>
          <w:bCs/>
        </w:rPr>
        <w:t xml:space="preserve">regimes</w:t>
      </w:r>
      <w:r>
        <w:t xml:space="preserve"> </w:t>
      </w:r>
      <w:r>
        <w:t xml:space="preserve">(K decrescendo monotonicamente em magnitude absoluta de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334</m:t>
            </m:r>
          </m:e>
        </m:d>
      </m:oMath>
      <w:r>
        <w:t xml:space="preserve"> </w:t>
      </w:r>
      <w:r>
        <w:t xml:space="preserve">em 2018 para</w:t>
      </w:r>
      <w:r>
        <w:t xml:space="preserve"> </w:t>
      </w:r>
      <m:oMath>
        <m:d>
          <m:dPr>
            <m:begChr m:val="|"/>
            <m:endChr m:val="|"/>
            <m:sepChr m:val=""/>
            <m:grow/>
          </m:dPr>
          <m:e>
            <m:r>
              <m:t>0</m:t>
            </m:r>
            <m:r>
              <m:rPr>
                <m:sty m:val="p"/>
              </m:rPr>
              <m:t>,</m:t>
            </m:r>
            <m:r>
              <m:t>258</m:t>
            </m:r>
          </m:e>
        </m:d>
      </m:oMath>
      <w:r>
        <w:t xml:space="preserve"> </w:t>
      </w:r>
      <w:r>
        <w:t xml:space="preserve">em 2024) é distinta dos achados</w:t>
      </w:r>
      <w:r>
        <w:t xml:space="preserve"> </w:t>
      </w:r>
      <w:r>
        <w:t xml:space="preserve">descritivos da literatura prévia. Sob ônus de Kakwani, isso</w:t>
      </w:r>
      <w:r>
        <w:t xml:space="preserve"> </w:t>
      </w:r>
      <w:r>
        <w:t xml:space="preserve">significa que a expansão da cobertura entre 2021 e 2024 incorporou</w:t>
      </w:r>
      <w:r>
        <w:t xml:space="preserve"> </w:t>
      </w:r>
      <w:r>
        <w:t xml:space="preserve">famílias proporcionalmente</w:t>
      </w:r>
      <w:r>
        <w:t xml:space="preserve"> </w:t>
      </w:r>
      <w:r>
        <w:rPr>
          <w:i/>
          <w:iCs/>
        </w:rPr>
        <w:t xml:space="preserve">menos</w:t>
      </w:r>
      <w:r>
        <w:t xml:space="preserve"> </w:t>
      </w:r>
      <w:r>
        <w:t xml:space="preserve">concentradas nas UFs de</w:t>
      </w:r>
      <w:r>
        <w:t xml:space="preserve"> </w:t>
      </w:r>
      <w:r>
        <w:t xml:space="preserve">menor IDH-M. O Auxílio Brasil e o NBF cresceram em todos os</w:t>
      </w:r>
      <w:r>
        <w:t xml:space="preserve"> </w:t>
      </w:r>
      <w:r>
        <w:t xml:space="preserve">estados, mas cresceram</w:t>
      </w:r>
      <w:r>
        <w:t xml:space="preserve"> </w:t>
      </w:r>
      <w:r>
        <w:rPr>
          <w:i/>
          <w:iCs/>
        </w:rPr>
        <w:t xml:space="preserve">mais que proporcionalmente</w:t>
      </w:r>
      <w:r>
        <w:t xml:space="preserve"> </w:t>
      </w:r>
      <w:r>
        <w:t xml:space="preserve">em</w:t>
      </w:r>
      <w:r>
        <w:t xml:space="preserve"> </w:t>
      </w:r>
      <w:r>
        <w:t xml:space="preserve">estados de IDH-M mediano, atenuando o gradiente progressivo.</w:t>
      </w:r>
    </w:p>
    <w:bookmarkEnd w:id="120"/>
    <w:bookmarkStart w:id="121" w:name="X6798fd1e975e380a9c6556a40b4c58ce007e982"/>
    <w:p>
      <w:pPr>
        <w:pStyle w:val="Heading2"/>
      </w:pPr>
      <w:r>
        <w:t xml:space="preserve">Sub-cobertura dos estados aparentemente líderes</w:t>
      </w:r>
    </w:p>
    <w:p>
      <w:pPr>
        <w:pStyle w:val="FirstParagraph"/>
        <w:ind w:firstLine="709"/>
      </w:pPr>
      <w:r>
        <w:t xml:space="preserve">O índice de necessidade documenta paradoxo distributivo: UFs no</w:t>
      </w:r>
      <w:r>
        <w:t xml:space="preserve"> </w:t>
      </w:r>
      <w:r>
        <w:rPr>
          <w:i/>
          <w:iCs/>
        </w:rPr>
        <w:t xml:space="preserve">topo</w:t>
      </w:r>
      <w:r>
        <w:t xml:space="preserve"> </w:t>
      </w:r>
      <w:r>
        <w:t xml:space="preserve">do ranking per capita (Maranhão, Acre, Pará, Roraima,</w:t>
      </w:r>
      <w:r>
        <w:t xml:space="preserve"> </w:t>
      </w:r>
      <w:r>
        <w:t xml:space="preserve">Rondônia) estão de fato</w:t>
      </w:r>
      <w:r>
        <w:t xml:space="preserve"> </w:t>
      </w:r>
      <w:r>
        <w:rPr>
          <w:i/>
          <w:iCs/>
        </w:rPr>
        <w:t xml:space="preserve">sub-cobertas</w:t>
      </w:r>
      <w:r>
        <w:t xml:space="preserve"> </w:t>
      </w:r>
      <w:r>
        <w:t xml:space="preserve">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Em valor por habitante são</w:t>
      </w:r>
      <w:r>
        <w:t xml:space="preserve"> </w:t>
      </w:r>
      <w:r>
        <w:t xml:space="preserve">campeãs, em</w:t>
      </w:r>
      <w:r>
        <w:t xml:space="preserve"> </w:t>
      </w:r>
      <w:r>
        <w:rPr>
          <w:i/>
          <w:iCs/>
        </w:rPr>
        <w:t xml:space="preserve">share</w:t>
      </w:r>
      <w:r>
        <w:t xml:space="preserve"> </w:t>
      </w:r>
      <w:r>
        <w:t xml:space="preserve">relativa à necessidade são deficitárias.</w:t>
      </w:r>
      <w:r>
        <w:t xml:space="preserve"> </w:t>
      </w:r>
      <w:r>
        <w:t xml:space="preserve">A análise per capita simples, embora correta, esconde essa</w:t>
      </w:r>
      <w:r>
        <w:t xml:space="preserve"> </w:t>
      </w:r>
      <w:r>
        <w:t xml:space="preserve">informação — é precisamente o tipo de paradoxo que o</w:t>
      </w:r>
      <w:r>
        <w:t xml:space="preserve"> </w:t>
      </w:r>
      <w:r>
        <w:t xml:space="preserve">índice de necessidade foi desenhado para revelar.</w:t>
      </w:r>
    </w:p>
    <w:bookmarkEnd w:id="121"/>
    <w:bookmarkStart w:id="122" w:name="X7acc8e614577a184a332b0307a624f9d320f1b9"/>
    <w:p>
      <w:pPr>
        <w:pStyle w:val="Heading2"/>
      </w:pPr>
      <w:r>
        <w:t xml:space="preserve">Sustentabilidade fiscal sob comparação internacional</w:t>
      </w:r>
    </w:p>
    <w:p>
      <w:pPr>
        <w:pStyle w:val="FirstParagraph"/>
        <w:ind w:firstLine="709"/>
      </w:pPr>
      <w:r>
        <w:t xml:space="preserve">O NBF a 1,10 % do PIB é o maior CCT focalizado por renda da</w:t>
      </w:r>
      <w:r>
        <w:t xml:space="preserve"> </w:t>
      </w:r>
      <w:r>
        <w:t xml:space="preserve">América Latina em magnitude relativa. A Argentina opera AUH a</w:t>
      </w:r>
      <w:r>
        <w:t xml:space="preserve"> </w:t>
      </w:r>
      <w:r>
        <w:t xml:space="preserve">0,55 %, Colômbia 0,40 %, México (em sua fase final) 0,30 % do</w:t>
      </w:r>
      <w:r>
        <w:t xml:space="preserve"> </w:t>
      </w:r>
      <w:r>
        <w:t xml:space="preserve">PIB. Esse patamar é replicável apenas pela Bolívia, mas o Renta</w:t>
      </w:r>
      <w:r>
        <w:t xml:space="preserve"> </w:t>
      </w:r>
      <w:r>
        <w:t xml:space="preserve">Dignidad é universal-por-idade, não focalizado. A trajetória</w:t>
      </w:r>
      <w:r>
        <w:t xml:space="preserve"> </w:t>
      </w:r>
      <w:r>
        <w:t xml:space="preserve">brasileira de R$ 36,75 bi (2018)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 (2024) em</w:t>
      </w:r>
      <w:r>
        <w:t xml:space="preserve"> </w:t>
      </w:r>
      <w:r>
        <w:t xml:space="preserve">valores reais coloca o programa em rota de pressão sobre o teto de</w:t>
      </w:r>
      <w:r>
        <w:t xml:space="preserve"> </w:t>
      </w:r>
      <w:r>
        <w:t xml:space="preserve">gastos sob qualquer cenário de baixo crescimento do PIB. A</w:t>
      </w:r>
      <w:r>
        <w:t xml:space="preserve"> </w:t>
      </w:r>
      <w:r>
        <w:t xml:space="preserve">discussão pública sobre essa pressão tem ocorrido sem suporte</w:t>
      </w:r>
      <w:r>
        <w:t xml:space="preserve"> </w:t>
      </w:r>
      <w:r>
        <w:t xml:space="preserve">analítico público em microdados consolidados — este</w:t>
      </w:r>
      <w:r>
        <w:t xml:space="preserve"> </w:t>
      </w:r>
      <w:r>
        <w:t xml:space="preserve">trabalho contribui esse suporte.</w:t>
      </w:r>
    </w:p>
    <w:bookmarkEnd w:id="122"/>
    <w:bookmarkStart w:id="123" w:name="Xd4e3156d5ed34e72a17ea2ccc9148026e5dfabc"/>
    <w:p>
      <w:pPr>
        <w:pStyle w:val="Heading2"/>
      </w:pPr>
      <w:r>
        <w:t xml:space="preserve">PBF vs Emendas: lógicas, formalmente distintas</w:t>
      </w:r>
    </w:p>
    <w:p>
      <w:pPr>
        <w:pStyle w:val="FirstParagraph"/>
        <w:ind w:firstLine="709"/>
      </w:pPr>
      <w:r>
        <w:t xml:space="preserve">A comparação Kakwani (PBF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33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26</m:t>
            </m:r>
          </m:e>
        </m:d>
      </m:oMath>
      <w:r>
        <w:t xml:space="preserve"> </w:t>
      </w:r>
      <w:r>
        <w:t xml:space="preserve">ao longo do</w:t>
      </w:r>
      <w:r>
        <w:t xml:space="preserve"> </w:t>
      </w:r>
      <w:r>
        <w:t xml:space="preserve">período; emendas</w:t>
      </w:r>
      <w:r>
        <w:t xml:space="preserve"> </w:t>
      </w:r>
      <m:oMath>
        <m:r>
          <m:t>K</m:t>
        </m:r>
        <m:r>
          <m:rPr>
            <m:sty m:val="p"/>
          </m:rPr>
          <m:t>∈</m:t>
        </m:r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17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13</m:t>
            </m:r>
          </m:e>
        </m:d>
      </m:oMath>
      <w:r>
        <w:t xml:space="preserve">) substitui o contraste</w:t>
      </w:r>
      <w:r>
        <w:t xml:space="preserve"> </w:t>
      </w:r>
      <w:r>
        <w:t xml:space="preserve">descritivo de CV da v1.0. Ambas distribuições são</w:t>
      </w:r>
      <w:r>
        <w:t xml:space="preserve"> </w:t>
      </w:r>
      <w:r>
        <w:rPr>
          <w:i/>
          <w:iCs/>
        </w:rPr>
        <w:t xml:space="preserve">tecnicamente</w:t>
      </w:r>
      <w:r>
        <w:t xml:space="preserve"> </w:t>
      </w:r>
      <w:r>
        <w:t xml:space="preserve">progressivas em relação ao IDH-M, mas o PBF é</w:t>
      </w:r>
      <w:r>
        <w:t xml:space="preserve"> </w:t>
      </w:r>
      <w:r>
        <w:t xml:space="preserve">sistematicamente mais progressivo — 1,7 a 2,5 vezes a</w:t>
      </w:r>
      <w:r>
        <w:t xml:space="preserve"> </w:t>
      </w:r>
      <w:r>
        <w:t xml:space="preserve">intensidade. A interpretação é que o PBF responde a critérios</w:t>
      </w:r>
      <w:r>
        <w:t xml:space="preserve"> </w:t>
      </w:r>
      <w:r>
        <w:t xml:space="preserve">socioeconômicos formais (Cadastro Único, linha de pobreza),</w:t>
      </w:r>
      <w:r>
        <w:t xml:space="preserve"> </w:t>
      </w:r>
      <w:r>
        <w:t xml:space="preserve">enquanto as emendas respondem à força política das bancadas</w:t>
      </w:r>
      <w:r>
        <w:t xml:space="preserve"> </w:t>
      </w:r>
      <w:r>
        <w:t xml:space="preserve">estaduais. Ambas as lógicas podem ser legítimas em federação</w:t>
      </w:r>
      <w:r>
        <w:t xml:space="preserve"> </w:t>
      </w:r>
      <w:r>
        <w:t xml:space="preserve">democrática; o que importa é</w:t>
      </w:r>
      <w:r>
        <w:t xml:space="preserve"> </w:t>
      </w:r>
      <w:r>
        <w:rPr>
          <w:i/>
          <w:iCs/>
        </w:rPr>
        <w:t xml:space="preserve">tornar explícito</w:t>
      </w:r>
      <w:r>
        <w:t xml:space="preserve"> </w:t>
      </w:r>
      <w:r>
        <w:t xml:space="preserve">qual</w:t>
      </w:r>
      <w:r>
        <w:t xml:space="preserve"> </w:t>
      </w:r>
      <w:r>
        <w:t xml:space="preserve">critério rege qual instrumento e</w:t>
      </w:r>
      <w:r>
        <w:t xml:space="preserve"> </w:t>
      </w:r>
      <w:r>
        <w:rPr>
          <w:i/>
          <w:iCs/>
        </w:rPr>
        <w:t xml:space="preserve">medir</w:t>
      </w:r>
      <w:r>
        <w:t xml:space="preserve"> </w:t>
      </w:r>
      <w:r>
        <w:t xml:space="preserve">suas implicações</w:t>
      </w:r>
      <w:r>
        <w:t xml:space="preserve"> </w:t>
      </w:r>
      <w:r>
        <w:t xml:space="preserve">distributivas com aparato cardinal.</w:t>
      </w:r>
    </w:p>
    <w:bookmarkEnd w:id="123"/>
    <w:bookmarkEnd w:id="124"/>
    <w:bookmarkStart w:id="128" w:name="considerações-finais"/>
    <w:p>
      <w:pPr>
        <w:pStyle w:val="Heading1"/>
      </w:pPr>
      <w:r>
        <w:t xml:space="preserve">Considerações Finais</w:t>
      </w:r>
    </w:p>
    <w:bookmarkStart w:id="125" w:name="X2e4a5ba5fae4fcf92111d2a688d9f2b3eb1bc6d"/>
    <w:p>
      <w:pPr>
        <w:pStyle w:val="Heading2"/>
      </w:pPr>
      <w:r>
        <w:t xml:space="preserve">O que documentamos, o que identificamos, o que não</w:t>
      </w:r>
    </w:p>
    <w:p>
      <w:pPr>
        <w:pStyle w:val="FirstParagraph"/>
        <w:ind w:firstLine="709"/>
      </w:pPr>
      <w:r>
        <w:rPr>
          <w:b/>
          <w:bCs/>
        </w:rPr>
        <w:t xml:space="preserve">(i) Documentação.</w:t>
      </w:r>
      <w:r>
        <w:t xml:space="preserve"> </w:t>
      </w:r>
      <w:r>
        <w:t xml:space="preserve">O programa atravessou três regimes</w:t>
      </w:r>
      <w:r>
        <w:t xml:space="preserve"> </w:t>
      </w:r>
      <w:r>
        <w:t xml:space="preserve">(2003–2021, 2022, 2023–2025). Em valores</w:t>
      </w:r>
      <w:r>
        <w:t xml:space="preserve"> </w:t>
      </w:r>
      <w:r>
        <w:t xml:space="preserve">reais, quase quadruplicou entre 2018 e 2024 (R$ 36,75 bi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R$ 140,88 bi,</w:t>
      </w:r>
      <w:r>
        <w:t xml:space="preserve"> </w:t>
      </w:r>
      <m:oMath>
        <m:r>
          <m:rPr>
            <m:sty m:val="p"/>
          </m:rPr>
          <m:t>+</m:t>
        </m:r>
        <m:r>
          <m:t>283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). O número de beneficiários cresceu</w:t>
      </w:r>
      <w:r>
        <w:t xml:space="preserve"> </w:t>
      </w:r>
      <m:oMath>
        <m:r>
          <m:t>36</m:t>
        </m:r>
        <m:r>
          <m:rPr>
            <m:sty m:val="p"/>
          </m:rPr>
          <m:t>,</m:t>
        </m:r>
        <m:r>
          <m:t>4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(16,99 M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23,18 M, com pico em 2023 de 24,51 M).</w:t>
      </w:r>
      <w:r>
        <w:t xml:space="preserve"> </w:t>
      </w:r>
      <w:r>
        <w:t xml:space="preserve">O valor por beneficiário cresceu</w:t>
      </w:r>
      <w:r>
        <w:t xml:space="preserve"> </w:t>
      </w:r>
      <m:oMath>
        <m:r>
          <m:t>180</m:t>
        </m:r>
        <m:r>
          <m:rPr>
            <m:sty m:val="p"/>
          </m:rPr>
          <m:t>,</m:t>
        </m:r>
        <m:r>
          <m:t>9</m:t>
        </m:r>
        <m:r>
          <m:t> </m:t>
        </m:r>
        <m:r>
          <m:rPr>
            <m:sty m:val="p"/>
          </m:rPr>
          <m:t>%</m:t>
        </m:r>
      </m:oMath>
      <w:r>
        <w:t xml:space="preserve"> </w:t>
      </w:r>
      <w:r>
        <w:t xml:space="preserve">(</w:t>
      </w:r>
      <m:oMath>
        <m:r>
          <m:t>R</m:t>
        </m:r>
        <m:r>
          <m:rPr>
            <m:sty m:val="p"/>
          </m:rPr>
          <m:t>$</m:t>
        </m:r>
        <m:r>
          <m:t> </m:t>
        </m:r>
        <m:r>
          <m:t>2.163</m:t>
        </m:r>
        <m:r>
          <m:rPr>
            <m:sty m:val="p"/>
          </m:rPr>
          <m:t>→</m:t>
        </m:r>
        <m:r>
          <m:t>R</m:t>
        </m:r>
        <m:r>
          <m:rPr>
            <m:sty m:val="p"/>
          </m:rPr>
          <m:t>$</m:t>
        </m:r>
        <m:r>
          <m:t> </m:t>
        </m:r>
        <m:r>
          <m:t>6.078</m:t>
        </m:r>
      </m:oMath>
      <w:r>
        <w:t xml:space="preserve">). A focalização territorial em 2025 apresenta razão</w:t>
      </w:r>
      <w:r>
        <w:t xml:space="preserve"> </w:t>
      </w:r>
      <m:oMath>
        <m:r>
          <m:t>6</m:t>
        </m:r>
        <m:r>
          <m:rPr>
            <m:sty m:val="p"/>
          </m:rPr>
          <m:t>,</m:t>
        </m:r>
        <m:r>
          <m:t>98</m:t>
        </m:r>
        <m:r>
          <m:rPr>
            <m:sty m:val="p"/>
          </m:rPr>
          <m:t>:</m:t>
        </m:r>
        <m:r>
          <m:t>1</m:t>
        </m:r>
      </m:oMath>
      <w:r>
        <w:t xml:space="preserve"> </w:t>
      </w:r>
      <w:r>
        <w:t xml:space="preserve">entre os extremos, com Nordeste a R$ 1.051/hab e Sul a</w:t>
      </w:r>
      <w:r>
        <w:t xml:space="preserve"> </w:t>
      </w:r>
      <w:r>
        <w:t xml:space="preserve">R$ 283/hab.</w:t>
      </w:r>
    </w:p>
    <w:p>
      <w:pPr>
        <w:pStyle w:val="BodyText"/>
        <w:ind w:firstLine="709"/>
      </w:pPr>
      <w:r>
        <w:rPr>
          <w:b/>
          <w:bCs/>
        </w:rPr>
        <w:t xml:space="preserve">(ii) Identificação.</w:t>
      </w:r>
      <w:r>
        <w:t xml:space="preserve"> </w:t>
      </w:r>
      <w:r>
        <w:t xml:space="preserve">O DiD 2</w:t>
      </w:r>
      <m:oMath>
        <m:r>
          <m:rPr>
            <m:sty m:val="p"/>
          </m:rPr>
          <m:t>×</m:t>
        </m:r>
      </m:oMath>
      <w:r>
        <w:t xml:space="preserve">2 e o TWFE</w:t>
      </w:r>
      <w:r>
        <w:t xml:space="preserve"> </w:t>
      </w:r>
      <w:r>
        <w:t xml:space="preserve">clusterizado sobre MP 1.061/2021 produzem coeficientes grandes e</w:t>
      </w:r>
      <w:r>
        <w:t xml:space="preserve"> </w:t>
      </w:r>
      <w:r>
        <w:t xml:space="preserve">estatisticamente significativos sob HC3 (</w:t>
      </w:r>
      <m:oMath>
        <m:acc>
          <m:accPr>
            <m:chr m:val="̂"/>
          </m:accPr>
          <m:e>
            <m:r>
              <m:t>β</m:t>
            </m:r>
          </m:e>
        </m:acc>
        <m:r>
          <m:rPr>
            <m:sty m:val="p"/>
          </m:rPr>
          <m:t>≈</m:t>
        </m:r>
        <m:r>
          <m:rPr>
            <m:sty m:val="p"/>
          </m:rPr>
          <m:t>+</m:t>
        </m:r>
        <m:r>
          <m:t>220</m:t>
        </m:r>
      </m:oMath>
      <w:r>
        <w:t xml:space="preserve"> </w:t>
      </w:r>
      <w:r>
        <w:t xml:space="preserve">R$ /hab,</w:t>
      </w:r>
      <w:r>
        <w:t xml:space="preserve"> </w:t>
      </w:r>
      <m:oMath>
        <m:r>
          <m:t>p</m:t>
        </m:r>
        <m:r>
          <m:rPr>
            <m:sty m:val="p"/>
          </m:rPr>
          <m:t>&lt;</m:t>
        </m:r>
        <m:r>
          <m:t>0</m:t>
        </m:r>
        <m:r>
          <m:rPr>
            <m:sty m:val="p"/>
          </m:rPr>
          <m:t>,</m:t>
        </m:r>
        <m:r>
          <m:t>001</m:t>
        </m:r>
      </m:oMath>
      <w:r>
        <w:t xml:space="preserve">); o</w:t>
      </w:r>
      <w:r>
        <w:t xml:space="preserve"> </w:t>
      </w:r>
      <w:r>
        <w:rPr>
          <w:i/>
          <w:iCs/>
        </w:rPr>
        <w:t xml:space="preserve">wild-cluster bootstrap</w:t>
      </w:r>
      <w:r>
        <w:t xml:space="preserve">,</w:t>
      </w:r>
      <w:r>
        <w:t xml:space="preserve"> </w:t>
      </w:r>
      <w:r>
        <w:t xml:space="preserve">contudo, devolve</w:t>
      </w:r>
      <w:r>
        <w:t xml:space="preserve"> </w:t>
      </w:r>
      <m:oMath>
        <m:sSub>
          <m:e>
            <m:r>
              <m:t>p</m:t>
            </m:r>
          </m:e>
          <m:sub>
            <m:r>
              <m:rPr>
                <m:sty m:val="p"/>
              </m:rPr>
              <m:t>W</m:t>
            </m:r>
            <m:r>
              <m:rPr>
                <m:sty m:val="p"/>
              </m:rPr>
              <m:t>C</m:t>
            </m:r>
            <m:r>
              <m:rPr>
                <m:sty m:val="p"/>
              </m:rPr>
              <m:t>B</m:t>
            </m:r>
          </m:sub>
        </m:sSub>
        <m:r>
          <m:rPr>
            <m:sty m:val="p"/>
          </m:rPr>
          <m:t>=</m:t>
        </m:r>
        <m:r>
          <m:t>0</m:t>
        </m:r>
        <m:r>
          <m:rPr>
            <m:sty m:val="p"/>
          </m:rPr>
          <m:t>,</m:t>
        </m:r>
        <m:r>
          <m:t>49</m:t>
        </m:r>
      </m:oMath>
      <w:r>
        <w:t xml:space="preserve">, e o teste de</w:t>
      </w:r>
      <w:r>
        <w:t xml:space="preserve"> </w:t>
      </w:r>
      <w:r>
        <w:rPr>
          <w:i/>
          <w:iCs/>
        </w:rPr>
        <w:t xml:space="preserve">parallel trends</w:t>
      </w:r>
      <w:r>
        <w:t xml:space="preserve"> </w:t>
      </w:r>
      <w:r>
        <w:t xml:space="preserve">pré-tratamento é rejeitado.</w:t>
      </w:r>
      <w:r>
        <w:t xml:space="preserve"> </w:t>
      </w:r>
      <w:r>
        <w:rPr>
          <w:b/>
          <w:bCs/>
        </w:rPr>
        <w:t xml:space="preserve">O</w:t>
      </w:r>
      <w:r>
        <w:rPr>
          <w:b/>
          <w:bCs/>
        </w:rPr>
        <w:t xml:space="preserve"> </w:t>
      </w:r>
      <w:r>
        <w:rPr>
          <w:b/>
          <w:bCs/>
        </w:rPr>
        <w:t xml:space="preserve">salto descritivo é incontroverso; a atribuição</w:t>
      </w:r>
      <w:r>
        <w:rPr>
          <w:b/>
          <w:bCs/>
        </w:rPr>
        <w:t xml:space="preserve"> </w:t>
      </w:r>
      <w:r>
        <w:rPr>
          <w:b/>
          <w:bCs/>
          <w:i/>
          <w:iCs/>
        </w:rPr>
        <w:t xml:space="preserve">causal</w:t>
      </w:r>
      <w:r>
        <w:rPr>
          <w:b/>
          <w:bCs/>
        </w:rPr>
        <w:t xml:space="preserve"> </w:t>
      </w:r>
      <w:r>
        <w:rPr>
          <w:b/>
          <w:bCs/>
        </w:rPr>
        <w:t xml:space="preserve">desse salto à intensidade do déficit de cobertura pré-choque não é</w:t>
      </w:r>
      <w:r>
        <w:rPr>
          <w:b/>
          <w:bCs/>
        </w:rPr>
        <w:t xml:space="preserve"> </w:t>
      </w:r>
      <w:r>
        <w:rPr>
          <w:b/>
          <w:bCs/>
        </w:rPr>
        <w:t xml:space="preserve">sustentada pela métrica robusta apropriada para N=27</w:t>
      </w:r>
      <w:r>
        <w:t xml:space="preserve">. Esse é o</w:t>
      </w:r>
      <w:r>
        <w:t xml:space="preserve"> </w:t>
      </w:r>
      <w:r>
        <w:t xml:space="preserve">ônus do desenho quasi-experimental sobre painel UF </w:t>
      </w:r>
      <m:oMath>
        <m:r>
          <m:rPr>
            <m:sty m:val="p"/>
          </m:rPr>
          <m:t>×</m:t>
        </m:r>
      </m:oMath>
      <w:r>
        <w:t xml:space="preserve"> Ano</w:t>
      </w:r>
      <w:r>
        <w:t xml:space="preserve"> </w:t>
      </w:r>
      <w:r>
        <w:t xml:space="preserve">com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e tendências pré-divergentes</w:t>
      </w:r>
      <w:r>
        <w:t xml:space="preserve"> </w:t>
      </w:r>
      <w:r>
        <w:t xml:space="preserve">— resultado honesto que reflete os limites da</w:t>
      </w:r>
      <w:r>
        <w:t xml:space="preserve"> </w:t>
      </w:r>
      <w:r>
        <w:t xml:space="preserve">identificação possível com os dados publicamente disponíveis.</w:t>
      </w:r>
    </w:p>
    <w:p>
      <w:pPr>
        <w:pStyle w:val="BodyText"/>
        <w:ind w:firstLine="709"/>
      </w:pPr>
      <w:r>
        <w:rPr>
          <w:b/>
          <w:bCs/>
        </w:rPr>
        <w:t xml:space="preserve">(iii) Equidade.</w:t>
      </w:r>
      <w:r>
        <w:t xml:space="preserve"> </w:t>
      </w:r>
      <w:r>
        <w:t xml:space="preserve">PBF/NBF é progressivo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26</m:t>
        </m:r>
      </m:oMath>
      <w:r>
        <w:t xml:space="preserve"> </w:t>
      </w:r>
      <w:r>
        <w:t xml:space="preserve">em 2024, IC 95 % bootstrap</w:t>
      </w:r>
      <w:r>
        <w:t xml:space="preserve"> </w:t>
      </w:r>
      <m:oMath>
        <m:d>
          <m:dPr>
            <m:begChr m:val="["/>
            <m:endChr m:val="]"/>
            <m:sepChr m:val=""/>
            <m:grow/>
          </m:dPr>
          <m:e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30</m:t>
            </m:r>
            <m:r>
              <m:rPr>
                <m:sty m:val="p"/>
              </m:rPr>
              <m:t>;</m:t>
            </m:r>
            <m:r>
              <m:rPr>
                <m:sty m:val="p"/>
              </m:rPr>
              <m:t>−</m:t>
            </m:r>
            <m:r>
              <m:t>0</m:t>
            </m:r>
            <m:r>
              <m:rPr>
                <m:sty m:val="p"/>
              </m:rPr>
              <m:t>,</m:t>
            </m:r>
            <m:r>
              <m:t>19</m:t>
            </m:r>
          </m:e>
        </m:d>
      </m:oMath>
      <w:r>
        <w:t xml:space="preserve">) e</w:t>
      </w:r>
      <w:r>
        <w:t xml:space="preserve"> </w:t>
      </w:r>
      <w:r>
        <w:t xml:space="preserve">sistematicamente mais progressivo que emendas</w:t>
      </w:r>
      <w:r>
        <w:t xml:space="preserve"> </w:t>
      </w:r>
      <w:r>
        <w:t xml:space="preserve">(</w:t>
      </w:r>
      <m:oMath>
        <m:r>
          <m:t>K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0</m:t>
        </m:r>
        <m:r>
          <m:rPr>
            <m:sty m:val="p"/>
          </m:rPr>
          <m:t>,</m:t>
        </m:r>
        <m:r>
          <m:t>15</m:t>
        </m:r>
      </m:oMath>
      <w:r>
        <w:t xml:space="preserve"> </w:t>
      </w:r>
      <w:r>
        <w:t xml:space="preserve">em 2024). A progressividade do PBF, contudo, decresceu</w:t>
      </w:r>
      <w:r>
        <w:t xml:space="preserve"> </w:t>
      </w:r>
      <w:r>
        <w:t xml:space="preserve">monotonicamente entre 2018 e 2024 — a expansão</w:t>
      </w:r>
      <w:r>
        <w:t xml:space="preserve"> </w:t>
      </w:r>
      <w:r>
        <w:t xml:space="preserve">incorporou famílias proporcionalmente menos concentradas nas UFs</w:t>
      </w:r>
      <w:r>
        <w:t xml:space="preserve"> </w:t>
      </w:r>
      <w:r>
        <w:t xml:space="preserve">de menor IDH-M.</w:t>
      </w:r>
    </w:p>
    <w:p>
      <w:pPr>
        <w:pStyle w:val="BodyText"/>
        <w:ind w:firstLine="709"/>
      </w:pPr>
      <w:r>
        <w:rPr>
          <w:b/>
          <w:bCs/>
        </w:rPr>
        <w:t xml:space="preserve">(iv) Necessidade.</w:t>
      </w:r>
      <w:r>
        <w:t xml:space="preserve"> </w:t>
      </w:r>
      <w:r>
        <w:t xml:space="preserve">UFs aparentemente</w:t>
      </w:r>
      <w:r>
        <w:t xml:space="preserve"> </w:t>
      </w:r>
      <w:r>
        <w:rPr>
          <w:i/>
          <w:iCs/>
        </w:rPr>
        <w:t xml:space="preserve">campeãs</w:t>
      </w:r>
      <w:r>
        <w:t xml:space="preserve"> </w:t>
      </w:r>
      <w:r>
        <w:t xml:space="preserve">em</w:t>
      </w:r>
      <w:r>
        <w:t xml:space="preserve"> </w:t>
      </w:r>
      <w:r>
        <w:t xml:space="preserve">per capita (MA, RR, RO, MA) estão sub-cobertas em relação à</w:t>
      </w:r>
      <w:r>
        <w:t xml:space="preserve"> </w:t>
      </w:r>
      <w:r>
        <w:t xml:space="preserve">intensidade da pobreza local (</w:t>
      </w:r>
      <m:oMath>
        <m:r>
          <m:t>R</m:t>
        </m:r>
        <m:r>
          <m:rPr>
            <m:sty m:val="p"/>
          </m:rPr>
          <m:t>&lt;</m:t>
        </m:r>
        <m:r>
          <m:t>1</m:t>
        </m:r>
      </m:oMath>
      <w:r>
        <w:t xml:space="preserve">). UFs ricas têm</w:t>
      </w:r>
      <w:r>
        <w:t xml:space="preserve"> </w:t>
      </w:r>
      <w:r>
        <w:t xml:space="preserve">sobre-cobertura relativa.</w:t>
      </w:r>
    </w:p>
    <w:p>
      <w:pPr>
        <w:pStyle w:val="BodyText"/>
        <w:ind w:firstLine="709"/>
      </w:pPr>
      <w:r>
        <w:rPr>
          <w:b/>
          <w:bCs/>
        </w:rPr>
        <w:t xml:space="preserve">(v) Benchmark internacional.</w:t>
      </w:r>
      <w:r>
        <w:t xml:space="preserve"> </w:t>
      </w:r>
      <w:r>
        <w:t xml:space="preserve">O NBF é o CCT de maior valor</w:t>
      </w:r>
      <w:r>
        <w:t xml:space="preserve"> </w:t>
      </w:r>
      <w:r>
        <w:t xml:space="preserve">per beneficiário e maior cobertura da América Latina, com custo</w:t>
      </w:r>
      <w:r>
        <w:t xml:space="preserve"> </w:t>
      </w:r>
      <w:r>
        <w:t xml:space="preserve">relativo (%PIB) elevado para o padrão regional.</w:t>
      </w:r>
    </w:p>
    <w:bookmarkEnd w:id="125"/>
    <w:bookmarkStart w:id="126" w:name="agenda-de-pesquisa"/>
    <w:p>
      <w:pPr>
        <w:pStyle w:val="Heading2"/>
      </w:pPr>
      <w:r>
        <w:t xml:space="preserve">Agenda de pesquisa</w:t>
      </w:r>
    </w:p>
    <w:p>
      <w:pPr>
        <w:pStyle w:val="FirstParagraph"/>
        <w:ind w:firstLine="709"/>
      </w:pPr>
      <w:r>
        <w:t xml:space="preserve">(a) Ampliação para microdados</w:t>
      </w:r>
      <w:r>
        <w:t xml:space="preserve"> </w:t>
      </w:r>
      <w:r>
        <w:rPr>
          <w:i/>
          <w:iCs/>
        </w:rPr>
        <w:t xml:space="preserve">municipais</w:t>
      </w:r>
      <w:r>
        <w:t xml:space="preserve"> </w:t>
      </w:r>
      <w:r>
        <w:t xml:space="preserve">(não apenas UF)</w:t>
      </w:r>
      <w:r>
        <w:t xml:space="preserve"> </w:t>
      </w:r>
      <w:r>
        <w:t xml:space="preserve">para mitigar o problema de poucos</w:t>
      </w:r>
      <w:r>
        <w:t xml:space="preserve"> </w:t>
      </w:r>
      <w:r>
        <w:rPr>
          <w:i/>
          <w:iCs/>
        </w:rPr>
        <w:t xml:space="preserve">clusters</w:t>
      </w:r>
      <w:r>
        <w:t xml:space="preserve"> </w:t>
      </w:r>
      <w:r>
        <w:t xml:space="preserve">no DiD;</w:t>
      </w:r>
      <w:r>
        <w:t xml:space="preserve"> </w:t>
      </w:r>
      <w:r>
        <w:t xml:space="preserve">(b) integração com dados administrativos do Cadastro Único para</w:t>
      </w:r>
      <w:r>
        <w:t xml:space="preserve"> </w:t>
      </w:r>
      <w:r>
        <w:t xml:space="preserve">RDD estrutural sobre a linha de pobreza</w:t>
      </w:r>
      <w:r>
        <w:t xml:space="preserve"> </w:t>
      </w:r>
      <w:r>
        <w:t xml:space="preserve">(renda do CadÚnico</w:t>
      </w:r>
      <w:r>
        <w:t xml:space="preserve"> </w:t>
      </w:r>
      <m:oMath>
        <m:r>
          <m:rPr>
            <m:sty m:val="p"/>
          </m:rPr>
          <m:t>≷</m:t>
        </m:r>
      </m:oMath>
      <w:r>
        <w:t xml:space="preserve"> </w:t>
      </w:r>
      <w:r>
        <w:t xml:space="preserve">R$ 218);</w:t>
      </w:r>
      <w:r>
        <w:t xml:space="preserve"> </w:t>
      </w:r>
      <w:r>
        <w:t xml:space="preserve">(c) cruzamento com indicadores de pobreza multidimensional (IPM,</w:t>
      </w:r>
      <w:r>
        <w:t xml:space="preserve"> </w:t>
      </w:r>
      <w:r>
        <w:t xml:space="preserve">IDH-M atualizado pelo PNUD); (d) comparação prospectiva com</w:t>
      </w:r>
      <w:r>
        <w:t xml:space="preserve"> </w:t>
      </w:r>
      <w:r>
        <w:t xml:space="preserve">programas congêneres em outros países da América Latina sob</w:t>
      </w:r>
      <w:r>
        <w:t xml:space="preserve"> </w:t>
      </w:r>
      <w:r>
        <w:t xml:space="preserve">métricas harmonizadas (CEPAL e World Bank ASPIRE).</w:t>
      </w:r>
    </w:p>
    <w:bookmarkEnd w:id="126"/>
    <w:bookmarkStart w:id="127" w:name="contribuição-metodológica"/>
    <w:p>
      <w:pPr>
        <w:pStyle w:val="Heading2"/>
      </w:pPr>
      <w:r>
        <w:t xml:space="preserve">Contribuição metodológica</w:t>
      </w:r>
    </w:p>
    <w:p>
      <w:pPr>
        <w:pStyle w:val="FirstParagraph"/>
        <w:ind w:firstLine="709"/>
      </w:pPr>
      <w:r>
        <w:t xml:space="preserve">A principal contribuição metodológica é um</w:t>
      </w:r>
      <w:r>
        <w:t xml:space="preserve"> </w:t>
      </w:r>
      <w:r>
        <w:rPr>
          <w:i/>
          <w:iCs/>
        </w:rPr>
        <w:t xml:space="preserve">pipeline</w:t>
      </w:r>
      <w:r>
        <w:t xml:space="preserve"> </w:t>
      </w:r>
      <w:r>
        <w:t xml:space="preserve">de dados</w:t>
      </w:r>
      <w:r>
        <w:t xml:space="preserve"> </w:t>
      </w:r>
      <w:r>
        <w:rPr>
          <w:b/>
          <w:bCs/>
        </w:rPr>
        <w:t xml:space="preserve">aberto e gratuito</w:t>
      </w:r>
      <w:r>
        <w:t xml:space="preserve">, construído inteiramente sobre o</w:t>
      </w:r>
      <w:r>
        <w:t xml:space="preserve"> </w:t>
      </w:r>
      <w:r>
        <w:rPr>
          <w:b/>
          <w:bCs/>
        </w:rPr>
        <w:t xml:space="preserve">Databricks Free Edition</w:t>
      </w:r>
      <w:r>
        <w:t xml:space="preserve"> </w:t>
      </w:r>
      <w:r>
        <w:t xml:space="preserve">— a camada sem custo da plataforma —,</w:t>
      </w:r>
      <w:r>
        <w:t xml:space="preserve"> </w:t>
      </w:r>
      <w:r>
        <w:t xml:space="preserve">o que permite que qualquer pessoa reproduza a consolidação dos mais de</w:t>
      </w:r>
      <w:r>
        <w:t xml:space="preserve"> </w:t>
      </w:r>
      <w:r>
        <w:t xml:space="preserve">2,2 bilhões de registros</w:t>
      </w:r>
      <w:r>
        <w:t xml:space="preserve"> </w:t>
      </w:r>
      <w:r>
        <w:rPr>
          <w:b/>
          <w:bCs/>
        </w:rPr>
        <w:t xml:space="preserve">sem investimento em infraestrutura</w:t>
      </w:r>
      <w:r>
        <w:t xml:space="preserve">.</w:t>
      </w:r>
      <w:r>
        <w:t xml:space="preserve"> </w:t>
      </w:r>
      <w:r>
        <w:t xml:space="preserve">A arquitetura medallion (bronze silver</w:t>
      </w:r>
      <w:r>
        <w:t xml:space="preserve"> </w:t>
      </w:r>
      <w:r>
        <w:t xml:space="preserve">gold) parte dos arquivos mensais brutos da CGU e</w:t>
      </w:r>
      <w:r>
        <w:t xml:space="preserve"> </w:t>
      </w:r>
      <w:r>
        <w:t xml:space="preserve">entrega um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público em painel UF </w:t>
      </w:r>
      <m:oMath>
        <m:r>
          <m:rPr>
            <m:sty m:val="p"/>
          </m:rPr>
          <m:t>×</m:t>
        </m:r>
      </m:oMath>
      <w:r>
        <w:t xml:space="preserve"> Ano,</w:t>
      </w:r>
      <w:r>
        <w:t xml:space="preserve"> </w:t>
      </w:r>
      <w:r>
        <w:t xml:space="preserve">acompanhado de uma suíte de testes automatizados de qualidade de dados</w:t>
      </w:r>
      <w:r>
        <w:t xml:space="preserve"> </w:t>
      </w:r>
      <w:r>
        <w:t xml:space="preserve">(invariantes de esquema, contagem, plausibilidade, monotonia</w:t>
      </w:r>
      <w:r>
        <w:t xml:space="preserve"> </w:t>
      </w:r>
      <w:r>
        <w:t xml:space="preserve">populacional e focalização Nordeste </w:t>
      </w:r>
      <m:oMath>
        <m:r>
          <m:rPr>
            <m:sty m:val="p"/>
          </m:rPr>
          <m:t>&gt;</m:t>
        </m:r>
      </m:oMath>
      <w:r>
        <w:t xml:space="preserve"> Sul) e aderente aos</w:t>
      </w:r>
      <w:r>
        <w:t xml:space="preserve"> </w:t>
      </w:r>
      <w:r>
        <w:t xml:space="preserve">princípios FAIR (Wilkinson et al., 2016). Todos os indicadores</w:t>
      </w:r>
      <w:r>
        <w:t xml:space="preserve"> </w:t>
      </w:r>
      <w:r>
        <w:t xml:space="preserve">descritivos, os índices de equidade, os modelos de aprendizado de</w:t>
      </w:r>
      <w:r>
        <w:t xml:space="preserve"> </w:t>
      </w:r>
      <w:r>
        <w:t xml:space="preserve">máquina e as figuras deste artigo são gerados a partir desse</w:t>
      </w:r>
      <w:r>
        <w:t xml:space="preserve"> </w:t>
      </w:r>
      <w:r>
        <w:rPr>
          <w:i/>
          <w:iCs/>
        </w:rPr>
        <w:t xml:space="preserve">gold dataset</w:t>
      </w:r>
      <w:r>
        <w:t xml:space="preserve"> </w:t>
      </w:r>
      <w:r>
        <w:t xml:space="preserve">por</w:t>
      </w:r>
      <w:r>
        <w:t xml:space="preserve"> </w:t>
      </w:r>
      <w:r>
        <w:rPr>
          <w:i/>
          <w:iCs/>
        </w:rPr>
        <w:t xml:space="preserve">scripts</w:t>
      </w:r>
      <w:r>
        <w:t xml:space="preserve"> </w:t>
      </w:r>
      <w:r>
        <w:t xml:space="preserve">reproduzíveis, sem nenhum</w:t>
      </w:r>
      <w:r>
        <w:t xml:space="preserve"> </w:t>
      </w:r>
      <w:r>
        <w:t xml:space="preserve">valor</w:t>
      </w:r>
      <w:r>
        <w:t xml:space="preserve"> </w:t>
      </w:r>
      <w:r>
        <w:rPr>
          <w:i/>
          <w:iCs/>
        </w:rPr>
        <w:t xml:space="preserve">hardcoded</w:t>
      </w:r>
      <w:r>
        <w:t xml:space="preserve">, de modo que terceiros podem auditar e</w:t>
      </w:r>
      <w:r>
        <w:t xml:space="preserve"> </w:t>
      </w:r>
      <w:r>
        <w:t xml:space="preserve">estender a análise a custo marginal praticamente nulo.</w:t>
      </w:r>
    </w:p>
    <w:bookmarkEnd w:id="127"/>
    <w:bookmarkEnd w:id="128"/>
    <w:bookmarkStart w:id="138" w:name="referências"/>
    <w:p>
      <w:pPr>
        <w:pStyle w:val="Heading1"/>
      </w:pPr>
      <w:r>
        <w:t xml:space="preserve">Referências</w:t>
      </w:r>
    </w:p>
    <w:p>
      <w:pPr>
        <w:pStyle w:val="FirstParagraph"/>
      </w:pPr>
      <w:r>
        <w:t xml:space="preserve">Armbrust, M., Ghodsi, A., Xin, R., &amp; Zaharia, M. (2021). Lakehouse: A new generation of open platforms that unify data warehousing and advanced analytics. In</w:t>
      </w:r>
      <w:r>
        <w:t xml:space="preserve"> </w:t>
      </w:r>
      <w:r>
        <w:rPr>
          <w:i/>
          <w:iCs/>
        </w:rPr>
        <w:t xml:space="preserve">11th Annual Conference on Innovative Data Systems Research (CIDR)</w:t>
      </w:r>
      <w:r>
        <w:t xml:space="preserve">.</w:t>
      </w:r>
    </w:p>
    <w:p>
      <w:pPr>
        <w:pStyle w:val="BodyText"/>
      </w:pPr>
      <w:r>
        <w:t xml:space="preserve">Banco Central do Brasil. (2024).</w:t>
      </w:r>
      <w:r>
        <w:t xml:space="preserve"> </w:t>
      </w:r>
      <w:r>
        <w:rPr>
          <w:i/>
          <w:iCs/>
        </w:rPr>
        <w:t xml:space="preserve">Sistema Gerenciador de Séries Temporais — série 433 (IPCA)</w:t>
      </w:r>
      <w:r>
        <w:t xml:space="preserve"> </w:t>
      </w:r>
      <w:r>
        <w:t xml:space="preserve">[Conjunto de dados].</w:t>
      </w:r>
      <w:r>
        <w:t xml:space="preserve"> </w:t>
      </w:r>
      <w:hyperlink r:id="rId129">
        <w:r>
          <w:rPr>
            <w:rStyle w:val="Hyperlink"/>
          </w:rPr>
          <w:t xml:space="preserve">https://api.bcb.gov.br/dados/serie/bcdata.sgs.433/dados</w:t>
        </w:r>
      </w:hyperlink>
    </w:p>
    <w:p>
      <w:pPr>
        <w:pStyle w:val="BodyText"/>
      </w:pPr>
      <w:r>
        <w:t xml:space="preserve">Breiman, L. (2001). Random forests.</w:t>
      </w:r>
      <w:r>
        <w:t xml:space="preserve"> </w:t>
      </w:r>
      <w:r>
        <w:rPr>
          <w:i/>
          <w:iCs/>
        </w:rPr>
        <w:t xml:space="preserve">Machine Learning, 45</w:t>
      </w:r>
      <w:r>
        <w:t xml:space="preserve">(1), 5–32.</w:t>
      </w:r>
    </w:p>
    <w:p>
      <w:pPr>
        <w:pStyle w:val="BodyText"/>
      </w:pPr>
      <w:r>
        <w:t xml:space="preserve">Cameron, A. C., Gelbach, J. B., &amp; Miller, D. L. (2008). Bootstrap-based improvements for inference with clustered errors.</w:t>
      </w:r>
      <w:r>
        <w:t xml:space="preserve"> </w:t>
      </w:r>
      <w:r>
        <w:rPr>
          <w:i/>
          <w:iCs/>
        </w:rPr>
        <w:t xml:space="preserve">The Review of Economics and Statistics, 90</w:t>
      </w:r>
      <w:r>
        <w:t xml:space="preserve">(3), 414–427.</w:t>
      </w:r>
    </w:p>
    <w:p>
      <w:pPr>
        <w:pStyle w:val="BodyText"/>
      </w:pPr>
      <w:r>
        <w:t xml:space="preserve">Campello, T., &amp; Neri, M. C. (Orgs.). (2013).</w:t>
      </w:r>
      <w:r>
        <w:t xml:space="preserve"> </w:t>
      </w:r>
      <w:r>
        <w:rPr>
          <w:i/>
          <w:iCs/>
        </w:rPr>
        <w:t xml:space="preserve">Programa Bolsa Família: uma década de inclusão e cidadania</w:t>
      </w:r>
      <w:r>
        <w:t xml:space="preserve">. IPEA.</w:t>
      </w:r>
    </w:p>
    <w:p>
      <w:pPr>
        <w:pStyle w:val="BodyText"/>
      </w:pPr>
      <w:r>
        <w:t xml:space="preserve">CEPAL — Comisión Económica para América Latina y el Caribe. (2024).</w:t>
      </w:r>
      <w:r>
        <w:t xml:space="preserve"> </w:t>
      </w:r>
      <w:r>
        <w:rPr>
          <w:i/>
          <w:iCs/>
        </w:rPr>
        <w:t xml:space="preserve">Panorama social de América Latina y el Caribe 2024</w:t>
      </w:r>
      <w:r>
        <w:t xml:space="preserve">. CEPAL.</w:t>
      </w:r>
      <w:r>
        <w:t xml:space="preserve"> </w:t>
      </w:r>
      <w:hyperlink r:id="rId130">
        <w:r>
          <w:rPr>
            <w:rStyle w:val="Hyperlink"/>
          </w:rPr>
          <w:t xml:space="preserve">https://www.cepal.org/es/publicaciones/panoramasocial</w:t>
        </w:r>
      </w:hyperlink>
    </w:p>
    <w:p>
      <w:pPr>
        <w:pStyle w:val="BodyText"/>
      </w:pPr>
      <w:r>
        <w:t xml:space="preserve">CGU — Controladoria-Geral da União. (2025).</w:t>
      </w:r>
      <w:r>
        <w:t xml:space="preserve"> </w:t>
      </w:r>
      <w:r>
        <w:rPr>
          <w:i/>
          <w:iCs/>
        </w:rPr>
        <w:t xml:space="preserve">Portal da Transparência: microdados de pagamentos do Bolsa Família, Auxílio Brasil e Novo Bolsa Família</w:t>
      </w:r>
      <w:r>
        <w:t xml:space="preserve"> </w:t>
      </w:r>
      <w:r>
        <w:t xml:space="preserve">[Conjunto de dados].</w:t>
      </w:r>
      <w:r>
        <w:t xml:space="preserve"> </w:t>
      </w:r>
      <w:hyperlink r:id="rId131">
        <w:r>
          <w:rPr>
            <w:rStyle w:val="Hyperlink"/>
          </w:rPr>
          <w:t xml:space="preserve">https://portaldatransparencia.gov.br/download-de-dados/bolsa-familia-pagamentos</w:t>
        </w:r>
      </w:hyperlink>
    </w:p>
    <w:p>
      <w:pPr>
        <w:pStyle w:val="BodyText"/>
      </w:pPr>
      <w:r>
        <w:t xml:space="preserve">Fiszbein, A., &amp; Schady, N. (2009).</w:t>
      </w:r>
      <w:r>
        <w:t xml:space="preserve"> </w:t>
      </w:r>
      <w:r>
        <w:rPr>
          <w:i/>
          <w:iCs/>
        </w:rPr>
        <w:t xml:space="preserve">Conditional cash transfers: Reducing present and future poverty</w:t>
      </w:r>
      <w:r>
        <w:t xml:space="preserve">. World Bank.</w:t>
      </w:r>
    </w:p>
    <w:p>
      <w:pPr>
        <w:pStyle w:val="BodyText"/>
      </w:pPr>
      <w:r>
        <w:t xml:space="preserve">Hastie, T., Tibshirani, R., &amp; Friedman, J. (2009).</w:t>
      </w:r>
      <w:r>
        <w:t xml:space="preserve"> </w:t>
      </w:r>
      <w:r>
        <w:rPr>
          <w:i/>
          <w:iCs/>
        </w:rPr>
        <w:t xml:space="preserve">The elements of statistical learning</w:t>
      </w:r>
      <w:r>
        <w:t xml:space="preserve"> </w:t>
      </w:r>
      <w:r>
        <w:t xml:space="preserve">(2nd ed.). Springer.</w:t>
      </w:r>
    </w:p>
    <w:p>
      <w:pPr>
        <w:pStyle w:val="BodyText"/>
      </w:pPr>
      <w:r>
        <w:t xml:space="preserve">Hoffmann, R. (2006). Transferências de renda e a redução da desigualdade no Brasil e cinco regiões entre 1997 e 2004.</w:t>
      </w:r>
      <w:r>
        <w:t xml:space="preserve"> </w:t>
      </w:r>
      <w:r>
        <w:rPr>
          <w:i/>
          <w:iCs/>
        </w:rPr>
        <w:t xml:space="preserve">Econômica, 8</w:t>
      </w:r>
      <w:r>
        <w:t xml:space="preserve">(1), 55–81.</w:t>
      </w:r>
    </w:p>
    <w:p>
      <w:pPr>
        <w:pStyle w:val="BodyText"/>
      </w:pPr>
      <w:r>
        <w:t xml:space="preserve">IBGE — Instituto Brasileiro de Geografia e Estatística. (2019).</w:t>
      </w:r>
      <w:r>
        <w:t xml:space="preserve"> </w:t>
      </w:r>
      <w:r>
        <w:rPr>
          <w:i/>
          <w:iCs/>
        </w:rPr>
        <w:t xml:space="preserve">Pesquisa Nacional por Amostra de Domicílios Contínua (PNAD-C) — Tabela 6688</w:t>
      </w:r>
      <w:r>
        <w:t xml:space="preserve"> </w:t>
      </w:r>
      <w:r>
        <w:t xml:space="preserve">[Conjunto de dados].</w:t>
      </w:r>
      <w:r>
        <w:t xml:space="preserve"> </w:t>
      </w:r>
      <w:hyperlink r:id="rId132">
        <w:r>
          <w:rPr>
            <w:rStyle w:val="Hyperlink"/>
          </w:rPr>
          <w:t xml:space="preserve">https://sidra.ibge.gov.br/tabela/6688</w:t>
        </w:r>
      </w:hyperlink>
    </w:p>
    <w:p>
      <w:pPr>
        <w:pStyle w:val="BodyText"/>
      </w:pPr>
      <w:r>
        <w:t xml:space="preserve">IBGE — Instituto Brasileiro de Geografia e Estatística. (2024).</w:t>
      </w:r>
      <w:r>
        <w:t xml:space="preserve"> </w:t>
      </w:r>
      <w:r>
        <w:rPr>
          <w:i/>
          <w:iCs/>
        </w:rPr>
        <w:t xml:space="preserve">SIDRA — Tabela 6579: população residente estimada</w:t>
      </w:r>
      <w:r>
        <w:t xml:space="preserve"> </w:t>
      </w:r>
      <w:r>
        <w:t xml:space="preserve">[Conjunto de dados].</w:t>
      </w:r>
      <w:r>
        <w:t xml:space="preserve"> </w:t>
      </w:r>
      <w:hyperlink r:id="rId133">
        <w:r>
          <w:rPr>
            <w:rStyle w:val="Hyperlink"/>
          </w:rPr>
          <w:t xml:space="preserve">https://sidra.ibge.gov.br/tabela/6579</w:t>
        </w:r>
      </w:hyperlink>
    </w:p>
    <w:p>
      <w:pPr>
        <w:pStyle w:val="BodyText"/>
      </w:pPr>
      <w:r>
        <w:t xml:space="preserve">Kakwani, N. C. (1977). Measurement of tax progressivity: An international comparison.</w:t>
      </w:r>
      <w:r>
        <w:t xml:space="preserve"> </w:t>
      </w:r>
      <w:r>
        <w:rPr>
          <w:i/>
          <w:iCs/>
        </w:rPr>
        <w:t xml:space="preserve">The Economic Journal, 87</w:t>
      </w:r>
      <w:r>
        <w:t xml:space="preserve">(345), 71–80.</w:t>
      </w:r>
    </w:p>
    <w:p>
      <w:pPr>
        <w:pStyle w:val="BodyText"/>
      </w:pPr>
      <w:r>
        <w:t xml:space="preserve">Kukreja, M. (2021).</w:t>
      </w:r>
      <w:r>
        <w:t xml:space="preserve"> </w:t>
      </w:r>
      <w:r>
        <w:rPr>
          <w:i/>
          <w:iCs/>
        </w:rPr>
        <w:t xml:space="preserve">Data engineering with Apache Spark, Delta Lake, and Lakehouse</w:t>
      </w:r>
      <w:r>
        <w:t xml:space="preserve">. Packt Publishing.</w:t>
      </w:r>
    </w:p>
    <w:p>
      <w:pPr>
        <w:pStyle w:val="BodyText"/>
      </w:pPr>
      <w:r>
        <w:t xml:space="preserve">Paes-Sousa, R., Santos, L. M. P., &amp; Quaresma, J. M. (Orgs.). (2011).</w:t>
      </w:r>
      <w:r>
        <w:t xml:space="preserve"> </w:t>
      </w:r>
      <w:r>
        <w:rPr>
          <w:i/>
          <w:iCs/>
        </w:rPr>
        <w:t xml:space="preserve">Bolsa Família: avaliação de impacto e o desafio da intersetorialidade</w:t>
      </w:r>
      <w:r>
        <w:t xml:space="preserve">. Ministério do Desenvolvimento Social.</w:t>
      </w:r>
    </w:p>
    <w:p>
      <w:pPr>
        <w:pStyle w:val="BodyText"/>
      </w:pPr>
      <w:r>
        <w:t xml:space="preserve">Pedregosa, F., Varoquaux, G., Gramfort, A., Michel, V., Thirion, B., Grisel, O., …Duchesnay, É. (2011). Scikit-learn: Machine learning in Python.</w:t>
      </w:r>
      <w:r>
        <w:t xml:space="preserve"> </w:t>
      </w:r>
      <w:r>
        <w:rPr>
          <w:i/>
          <w:iCs/>
        </w:rPr>
        <w:t xml:space="preserve">Journal of Machine Learning Research, 12</w:t>
      </w:r>
      <w:r>
        <w:t xml:space="preserve">, 2825–2830.</w:t>
      </w:r>
    </w:p>
    <w:p>
      <w:pPr>
        <w:pStyle w:val="BodyText"/>
      </w:pPr>
      <w:r>
        <w:t xml:space="preserve">PNUD, IPEA, &amp; Fundação João Pinheiro. (2013).</w:t>
      </w:r>
      <w:r>
        <w:t xml:space="preserve"> </w:t>
      </w:r>
      <w:r>
        <w:rPr>
          <w:i/>
          <w:iCs/>
        </w:rPr>
        <w:t xml:space="preserve">Atlas do desenvolvimento humano no Brasil</w:t>
      </w:r>
      <w:r>
        <w:t xml:space="preserve">.</w:t>
      </w:r>
      <w:r>
        <w:t xml:space="preserve"> </w:t>
      </w:r>
      <w:hyperlink r:id="rId134">
        <w:r>
          <w:rPr>
            <w:rStyle w:val="Hyperlink"/>
          </w:rPr>
          <w:t xml:space="preserve">http://atlasbrasil.org.br/</w:t>
        </w:r>
      </w:hyperlink>
    </w:p>
    <w:p>
      <w:pPr>
        <w:pStyle w:val="BodyText"/>
      </w:pPr>
      <w:r>
        <w:t xml:space="preserve">Rasella, D., Aquino, R., Santos, C. A. T., Paes-Sousa, R., &amp; Barreto, M. L. (2013). Effect of a conditional cash transfer programme on childhood mortality: A nationwide analysis of Brazilian municipalities.</w:t>
      </w:r>
      <w:r>
        <w:t xml:space="preserve"> </w:t>
      </w:r>
      <w:r>
        <w:rPr>
          <w:i/>
          <w:iCs/>
        </w:rPr>
        <w:t xml:space="preserve">The Lancet, 382</w:t>
      </w:r>
      <w:r>
        <w:t xml:space="preserve">(9886), 57–64.</w:t>
      </w:r>
    </w:p>
    <w:p>
      <w:pPr>
        <w:pStyle w:val="BodyText"/>
      </w:pPr>
      <w:r>
        <w:t xml:space="preserve">Rocha, S. (2008). Transferências de renda federais: focalização e impactos sobre pobreza e desigualdade.</w:t>
      </w:r>
      <w:r>
        <w:t xml:space="preserve"> </w:t>
      </w:r>
      <w:r>
        <w:rPr>
          <w:i/>
          <w:iCs/>
        </w:rPr>
        <w:t xml:space="preserve">Revista de Economia Contemporânea, 12</w:t>
      </w:r>
      <w:r>
        <w:t xml:space="preserve">(1), 67–96.</w:t>
      </w:r>
    </w:p>
    <w:p>
      <w:pPr>
        <w:pStyle w:val="BodyText"/>
      </w:pPr>
      <w:r>
        <w:t xml:space="preserve">Roth, J. (2022). Pretest with caution: Event-study estimates after testing for parallel trends.</w:t>
      </w:r>
      <w:r>
        <w:t xml:space="preserve"> </w:t>
      </w:r>
      <w:r>
        <w:rPr>
          <w:i/>
          <w:iCs/>
        </w:rPr>
        <w:t xml:space="preserve">American Economic Review: Insights, 4</w:t>
      </w:r>
      <w:r>
        <w:t xml:space="preserve">(3), 305–322.</w:t>
      </w:r>
    </w:p>
    <w:p>
      <w:pPr>
        <w:pStyle w:val="BodyText"/>
      </w:pPr>
      <w:r>
        <w:t xml:space="preserve">Soares, F. V. (2010).</w:t>
      </w:r>
      <w:r>
        <w:t xml:space="preserve"> </w:t>
      </w:r>
      <w:r>
        <w:rPr>
          <w:i/>
          <w:iCs/>
        </w:rPr>
        <w:t xml:space="preserve">Bolsa Família, its design, its impacts and possibilities for the future</w:t>
      </w:r>
      <w:r>
        <w:t xml:space="preserve"> </w:t>
      </w:r>
      <w:r>
        <w:t xml:space="preserve">(Working Paper No. 137). International Policy Centre for Inclusive Growth.</w:t>
      </w:r>
    </w:p>
    <w:p>
      <w:pPr>
        <w:pStyle w:val="BodyText"/>
      </w:pPr>
      <w:r>
        <w:t xml:space="preserve">Wilkinson, M. D., Dumontier, M., Aalbersberg, I. J., Appleton, G., Axton, M., Baak, A., …Mons, B. (2016). The FAIR Guiding Principles for scientific data management and stewardship.</w:t>
      </w:r>
      <w:r>
        <w:t xml:space="preserve"> </w:t>
      </w:r>
      <w:r>
        <w:rPr>
          <w:i/>
          <w:iCs/>
        </w:rPr>
        <w:t xml:space="preserve">Scientific Data, 3</w:t>
      </w:r>
      <w:r>
        <w:t xml:space="preserve">, 160018.</w:t>
      </w:r>
      <w:r>
        <w:t xml:space="preserve"> </w:t>
      </w:r>
      <w:hyperlink r:id="rId135">
        <w:r>
          <w:rPr>
            <w:rStyle w:val="Hyperlink"/>
          </w:rPr>
          <w:t xml:space="preserve">https://doi.org/10.1038/sdata.2016.18</w:t>
        </w:r>
      </w:hyperlink>
    </w:p>
    <w:p>
      <w:pPr>
        <w:pStyle w:val="BodyText"/>
      </w:pPr>
      <w:r>
        <w:t xml:space="preserve">World Bank. (2024a).</w:t>
      </w:r>
      <w:r>
        <w:t xml:space="preserve"> </w:t>
      </w:r>
      <w:r>
        <w:rPr>
          <w:i/>
          <w:iCs/>
        </w:rPr>
        <w:t xml:space="preserve">ASPIRE: Atlas of Social Protection Indicators of Resilience and Equity</w:t>
      </w:r>
      <w:r>
        <w:t xml:space="preserve"> </w:t>
      </w:r>
      <w:r>
        <w:t xml:space="preserve">[Conjunto de dados].</w:t>
      </w:r>
      <w:r>
        <w:t xml:space="preserve"> </w:t>
      </w:r>
      <w:hyperlink r:id="rId136">
        <w:r>
          <w:rPr>
            <w:rStyle w:val="Hyperlink"/>
          </w:rPr>
          <w:t xml:space="preserve">https://www.worldbank.org/en/data/datatopics/aspire</w:t>
        </w:r>
      </w:hyperlink>
    </w:p>
    <w:p>
      <w:pPr>
        <w:pStyle w:val="BodyText"/>
      </w:pPr>
      <w:r>
        <w:t xml:space="preserve">World Bank. (2024b).</w:t>
      </w:r>
      <w:r>
        <w:t xml:space="preserve"> </w:t>
      </w:r>
      <w:r>
        <w:rPr>
          <w:i/>
          <w:iCs/>
        </w:rPr>
        <w:t xml:space="preserve">International Comparison Program (ICP) 2021</w:t>
      </w:r>
      <w:r>
        <w:t xml:space="preserve"> </w:t>
      </w:r>
      <w:r>
        <w:t xml:space="preserve">[Conjunto de dados].</w:t>
      </w:r>
      <w:r>
        <w:t xml:space="preserve"> </w:t>
      </w:r>
      <w:hyperlink r:id="rId137">
        <w:r>
          <w:rPr>
            <w:rStyle w:val="Hyperlink"/>
          </w:rPr>
          <w:t xml:space="preserve">https://www.worldbank.org/en/programs/icp</w:t>
        </w:r>
      </w:hyperlink>
    </w:p>
    <w:p>
      <w:pPr>
        <w:pStyle w:val="BodyText"/>
      </w:pPr>
      <w:r>
        <w:t xml:space="preserve">Zaharia, M., Xin, R., Wendell, P., Das, T., Armbrust, M., Dave, A., …Stoica, I. (2016). Apache Spark: A unified engine for big data processing.</w:t>
      </w:r>
      <w:r>
        <w:t xml:space="preserve"> </w:t>
      </w:r>
      <w:r>
        <w:rPr>
          <w:i/>
          <w:iCs/>
        </w:rPr>
        <w:t xml:space="preserve">Communications of the ACM, 59</w:t>
      </w:r>
      <w:r>
        <w:t xml:space="preserve">(11), 56–65.</w:t>
      </w:r>
    </w:p>
    <w:bookmarkEnd w:id="138"/>
    <w:sectPr>
      <w:pgSz w:w="11906" w:h="16838"/>
      <w:pgMar w:top="1417" w:bottom="1417" w:left="1701" w:right="1701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hAnsi="Times New Roman" w:cs="Times New Roman"/>
        <w:sz w:val="24"/>
        <w:szCs w:val="24"/>
        <w:lang w:bidi="ar-SA" w:eastAsia="en-US" w:val="en-US"/>
      </w:rPr>
    </w:rPrDefault>
    <w:pPrDefault>
      <w:pPr>
        <w:spacing w:after="0" w:line="360" w:lineRule="auto"/>
        <w:jc w:val="both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="Times New Roman" w:hAnsi="Times New Roman" w:cs="Times New Roman"/>
      <w:b/>
      <w:bCs/>
      <w:caps/>
      <w:color w:val="000000"/>
      <w:sz w:val="24"/>
      <w:szCs w:val="24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ascii="Times New Roman" w:hAnsi="Times New Roman" w:cs="Times New Roman"/>
      <w:color w:val="000000"/>
      <w:sz w:val="24"/>
      <w:szCs w:val="24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ascii="Times New Roman" w:hAnsi="Times New Roman" w:cs="Times New Roman"/>
      <w:b/>
      <w:bCs/>
      <w:color w:val="000000"/>
      <w:sz w:val="24"/>
      <w:szCs w:val="24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ascii="Times New Roman" w:hAnsi="Times New Roman" w:cs="Times New Roman"/>
      <w:b/>
      <w:bCs/>
      <w:color w:val="000000"/>
      <w:sz w:val="24"/>
      <w:szCs w:val="24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27" Type="http://schemas.openxmlformats.org/officeDocument/2006/relationships/image" Target="media/rId27.png"/><Relationship Id="rId40" Type="http://schemas.openxmlformats.org/officeDocument/2006/relationships/image" Target="media/rId40.png"/><Relationship Id="rId44" Type="http://schemas.openxmlformats.org/officeDocument/2006/relationships/image" Target="media/rId44.png"/><Relationship Id="rId51" Type="http://schemas.openxmlformats.org/officeDocument/2006/relationships/image" Target="media/rId51.png"/><Relationship Id="rId55" Type="http://schemas.openxmlformats.org/officeDocument/2006/relationships/image" Target="media/rId55.png"/><Relationship Id="rId59" Type="http://schemas.openxmlformats.org/officeDocument/2006/relationships/image" Target="media/rId59.png"/><Relationship Id="rId62" Type="http://schemas.openxmlformats.org/officeDocument/2006/relationships/image" Target="media/rId62.png"/><Relationship Id="rId65" Type="http://schemas.openxmlformats.org/officeDocument/2006/relationships/image" Target="media/rId65.png"/><Relationship Id="rId68" Type="http://schemas.openxmlformats.org/officeDocument/2006/relationships/image" Target="media/rId68.png"/><Relationship Id="rId72" Type="http://schemas.openxmlformats.org/officeDocument/2006/relationships/image" Target="media/rId72.png"/><Relationship Id="rId76" Type="http://schemas.openxmlformats.org/officeDocument/2006/relationships/image" Target="media/rId76.png"/><Relationship Id="rId47" Type="http://schemas.openxmlformats.org/officeDocument/2006/relationships/image" Target="media/rId47.png"/><Relationship Id="rId81" Type="http://schemas.openxmlformats.org/officeDocument/2006/relationships/image" Target="media/rId81.png"/><Relationship Id="rId85" Type="http://schemas.openxmlformats.org/officeDocument/2006/relationships/image" Target="media/rId85.png"/><Relationship Id="rId91" Type="http://schemas.openxmlformats.org/officeDocument/2006/relationships/image" Target="media/rId91.png"/><Relationship Id="rId95" Type="http://schemas.openxmlformats.org/officeDocument/2006/relationships/image" Target="media/rId95.png"/><Relationship Id="rId100" Type="http://schemas.openxmlformats.org/officeDocument/2006/relationships/image" Target="media/rId100.png"/><Relationship Id="rId109" Type="http://schemas.openxmlformats.org/officeDocument/2006/relationships/image" Target="media/rId109.png"/><Relationship Id="rId113" Type="http://schemas.openxmlformats.org/officeDocument/2006/relationships/image" Target="media/rId113.png"/><Relationship Id="rId105" Type="http://schemas.openxmlformats.org/officeDocument/2006/relationships/image" Target="media/rId105.png"/><Relationship Id="rId134" Type="http://schemas.openxmlformats.org/officeDocument/2006/relationships/hyperlink" Target="http://atlasbrasil.org.br/" TargetMode="External"/><Relationship Id="rId129" Type="http://schemas.openxmlformats.org/officeDocument/2006/relationships/hyperlink" Target="https://api.bcb.gov.br/dados/serie/bcdata.sgs.433/dados" TargetMode="External"/><Relationship Id="rId135" Type="http://schemas.openxmlformats.org/officeDocument/2006/relationships/hyperlink" Target="https://doi.org/10.1038/sdata.2016.18" TargetMode="External"/><Relationship Id="rId131" Type="http://schemas.openxmlformats.org/officeDocument/2006/relationships/hyperlink" Target="https://portaldatransparencia.gov.br/download-de-dados/bolsa-familia-pagamentos" TargetMode="External"/><Relationship Id="rId133" Type="http://schemas.openxmlformats.org/officeDocument/2006/relationships/hyperlink" Target="https://sidra.ibge.gov.br/tabela/6579" TargetMode="External"/><Relationship Id="rId132" Type="http://schemas.openxmlformats.org/officeDocument/2006/relationships/hyperlink" Target="https://sidra.ibge.gov.br/tabela/6688" TargetMode="External"/><Relationship Id="rId130" Type="http://schemas.openxmlformats.org/officeDocument/2006/relationships/hyperlink" Target="https://www.cepal.org/es/publicaciones/panoramasocial" TargetMode="External"/><Relationship Id="rId136" Type="http://schemas.openxmlformats.org/officeDocument/2006/relationships/hyperlink" Target="https://www.worldbank.org/en/data/datatopics/aspire" TargetMode="External"/><Relationship Id="rId137" Type="http://schemas.openxmlformats.org/officeDocument/2006/relationships/hyperlink" Target="https://www.worldbank.org/en/programs/icp" TargetMode="External"/></Relationships>
</file>

<file path=word/_rels/footnotes.xml.rels><?xml version='1.0' encoding='UTF-8' standalone='yes'?>
<Relationships xmlns="http://schemas.openxmlformats.org/package/2006/relationships"><Relationship Id="rId134" Type="http://schemas.openxmlformats.org/officeDocument/2006/relationships/hyperlink" Target="http://atlasbrasil.org.br/" TargetMode="External"/><Relationship Id="rId129" Type="http://schemas.openxmlformats.org/officeDocument/2006/relationships/hyperlink" Target="https://api.bcb.gov.br/dados/serie/bcdata.sgs.433/dados" TargetMode="External"/><Relationship Id="rId135" Type="http://schemas.openxmlformats.org/officeDocument/2006/relationships/hyperlink" Target="https://doi.org/10.1038/sdata.2016.18" TargetMode="External"/><Relationship Id="rId131" Type="http://schemas.openxmlformats.org/officeDocument/2006/relationships/hyperlink" Target="https://portaldatransparencia.gov.br/download-de-dados/bolsa-familia-pagamentos" TargetMode="External"/><Relationship Id="rId133" Type="http://schemas.openxmlformats.org/officeDocument/2006/relationships/hyperlink" Target="https://sidra.ibge.gov.br/tabela/6579" TargetMode="External"/><Relationship Id="rId132" Type="http://schemas.openxmlformats.org/officeDocument/2006/relationships/hyperlink" Target="https://sidra.ibge.gov.br/tabela/6688" TargetMode="External"/><Relationship Id="rId130" Type="http://schemas.openxmlformats.org/officeDocument/2006/relationships/hyperlink" Target="https://www.cepal.org/es/publicaciones/panoramasocial" TargetMode="External"/><Relationship Id="rId136" Type="http://schemas.openxmlformats.org/officeDocument/2006/relationships/hyperlink" Target="https://www.worldbank.org/en/data/datatopics/aspire" TargetMode="External"/><Relationship Id="rId137" Type="http://schemas.openxmlformats.org/officeDocument/2006/relationships/hyperlink" Target="https://www.worldbank.org/en/programs/ic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2026-06-07T23:34:58Z</dcterms:created>
  <dcterms:modified xsi:type="dcterms:W3CDTF">2026-06-07T23:34:58Z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