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8C3" w:rsidRDefault="00D958C3" w:rsidP="007E041B">
      <w:r>
        <w:t xml:space="preserve">&gt; Seu Domínio: </w:t>
      </w:r>
      <w:r w:rsidRPr="00D958C3">
        <w:rPr>
          <w:b/>
          <w:color w:val="FF0000"/>
        </w:rPr>
        <w:t>www.medisom.com.br</w:t>
      </w:r>
    </w:p>
    <w:p w:rsidR="003301F8" w:rsidRDefault="003301F8" w:rsidP="006F4A5F">
      <w:pPr>
        <w:jc w:val="both"/>
      </w:pPr>
      <w:r>
        <w:t xml:space="preserve">&gt; </w:t>
      </w:r>
      <w:r w:rsidR="00D958C3">
        <w:t>Logotipo</w:t>
      </w:r>
      <w:r w:rsidR="008D5C20">
        <w:t>:</w:t>
      </w:r>
    </w:p>
    <w:p w:rsidR="00D958C3" w:rsidRDefault="00D958C3" w:rsidP="006F4A5F">
      <w:pPr>
        <w:jc w:val="both"/>
      </w:pPr>
      <w:r>
        <w:t>&gt; Texto Sobre a Empresa</w:t>
      </w:r>
    </w:p>
    <w:p w:rsidR="008D5C20" w:rsidRDefault="008F6D1D" w:rsidP="006F4A5F">
      <w:pPr>
        <w:jc w:val="both"/>
      </w:pPr>
      <w:r w:rsidRPr="008F6D1D">
        <w:t xml:space="preserve">A </w:t>
      </w:r>
      <w:r>
        <w:t xml:space="preserve">MEDISOM </w:t>
      </w:r>
      <w:r w:rsidRPr="008F6D1D">
        <w:t xml:space="preserve">se destaca como empresa de monitoramento </w:t>
      </w:r>
      <w:r>
        <w:t>e análise de ruídos</w:t>
      </w:r>
      <w:r w:rsidRPr="008F6D1D">
        <w:t>, por sua metodologia base</w:t>
      </w:r>
      <w:r>
        <w:t xml:space="preserve">ada em resultados. A empresa </w:t>
      </w:r>
      <w:r w:rsidRPr="008F6D1D">
        <w:t xml:space="preserve">utiliza as tecnologias mais avançadas do mercado para garantir </w:t>
      </w:r>
      <w:r w:rsidR="003671BA">
        <w:t>máxima</w:t>
      </w:r>
      <w:r w:rsidRPr="008F6D1D">
        <w:t xml:space="preserve"> segurança e precisão em seus serviços.</w:t>
      </w:r>
    </w:p>
    <w:p w:rsidR="00417DD8" w:rsidRDefault="008F6D1D" w:rsidP="006F4A5F">
      <w:pPr>
        <w:jc w:val="both"/>
      </w:pPr>
      <w:r>
        <w:t xml:space="preserve">Possuímos </w:t>
      </w:r>
      <w:r w:rsidRPr="008F6D1D">
        <w:t xml:space="preserve">em </w:t>
      </w:r>
      <w:r>
        <w:t>nosso</w:t>
      </w:r>
      <w:r w:rsidRPr="008F6D1D">
        <w:t xml:space="preserve"> port</w:t>
      </w:r>
      <w:r>
        <w:t>f</w:t>
      </w:r>
      <w:r w:rsidRPr="008F6D1D">
        <w:t xml:space="preserve">ólio </w:t>
      </w:r>
      <w:r w:rsidR="008834AB">
        <w:t>soluções para</w:t>
      </w:r>
      <w:r>
        <w:t xml:space="preserve"> </w:t>
      </w:r>
      <w:r w:rsidR="008834AB">
        <w:t xml:space="preserve">o </w:t>
      </w:r>
      <w:r>
        <w:t>monitoramento</w:t>
      </w:r>
      <w:r w:rsidR="008834AB">
        <w:t xml:space="preserve"> contínuo</w:t>
      </w:r>
      <w:r>
        <w:t xml:space="preserve"> da poluição sonora</w:t>
      </w:r>
      <w:r w:rsidRPr="008F6D1D">
        <w:t xml:space="preserve"> em várias áreas de negócios</w:t>
      </w:r>
      <w:r w:rsidRPr="0075106B">
        <w:rPr>
          <w:color w:val="FF0000"/>
        </w:rPr>
        <w:t>,</w:t>
      </w:r>
      <w:r w:rsidR="0075106B" w:rsidRPr="0075106B">
        <w:rPr>
          <w:color w:val="FF0000"/>
        </w:rPr>
        <w:t xml:space="preserve"> sendo</w:t>
      </w:r>
      <w:r w:rsidRPr="0075106B">
        <w:rPr>
          <w:color w:val="FF0000"/>
        </w:rPr>
        <w:t xml:space="preserve"> </w:t>
      </w:r>
      <w:r w:rsidR="0075106B" w:rsidRPr="0075106B">
        <w:rPr>
          <w:color w:val="FF0000"/>
        </w:rPr>
        <w:t>ideal para uso em ambientes ruidosos e silenciosos</w:t>
      </w:r>
      <w:r w:rsidR="0075106B">
        <w:rPr>
          <w:color w:val="FF0000"/>
        </w:rPr>
        <w:t>,</w:t>
      </w:r>
      <w:r w:rsidR="0075106B" w:rsidRPr="0075106B">
        <w:rPr>
          <w:color w:val="FF0000"/>
        </w:rPr>
        <w:t xml:space="preserve"> </w:t>
      </w:r>
      <w:r w:rsidRPr="0075106B">
        <w:rPr>
          <w:color w:val="FF0000"/>
        </w:rPr>
        <w:t>como</w:t>
      </w:r>
      <w:r w:rsidR="00417DD8" w:rsidRPr="0075106B">
        <w:rPr>
          <w:color w:val="FF0000"/>
        </w:rPr>
        <w:t>:</w:t>
      </w:r>
    </w:p>
    <w:p w:rsidR="00417DD8" w:rsidRDefault="00417DD8" w:rsidP="006F4A5F">
      <w:pPr>
        <w:pStyle w:val="PargrafodaLista"/>
        <w:numPr>
          <w:ilvl w:val="0"/>
          <w:numId w:val="1"/>
        </w:numPr>
        <w:jc w:val="both"/>
      </w:pPr>
      <w:r>
        <w:t>R</w:t>
      </w:r>
      <w:r w:rsidR="0082442D">
        <w:t>uído</w:t>
      </w:r>
      <w:r w:rsidR="008F6D1D" w:rsidRPr="008F6D1D">
        <w:t xml:space="preserve"> </w:t>
      </w:r>
      <w:r>
        <w:t>H</w:t>
      </w:r>
      <w:r w:rsidR="008834AB">
        <w:t>ospitalar</w:t>
      </w:r>
      <w:r w:rsidR="003671BA">
        <w:t>.</w:t>
      </w:r>
    </w:p>
    <w:p w:rsidR="00417DD8" w:rsidRDefault="00417DD8" w:rsidP="006F4A5F">
      <w:pPr>
        <w:pStyle w:val="PargrafodaLista"/>
        <w:numPr>
          <w:ilvl w:val="0"/>
          <w:numId w:val="1"/>
        </w:numPr>
        <w:jc w:val="both"/>
      </w:pPr>
      <w:r>
        <w:t>I</w:t>
      </w:r>
      <w:r w:rsidR="008834AB">
        <w:t>ndústria</w:t>
      </w:r>
      <w:r w:rsidR="0082442D">
        <w:t xml:space="preserve"> pesada</w:t>
      </w:r>
      <w:r w:rsidR="003671BA">
        <w:t>.</w:t>
      </w:r>
      <w:r w:rsidR="008F6D1D" w:rsidRPr="008F6D1D">
        <w:t xml:space="preserve"> </w:t>
      </w:r>
    </w:p>
    <w:p w:rsidR="00417DD8" w:rsidRDefault="00417DD8" w:rsidP="006F4A5F">
      <w:pPr>
        <w:pStyle w:val="PargrafodaLista"/>
        <w:numPr>
          <w:ilvl w:val="0"/>
          <w:numId w:val="1"/>
        </w:numPr>
        <w:jc w:val="both"/>
      </w:pPr>
      <w:r>
        <w:t>E</w:t>
      </w:r>
      <w:r w:rsidR="008834AB">
        <w:t>ntretenimento</w:t>
      </w:r>
      <w:r w:rsidR="003671BA">
        <w:t>.</w:t>
      </w:r>
    </w:p>
    <w:p w:rsidR="00417DD8" w:rsidRDefault="00417DD8" w:rsidP="006F4A5F">
      <w:pPr>
        <w:pStyle w:val="PargrafodaLista"/>
        <w:numPr>
          <w:ilvl w:val="0"/>
          <w:numId w:val="1"/>
        </w:numPr>
        <w:jc w:val="both"/>
      </w:pPr>
      <w:r>
        <w:t>A</w:t>
      </w:r>
      <w:r w:rsidR="0082442D" w:rsidRPr="0082442D">
        <w:t xml:space="preserve">mbiente </w:t>
      </w:r>
      <w:r w:rsidR="0082442D">
        <w:t>u</w:t>
      </w:r>
      <w:r w:rsidR="0082442D" w:rsidRPr="0082442D">
        <w:t>rbano</w:t>
      </w:r>
      <w:r w:rsidR="003671BA">
        <w:t>.</w:t>
      </w:r>
      <w:r w:rsidR="0082442D" w:rsidRPr="0082442D">
        <w:t xml:space="preserve"> </w:t>
      </w:r>
    </w:p>
    <w:p w:rsidR="00417DD8" w:rsidRDefault="00417DD8" w:rsidP="006F4A5F">
      <w:pPr>
        <w:pStyle w:val="PargrafodaLista"/>
        <w:numPr>
          <w:ilvl w:val="0"/>
          <w:numId w:val="1"/>
        </w:numPr>
        <w:jc w:val="both"/>
      </w:pPr>
      <w:r>
        <w:t>E</w:t>
      </w:r>
      <w:r w:rsidR="0082442D">
        <w:t>ducaçã</w:t>
      </w:r>
      <w:r w:rsidR="003671BA">
        <w:t>o.</w:t>
      </w:r>
    </w:p>
    <w:p w:rsidR="00417DD8" w:rsidRDefault="00417DD8" w:rsidP="006F4A5F">
      <w:pPr>
        <w:pStyle w:val="PargrafodaLista"/>
        <w:numPr>
          <w:ilvl w:val="0"/>
          <w:numId w:val="1"/>
        </w:numPr>
        <w:jc w:val="both"/>
      </w:pPr>
      <w:r>
        <w:t>C</w:t>
      </w:r>
      <w:r w:rsidR="008F6D1D" w:rsidRPr="008F6D1D">
        <w:t>onstrução</w:t>
      </w:r>
      <w:r w:rsidR="008834AB">
        <w:t xml:space="preserve"> civil</w:t>
      </w:r>
      <w:r w:rsidR="003671BA">
        <w:t>.</w:t>
      </w:r>
      <w:r w:rsidR="008F6D1D" w:rsidRPr="008F6D1D">
        <w:t xml:space="preserve"> </w:t>
      </w:r>
    </w:p>
    <w:p w:rsidR="00417DD8" w:rsidRDefault="00417DD8" w:rsidP="006F4A5F">
      <w:pPr>
        <w:pStyle w:val="PargrafodaLista"/>
        <w:numPr>
          <w:ilvl w:val="0"/>
          <w:numId w:val="1"/>
        </w:numPr>
        <w:jc w:val="both"/>
      </w:pPr>
      <w:r>
        <w:t>A</w:t>
      </w:r>
      <w:r w:rsidR="0082442D">
        <w:t>eroportos</w:t>
      </w:r>
      <w:r w:rsidR="003671BA">
        <w:t>.</w:t>
      </w:r>
    </w:p>
    <w:p w:rsidR="00417DD8" w:rsidRDefault="00417DD8" w:rsidP="006F4A5F">
      <w:pPr>
        <w:pStyle w:val="PargrafodaLista"/>
        <w:numPr>
          <w:ilvl w:val="0"/>
          <w:numId w:val="1"/>
        </w:numPr>
        <w:jc w:val="both"/>
      </w:pPr>
      <w:r>
        <w:t>A</w:t>
      </w:r>
      <w:r w:rsidR="0082442D">
        <w:t>utódromos</w:t>
      </w:r>
      <w:r w:rsidR="003671BA">
        <w:t>.</w:t>
      </w:r>
      <w:r w:rsidR="008F6D1D" w:rsidRPr="008F6D1D">
        <w:t xml:space="preserve"> </w:t>
      </w:r>
    </w:p>
    <w:p w:rsidR="00417DD8" w:rsidRDefault="00417DD8" w:rsidP="006F4A5F">
      <w:pPr>
        <w:pStyle w:val="PargrafodaLista"/>
        <w:numPr>
          <w:ilvl w:val="0"/>
          <w:numId w:val="1"/>
        </w:numPr>
        <w:jc w:val="both"/>
      </w:pPr>
      <w:r>
        <w:t>B</w:t>
      </w:r>
      <w:r w:rsidR="003671BA">
        <w:t>ibliotecas.</w:t>
      </w:r>
    </w:p>
    <w:p w:rsidR="008F6D1D" w:rsidRDefault="00417DD8" w:rsidP="006F4A5F">
      <w:pPr>
        <w:pStyle w:val="PargrafodaLista"/>
        <w:numPr>
          <w:ilvl w:val="0"/>
          <w:numId w:val="1"/>
        </w:numPr>
        <w:jc w:val="both"/>
      </w:pPr>
      <w:r>
        <w:t>C</w:t>
      </w:r>
      <w:r w:rsidR="008F6D1D" w:rsidRPr="008F6D1D">
        <w:t>onsultoria em recursos humanos, entre outras.</w:t>
      </w:r>
    </w:p>
    <w:p w:rsidR="0051080E" w:rsidRDefault="0051080E" w:rsidP="006F4A5F">
      <w:pPr>
        <w:jc w:val="both"/>
      </w:pPr>
    </w:p>
    <w:p w:rsidR="00DB11FF" w:rsidRDefault="00DB11FF" w:rsidP="00DB11FF">
      <w:pPr>
        <w:jc w:val="both"/>
      </w:pPr>
      <w:r>
        <w:t>Perguntas frequentes:</w:t>
      </w:r>
    </w:p>
    <w:p w:rsidR="00DB11FF" w:rsidRDefault="00DB11FF" w:rsidP="00DB11FF">
      <w:pPr>
        <w:jc w:val="both"/>
      </w:pPr>
      <w:r>
        <w:t xml:space="preserve">Ele é </w:t>
      </w:r>
      <w:r w:rsidRPr="00D47A26">
        <w:t xml:space="preserve">difícil de configurar e usar? </w:t>
      </w:r>
      <w:r>
        <w:t xml:space="preserve">Esta é uma </w:t>
      </w:r>
      <w:r w:rsidRPr="00D47A26">
        <w:t xml:space="preserve">das </w:t>
      </w:r>
      <w:r>
        <w:t>principais questões</w:t>
      </w:r>
      <w:r w:rsidRPr="00D47A26">
        <w:t xml:space="preserve"> </w:t>
      </w:r>
      <w:r>
        <w:t xml:space="preserve">a respeito do </w:t>
      </w:r>
      <w:proofErr w:type="gramStart"/>
      <w:r>
        <w:t>SensorMedi</w:t>
      </w:r>
      <w:proofErr w:type="gramEnd"/>
      <w:r>
        <w:t xml:space="preserve">. Segundo Daniel Fabro, diretor da </w:t>
      </w:r>
      <w:proofErr w:type="gramStart"/>
      <w:r>
        <w:t>MediSom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®</w:t>
      </w:r>
      <w:r w:rsidRPr="007733AF">
        <w:t>,</w:t>
      </w:r>
      <w:r w:rsidRPr="00D47A26">
        <w:t xml:space="preserve"> Isso ocorre porque </w:t>
      </w:r>
      <w:r>
        <w:t>a maioria dos</w:t>
      </w:r>
      <w:r w:rsidRPr="00D47A26">
        <w:t xml:space="preserve"> sistemas de monitoramento de ruído </w:t>
      </w:r>
      <w:r>
        <w:t xml:space="preserve">existentes </w:t>
      </w:r>
      <w:r w:rsidRPr="00D47A26">
        <w:t xml:space="preserve">no mercado </w:t>
      </w:r>
      <w:r>
        <w:t>são</w:t>
      </w:r>
      <w:r w:rsidRPr="00D47A26">
        <w:t xml:space="preserve"> complexo</w:t>
      </w:r>
      <w:r>
        <w:t>s</w:t>
      </w:r>
      <w:r w:rsidRPr="00D47A26">
        <w:t xml:space="preserve"> e pode</w:t>
      </w:r>
      <w:r>
        <w:t>m</w:t>
      </w:r>
      <w:r w:rsidRPr="00D47A26">
        <w:t xml:space="preserve"> exig</w:t>
      </w:r>
      <w:r>
        <w:t>ir um longo treinamento, ou ainda, necessitar a presença de um especialista em áudio e acústica.</w:t>
      </w:r>
      <w:r w:rsidRPr="00D47A26">
        <w:t xml:space="preserve"> Além disso, eles podem ser </w:t>
      </w:r>
      <w:r>
        <w:t xml:space="preserve">bem </w:t>
      </w:r>
      <w:r w:rsidRPr="00D47A26">
        <w:t xml:space="preserve">dispendiosos para </w:t>
      </w:r>
      <w:r>
        <w:t>locar ou</w:t>
      </w:r>
      <w:r w:rsidRPr="00936766">
        <w:t xml:space="preserve"> </w:t>
      </w:r>
      <w:r w:rsidRPr="00D47A26">
        <w:t>comprar</w:t>
      </w:r>
      <w:r>
        <w:t>.</w:t>
      </w:r>
      <w:r w:rsidRPr="00D47A26">
        <w:t xml:space="preserve"> </w:t>
      </w:r>
    </w:p>
    <w:p w:rsidR="008E7DA5" w:rsidRDefault="008E7DA5" w:rsidP="006F4A5F">
      <w:pPr>
        <w:jc w:val="both"/>
      </w:pPr>
    </w:p>
    <w:p w:rsidR="00DB11FF" w:rsidRDefault="00DB11FF" w:rsidP="006F4A5F">
      <w:pPr>
        <w:jc w:val="both"/>
      </w:pPr>
    </w:p>
    <w:p w:rsidR="00DB11FF" w:rsidRDefault="00DB11FF" w:rsidP="006F4A5F">
      <w:pPr>
        <w:jc w:val="both"/>
      </w:pPr>
    </w:p>
    <w:p w:rsidR="00DB11FF" w:rsidRDefault="00DB11FF" w:rsidP="006F4A5F">
      <w:pPr>
        <w:jc w:val="both"/>
      </w:pPr>
    </w:p>
    <w:p w:rsidR="00DB11FF" w:rsidRDefault="00DB11FF" w:rsidP="006F4A5F">
      <w:pPr>
        <w:jc w:val="both"/>
      </w:pPr>
    </w:p>
    <w:p w:rsidR="00DB11FF" w:rsidRDefault="00DB11FF" w:rsidP="006F4A5F">
      <w:pPr>
        <w:jc w:val="both"/>
      </w:pPr>
    </w:p>
    <w:p w:rsidR="00DB11FF" w:rsidRDefault="00DB11FF" w:rsidP="006F4A5F">
      <w:pPr>
        <w:jc w:val="both"/>
      </w:pPr>
    </w:p>
    <w:p w:rsidR="00DB11FF" w:rsidRDefault="00DB11FF" w:rsidP="006F4A5F">
      <w:pPr>
        <w:jc w:val="both"/>
      </w:pPr>
    </w:p>
    <w:p w:rsidR="00DB11FF" w:rsidRDefault="00DB11FF" w:rsidP="006F4A5F">
      <w:pPr>
        <w:jc w:val="both"/>
      </w:pPr>
    </w:p>
    <w:p w:rsidR="00D958C3" w:rsidRDefault="00D958C3" w:rsidP="006F4A5F">
      <w:pPr>
        <w:jc w:val="both"/>
      </w:pPr>
      <w:r>
        <w:lastRenderedPageBreak/>
        <w:t>&gt; Serviços</w:t>
      </w:r>
      <w:r w:rsidR="00C2040F">
        <w:t xml:space="preserve"> por área de atuação</w:t>
      </w:r>
    </w:p>
    <w:p w:rsidR="00C2040F" w:rsidRPr="008E7DA5" w:rsidRDefault="00417DD8" w:rsidP="006F4A5F">
      <w:pPr>
        <w:jc w:val="both"/>
        <w:rPr>
          <w:b/>
          <w:sz w:val="36"/>
          <w:szCs w:val="36"/>
        </w:rPr>
      </w:pPr>
      <w:r w:rsidRPr="008E7DA5">
        <w:rPr>
          <w:b/>
          <w:sz w:val="36"/>
          <w:szCs w:val="36"/>
        </w:rPr>
        <w:t>R</w:t>
      </w:r>
      <w:r w:rsidR="00C2040F" w:rsidRPr="008E7DA5">
        <w:rPr>
          <w:b/>
          <w:sz w:val="36"/>
          <w:szCs w:val="36"/>
        </w:rPr>
        <w:t xml:space="preserve">uído </w:t>
      </w:r>
      <w:r w:rsidRPr="008E7DA5">
        <w:rPr>
          <w:b/>
          <w:sz w:val="36"/>
          <w:szCs w:val="36"/>
        </w:rPr>
        <w:t>Hospitalar</w:t>
      </w:r>
    </w:p>
    <w:p w:rsidR="008E7DA5" w:rsidRDefault="008E7DA5" w:rsidP="006F4A5F">
      <w:pPr>
        <w:jc w:val="both"/>
      </w:pPr>
    </w:p>
    <w:p w:rsidR="0082442D" w:rsidRPr="00C95E1B" w:rsidRDefault="000178A9" w:rsidP="006F4A5F">
      <w:pPr>
        <w:jc w:val="both"/>
      </w:pPr>
      <w:r w:rsidRPr="00C95E1B">
        <w:t xml:space="preserve">Estudos realizados nos EUA </w:t>
      </w:r>
      <w:r w:rsidR="003671BA" w:rsidRPr="00C95E1B">
        <w:t xml:space="preserve">indicam que, a poluição sonora é um dos maiores incômodos dos pacientes de hospitais. O constante barulho de aparelhos como monitor cardíaco, as conversas entre </w:t>
      </w:r>
      <w:r w:rsidR="0056363B" w:rsidRPr="00C95E1B">
        <w:t xml:space="preserve">a equipe multiprofissional </w:t>
      </w:r>
      <w:r w:rsidR="003671BA" w:rsidRPr="00C95E1B">
        <w:t>e conversas por telefone de visitantes</w:t>
      </w:r>
      <w:r w:rsidR="0056363B" w:rsidRPr="00C95E1B">
        <w:t>,</w:t>
      </w:r>
      <w:r w:rsidR="003671BA" w:rsidRPr="00C95E1B">
        <w:t xml:space="preserve"> tudo isso traz consequências no tratamento e na recuperação dos internados.</w:t>
      </w:r>
    </w:p>
    <w:p w:rsidR="00E67AFB" w:rsidRPr="00C95E1B" w:rsidRDefault="006F4A5F" w:rsidP="006F4A5F">
      <w:pPr>
        <w:jc w:val="both"/>
      </w:pPr>
      <w:r w:rsidRPr="00C95E1B">
        <w:rPr>
          <w:rFonts w:ascii="Calibri" w:hAnsi="Calibri"/>
          <w:color w:val="000000"/>
        </w:rPr>
        <w:t>Foi c</w:t>
      </w:r>
      <w:r w:rsidR="00ED0C9F" w:rsidRPr="00C95E1B">
        <w:rPr>
          <w:rFonts w:ascii="Calibri" w:hAnsi="Calibri"/>
          <w:color w:val="000000"/>
        </w:rPr>
        <w:t xml:space="preserve">om esse propósito, </w:t>
      </w:r>
      <w:r w:rsidRPr="00C95E1B">
        <w:rPr>
          <w:rFonts w:ascii="Calibri" w:hAnsi="Calibri"/>
          <w:color w:val="000000"/>
        </w:rPr>
        <w:t xml:space="preserve">que </w:t>
      </w:r>
      <w:r w:rsidR="00ED0C9F" w:rsidRPr="00C95E1B">
        <w:rPr>
          <w:rFonts w:ascii="Calibri" w:hAnsi="Calibri"/>
          <w:color w:val="000000"/>
        </w:rPr>
        <w:t xml:space="preserve">a MEDISOM desenvolveu o analisador de ruído </w:t>
      </w:r>
      <w:proofErr w:type="gramStart"/>
      <w:r w:rsidR="003215DA" w:rsidRPr="00C95E1B">
        <w:t>SensorMedi</w:t>
      </w:r>
      <w:proofErr w:type="gramEnd"/>
      <w:r w:rsidR="003671BA" w:rsidRPr="00C95E1B">
        <w:t>.</w:t>
      </w:r>
      <w:r w:rsidRPr="00C95E1B">
        <w:t xml:space="preserve"> </w:t>
      </w:r>
      <w:r w:rsidR="003671BA" w:rsidRPr="00C95E1B">
        <w:t>A</w:t>
      </w:r>
      <w:r w:rsidRPr="00C95E1B">
        <w:t xml:space="preserve"> presença de um alerta de ruído em um local óbvio é muitas vezes suficiente para lembrar as pessoas sobre a sensibilidade da área ao ruído. </w:t>
      </w:r>
    </w:p>
    <w:p w:rsidR="008E7DA5" w:rsidRDefault="008E7DA5" w:rsidP="006F4A5F">
      <w:pPr>
        <w:jc w:val="both"/>
      </w:pPr>
    </w:p>
    <w:p w:rsidR="00E67AFB" w:rsidRDefault="006F4A5F" w:rsidP="006F4A5F">
      <w:pPr>
        <w:jc w:val="both"/>
      </w:pPr>
      <w:r>
        <w:t xml:space="preserve">O </w:t>
      </w:r>
      <w:proofErr w:type="gramStart"/>
      <w:r w:rsidR="003215DA">
        <w:t>SensorMedi</w:t>
      </w:r>
      <w:proofErr w:type="gramEnd"/>
      <w:r>
        <w:t xml:space="preserve"> </w:t>
      </w:r>
      <w:r w:rsidR="003671BA">
        <w:t>irá</w:t>
      </w:r>
      <w:r>
        <w:t xml:space="preserve"> lembrar funcionários, pacientes e visitantes para ficarem em silêncio em locais de uso comum:</w:t>
      </w:r>
    </w:p>
    <w:p w:rsidR="006F4A5F" w:rsidRDefault="006F4A5F" w:rsidP="006F4A5F">
      <w:pPr>
        <w:pStyle w:val="PargrafodaLista"/>
        <w:numPr>
          <w:ilvl w:val="0"/>
          <w:numId w:val="1"/>
        </w:numPr>
        <w:jc w:val="both"/>
      </w:pPr>
      <w:r>
        <w:t>UTI e UTI</w:t>
      </w:r>
      <w:r w:rsidR="004714A0">
        <w:t xml:space="preserve"> </w:t>
      </w:r>
      <w:r>
        <w:t>N</w:t>
      </w:r>
      <w:r w:rsidR="004714A0">
        <w:t>eonatal</w:t>
      </w:r>
      <w:r>
        <w:t>;</w:t>
      </w:r>
    </w:p>
    <w:p w:rsidR="006F4A5F" w:rsidRDefault="00E5415B" w:rsidP="006F4A5F">
      <w:pPr>
        <w:pStyle w:val="PargrafodaLista"/>
        <w:numPr>
          <w:ilvl w:val="0"/>
          <w:numId w:val="1"/>
        </w:numPr>
        <w:jc w:val="both"/>
      </w:pPr>
      <w:r>
        <w:t>Centros C</w:t>
      </w:r>
      <w:r w:rsidR="006F4A5F">
        <w:t>irúrgicos;</w:t>
      </w:r>
    </w:p>
    <w:p w:rsidR="00E5415B" w:rsidRDefault="00E5415B" w:rsidP="006F4A5F">
      <w:pPr>
        <w:pStyle w:val="PargrafodaLista"/>
        <w:numPr>
          <w:ilvl w:val="0"/>
          <w:numId w:val="1"/>
        </w:numPr>
        <w:jc w:val="both"/>
      </w:pPr>
      <w:r>
        <w:t>Corredores de acesso aos quartos;</w:t>
      </w:r>
    </w:p>
    <w:p w:rsidR="004714A0" w:rsidRDefault="004714A0" w:rsidP="004714A0">
      <w:pPr>
        <w:pStyle w:val="PargrafodaLista"/>
        <w:numPr>
          <w:ilvl w:val="0"/>
          <w:numId w:val="1"/>
        </w:numPr>
      </w:pPr>
      <w:r>
        <w:t>Recepção e Pronto-Socorro;</w:t>
      </w:r>
    </w:p>
    <w:p w:rsidR="006F4A5F" w:rsidRDefault="006F4A5F" w:rsidP="006F4A5F">
      <w:pPr>
        <w:pStyle w:val="PargrafodaLista"/>
        <w:numPr>
          <w:ilvl w:val="0"/>
          <w:numId w:val="1"/>
        </w:numPr>
        <w:jc w:val="both"/>
      </w:pPr>
      <w:r>
        <w:t>Farmácia, lavanderia e refeitório;</w:t>
      </w:r>
    </w:p>
    <w:p w:rsidR="004333C5" w:rsidRDefault="004333C5" w:rsidP="004333C5">
      <w:pPr>
        <w:pStyle w:val="PargrafodaLista"/>
        <w:jc w:val="both"/>
      </w:pPr>
    </w:p>
    <w:p w:rsidR="006F4A5F" w:rsidRPr="004333C5" w:rsidRDefault="00E5415B" w:rsidP="006F4A5F">
      <w:pPr>
        <w:jc w:val="both"/>
        <w:rPr>
          <w:b/>
        </w:rPr>
      </w:pPr>
      <w:r w:rsidRPr="004333C5">
        <w:rPr>
          <w:b/>
        </w:rPr>
        <w:t>Por que um sensor de r</w:t>
      </w:r>
      <w:r w:rsidR="006F4A5F" w:rsidRPr="004333C5">
        <w:rPr>
          <w:b/>
        </w:rPr>
        <w:t xml:space="preserve">uído com </w:t>
      </w:r>
      <w:r w:rsidRPr="004333C5">
        <w:rPr>
          <w:b/>
        </w:rPr>
        <w:t>a</w:t>
      </w:r>
      <w:r w:rsidR="006F4A5F" w:rsidRPr="004333C5">
        <w:rPr>
          <w:b/>
        </w:rPr>
        <w:t>viso</w:t>
      </w:r>
      <w:r w:rsidRPr="004333C5">
        <w:rPr>
          <w:b/>
        </w:rPr>
        <w:t xml:space="preserve"> luminoso</w:t>
      </w:r>
      <w:r w:rsidR="006F4A5F" w:rsidRPr="004333C5">
        <w:rPr>
          <w:b/>
        </w:rPr>
        <w:t>?</w:t>
      </w:r>
    </w:p>
    <w:p w:rsidR="006F4A5F" w:rsidRDefault="006F4A5F" w:rsidP="006F4A5F">
      <w:pPr>
        <w:jc w:val="both"/>
      </w:pPr>
      <w:r>
        <w:t xml:space="preserve">Normalmente não há necessidade de barulho excessivo em uma enfermaria de hospital. O ruído geralmente é causado por visitantes ou muitas vezes o pessoal falando mais alto do que o necessário ou pessoas sendo negligentes ao mover equipamentos médicos ou pacientes entre os quartos.  </w:t>
      </w:r>
    </w:p>
    <w:p w:rsidR="000E3C75" w:rsidRDefault="000E3C75" w:rsidP="006F4A5F">
      <w:pPr>
        <w:jc w:val="both"/>
      </w:pPr>
      <w:r w:rsidRPr="000E3C75">
        <w:t>Este equipamento é um lembrete claro e simples para manter os níveis de ruído dentro do recomendado pela</w:t>
      </w:r>
      <w:r w:rsidR="00FE1568">
        <w:t xml:space="preserve"> </w:t>
      </w:r>
      <w:r w:rsidRPr="000E3C75">
        <w:t>Agência Brasileira de Normas Técnicas (ABNT), no qual</w:t>
      </w:r>
      <w:r w:rsidR="00C95E1B">
        <w:t>,</w:t>
      </w:r>
      <w:r w:rsidRPr="000E3C75">
        <w:t xml:space="preserve"> avisos luminosos de diferentes cores acendem para alerta-lo caso </w:t>
      </w:r>
      <w:r w:rsidR="00FE1568">
        <w:t>ocorra</w:t>
      </w:r>
      <w:r w:rsidRPr="000E3C75">
        <w:t xml:space="preserve"> uma não conformidade </w:t>
      </w:r>
      <w:r>
        <w:t xml:space="preserve">no nível de ruído </w:t>
      </w:r>
      <w:r w:rsidRPr="000E3C75">
        <w:t xml:space="preserve">ambiente. O Analisador de Ruído com Aviso Luminoso – </w:t>
      </w:r>
      <w:proofErr w:type="gramStart"/>
      <w:r w:rsidR="003215DA">
        <w:t>SensorMedi</w:t>
      </w:r>
      <w:proofErr w:type="gramEnd"/>
      <w:r w:rsidRPr="000E3C75">
        <w:t xml:space="preserve"> é adequado para uma indicação imediata de que os níveis de ruído estão muito altos. </w:t>
      </w:r>
    </w:p>
    <w:p w:rsidR="000178A9" w:rsidRDefault="00E67AFB" w:rsidP="006F4A5F">
      <w:pPr>
        <w:jc w:val="both"/>
      </w:pPr>
      <w:r>
        <w:t>Opcionalmente o</w:t>
      </w:r>
      <w:r w:rsidR="006F4A5F">
        <w:t xml:space="preserve"> aparelho </w:t>
      </w:r>
      <w:r>
        <w:t>pode</w:t>
      </w:r>
      <w:r w:rsidR="006F4A5F">
        <w:t xml:space="preserve"> integrar um sistema </w:t>
      </w:r>
      <w:r w:rsidR="00FD3512">
        <w:t>Web de</w:t>
      </w:r>
      <w:r w:rsidR="006F4A5F">
        <w:t xml:space="preserve"> aquisição de dados, cuja implantação é imprescindível quando se pretende verificar o ruído de um ambiente ao longo de um período de tempo, descobrindo assim os horários mais ruidosos e os mais silenciosos.</w:t>
      </w:r>
    </w:p>
    <w:p w:rsidR="00E67AFB" w:rsidRDefault="004B7C7A" w:rsidP="004962F8">
      <w:pPr>
        <w:spacing w:line="240" w:lineRule="auto"/>
        <w:jc w:val="both"/>
      </w:pPr>
      <w:r>
        <w:t xml:space="preserve">O </w:t>
      </w:r>
      <w:proofErr w:type="gramStart"/>
      <w:r w:rsidR="003215DA">
        <w:t>SensorMedi</w:t>
      </w:r>
      <w:proofErr w:type="gramEnd"/>
      <w:r w:rsidR="00E67AFB">
        <w:t xml:space="preserve"> possui um alerta visual e é montado na parede</w:t>
      </w:r>
      <w:r w:rsidR="00D50AAE">
        <w:t>,</w:t>
      </w:r>
      <w:r w:rsidR="00E67AFB">
        <w:t xml:space="preserve"> </w:t>
      </w:r>
      <w:r w:rsidR="001931F5">
        <w:t>podendo ser ajustado</w:t>
      </w:r>
      <w:r w:rsidR="00D50AAE">
        <w:t xml:space="preserve"> para acender e piscar</w:t>
      </w:r>
      <w:r w:rsidR="00E67AFB">
        <w:t xml:space="preserve"> quando os níveis de ruído </w:t>
      </w:r>
      <w:r w:rsidR="001931F5">
        <w:t>estiverem</w:t>
      </w:r>
      <w:r w:rsidR="00E67AFB">
        <w:t xml:space="preserve"> muito altos.</w:t>
      </w:r>
      <w:r w:rsidR="004962F8">
        <w:t xml:space="preserve"> O </w:t>
      </w:r>
      <w:r w:rsidR="004962F8" w:rsidRPr="00E5415B">
        <w:rPr>
          <w:noProof/>
          <w:lang w:eastAsia="pt-BR"/>
        </w:rPr>
        <w:t>nível de som em que as luzes se acendem é definido através do display que está na parte frontal do aparelho.</w:t>
      </w:r>
    </w:p>
    <w:p w:rsidR="003779C5" w:rsidRPr="00BB119C" w:rsidRDefault="003779C5" w:rsidP="00E67AFB">
      <w:pPr>
        <w:jc w:val="both"/>
        <w:rPr>
          <w:color w:val="FF0000"/>
        </w:rPr>
      </w:pPr>
      <w:r w:rsidRPr="00BB119C">
        <w:rPr>
          <w:color w:val="FF0000"/>
        </w:rPr>
        <w:lastRenderedPageBreak/>
        <w:t xml:space="preserve">Como incentivo aos colaboradores o </w:t>
      </w:r>
      <w:proofErr w:type="gramStart"/>
      <w:r w:rsidR="003215DA">
        <w:rPr>
          <w:color w:val="FF0000"/>
        </w:rPr>
        <w:t>SensorMedi</w:t>
      </w:r>
      <w:proofErr w:type="gramEnd"/>
      <w:r w:rsidRPr="00BB119C">
        <w:rPr>
          <w:color w:val="FF0000"/>
        </w:rPr>
        <w:t xml:space="preserve"> fornece um indicador de pontuação automática que varia de 0 a 100%. Se os níveis de ruído ambiente forem mantidos baixos, a pontuação aumenta e se os níveis de ruído subirem, a pontuação diminui. Este recurso pode ser utilizado como um mecanismo de recompensa ou advertência, além de criar uma rivalidade sadia entre os departamentos e aumentar a aderência às campanhas de conscientização.</w:t>
      </w:r>
      <w:r w:rsidR="00D158CC">
        <w:rPr>
          <w:color w:val="FF0000"/>
        </w:rPr>
        <w:t xml:space="preserve"> O indicador serve</w:t>
      </w:r>
      <w:r w:rsidR="00D158CC" w:rsidRPr="00D158CC">
        <w:t xml:space="preserve"> </w:t>
      </w:r>
      <w:r w:rsidR="00D158CC" w:rsidRPr="00D158CC">
        <w:rPr>
          <w:color w:val="FF0000"/>
        </w:rPr>
        <w:t xml:space="preserve">para </w:t>
      </w:r>
      <w:r w:rsidR="00D158CC">
        <w:rPr>
          <w:color w:val="FF0000"/>
        </w:rPr>
        <w:t>demonstrar como está o</w:t>
      </w:r>
      <w:r w:rsidR="00D158CC" w:rsidRPr="00D158CC">
        <w:rPr>
          <w:color w:val="FF0000"/>
        </w:rPr>
        <w:t xml:space="preserve"> desempenho </w:t>
      </w:r>
      <w:r w:rsidR="00D158CC">
        <w:rPr>
          <w:color w:val="FF0000"/>
        </w:rPr>
        <w:t>do turno da noite, por exemplo</w:t>
      </w:r>
      <w:r w:rsidR="00D158CC" w:rsidRPr="00D158CC">
        <w:rPr>
          <w:color w:val="FF0000"/>
        </w:rPr>
        <w:t>,</w:t>
      </w:r>
      <w:r w:rsidR="00D158CC">
        <w:rPr>
          <w:color w:val="FF0000"/>
        </w:rPr>
        <w:t xml:space="preserve"> ou o</w:t>
      </w:r>
      <w:r w:rsidR="00D158CC" w:rsidRPr="00D158CC">
        <w:rPr>
          <w:color w:val="FF0000"/>
        </w:rPr>
        <w:t xml:space="preserve"> cumprimento de metas, verificações de status e comparativos.</w:t>
      </w:r>
      <w:r w:rsidR="00D158CC">
        <w:rPr>
          <w:color w:val="FF0000"/>
        </w:rPr>
        <w:t xml:space="preserve"> </w:t>
      </w:r>
    </w:p>
    <w:p w:rsidR="004333C5" w:rsidRDefault="004333C5" w:rsidP="000E3C75">
      <w:pPr>
        <w:jc w:val="both"/>
        <w:rPr>
          <w:b/>
        </w:rPr>
      </w:pPr>
    </w:p>
    <w:p w:rsidR="004333C5" w:rsidRDefault="00E67AFB" w:rsidP="000E3C75">
      <w:pPr>
        <w:jc w:val="both"/>
      </w:pPr>
      <w:r w:rsidRPr="004333C5">
        <w:rPr>
          <w:b/>
        </w:rPr>
        <w:t>Design atraente para uso em áreas públicas</w:t>
      </w:r>
    </w:p>
    <w:p w:rsidR="00953257" w:rsidRDefault="000E3C75" w:rsidP="000E3C75">
      <w:pPr>
        <w:jc w:val="both"/>
      </w:pPr>
      <w:r>
        <w:t xml:space="preserve">Ao contrário de muitos produtos de monitoramento de ruído o </w:t>
      </w:r>
      <w:proofErr w:type="gramStart"/>
      <w:r w:rsidR="003215DA">
        <w:t>SensorMedi</w:t>
      </w:r>
      <w:proofErr w:type="gramEnd"/>
      <w:r>
        <w:t xml:space="preserve"> foi projetado especificamente para uma boa aparência e sua presença e sua função tornam-se evidentes quando a unidade é instalada em um local público.</w:t>
      </w:r>
    </w:p>
    <w:p w:rsidR="000E3C75" w:rsidRDefault="001931F5" w:rsidP="00754A2A">
      <w:pPr>
        <w:spacing w:line="240" w:lineRule="auto"/>
        <w:jc w:val="both"/>
      </w:pPr>
      <w:r>
        <w:t>Verde = Monitorando o ruído;</w:t>
      </w:r>
    </w:p>
    <w:p w:rsidR="001931F5" w:rsidRDefault="001931F5" w:rsidP="00754A2A">
      <w:pPr>
        <w:spacing w:line="240" w:lineRule="auto"/>
        <w:jc w:val="both"/>
      </w:pPr>
      <w:r>
        <w:t>Amarelo = Ruído relativamente alto;</w:t>
      </w:r>
    </w:p>
    <w:p w:rsidR="00E67AFB" w:rsidRDefault="001931F5" w:rsidP="00754A2A">
      <w:pPr>
        <w:spacing w:line="240" w:lineRule="auto"/>
        <w:jc w:val="both"/>
      </w:pPr>
      <w:r>
        <w:t>Vermelho</w:t>
      </w:r>
      <w:r w:rsidR="000E3C75">
        <w:t xml:space="preserve"> (pisca-pisca)</w:t>
      </w:r>
      <w:r w:rsidR="00E67AFB">
        <w:t xml:space="preserve"> = </w:t>
      </w:r>
      <w:r>
        <w:t xml:space="preserve">Ruído excessivamente </w:t>
      </w:r>
      <w:r w:rsidR="00E67AFB">
        <w:t>alto</w:t>
      </w:r>
      <w:r>
        <w:t>;</w:t>
      </w:r>
    </w:p>
    <w:p w:rsidR="00754A2A" w:rsidRDefault="00E67AFB" w:rsidP="00754A2A">
      <w:pPr>
        <w:spacing w:line="240" w:lineRule="auto"/>
        <w:jc w:val="both"/>
      </w:pPr>
      <w:r>
        <w:t xml:space="preserve">Aviso </w:t>
      </w:r>
      <w:r w:rsidR="00E5415B">
        <w:t xml:space="preserve">com </w:t>
      </w:r>
      <w:r>
        <w:t xml:space="preserve">nível ajustável 40-115 </w:t>
      </w:r>
      <w:proofErr w:type="gramStart"/>
      <w:r>
        <w:t>dB</w:t>
      </w:r>
      <w:proofErr w:type="gramEnd"/>
      <w:r>
        <w:t xml:space="preserve"> (A)</w:t>
      </w:r>
    </w:p>
    <w:p w:rsidR="0051080E" w:rsidRDefault="0051080E" w:rsidP="00754A2A">
      <w:pPr>
        <w:spacing w:line="240" w:lineRule="auto"/>
        <w:jc w:val="both"/>
      </w:pPr>
    </w:p>
    <w:p w:rsidR="00E67AFB" w:rsidRDefault="001A5F1E" w:rsidP="00E67AFB">
      <w:pPr>
        <w:jc w:val="both"/>
        <w:rPr>
          <w:b/>
        </w:rPr>
      </w:pPr>
      <w:r w:rsidRPr="008E7DA5">
        <w:rPr>
          <w:b/>
        </w:rPr>
        <w:t>Definir o limite de ruído:</w:t>
      </w:r>
    </w:p>
    <w:p w:rsidR="00275252" w:rsidRPr="00275252" w:rsidRDefault="00275252" w:rsidP="00E67AFB">
      <w:pPr>
        <w:jc w:val="both"/>
      </w:pPr>
      <w:r>
        <w:t xml:space="preserve">Assim que o nível do ruído ultrapassar o valor setado no alarme, a mensagem "você está falando muito alto" que o </w:t>
      </w:r>
      <w:proofErr w:type="gramStart"/>
      <w:r w:rsidR="003215DA">
        <w:t>SensorMedi</w:t>
      </w:r>
      <w:proofErr w:type="gramEnd"/>
      <w:r>
        <w:t xml:space="preserve"> fornece é inconfundível para crianças e adultos, permitindo que você tome medidas imediatas, sem o constrangimento de alguém ter que pedir para você ficar quieto.</w:t>
      </w:r>
    </w:p>
    <w:p w:rsidR="00E67AFB" w:rsidRDefault="00E67AFB" w:rsidP="00E67AFB">
      <w:pPr>
        <w:jc w:val="both"/>
      </w:pPr>
      <w:r>
        <w:t xml:space="preserve">Diferentes áreas precisam de mais </w:t>
      </w:r>
      <w:r w:rsidR="00E5415B">
        <w:t>tranquilidade do que outra</w:t>
      </w:r>
      <w:r>
        <w:t>s. A sala de recuperação do hospital precisa ser muito tranquila, ao passo que</w:t>
      </w:r>
      <w:r w:rsidR="00E5415B">
        <w:t>,</w:t>
      </w:r>
      <w:r>
        <w:t xml:space="preserve"> uma sala de espera não é tão crítica, desde que os visitantes não </w:t>
      </w:r>
      <w:r w:rsidR="00E5415B">
        <w:t>estejam</w:t>
      </w:r>
      <w:r>
        <w:t xml:space="preserve"> falando muito alto ou gritando. A sala de </w:t>
      </w:r>
      <w:r w:rsidR="00E5415B">
        <w:t>espera</w:t>
      </w:r>
      <w:r>
        <w:t xml:space="preserve"> deve ser </w:t>
      </w:r>
      <w:r w:rsidR="004B7C7A">
        <w:t>razoavelmente tranquila</w:t>
      </w:r>
      <w:r>
        <w:t xml:space="preserve">, mas o refeitório </w:t>
      </w:r>
      <w:r w:rsidR="00E5415B">
        <w:t>pode estar um</w:t>
      </w:r>
      <w:r>
        <w:t xml:space="preserve"> pouco mais </w:t>
      </w:r>
      <w:r w:rsidR="00E5415B">
        <w:t>agitado</w:t>
      </w:r>
      <w:r>
        <w:t>.</w:t>
      </w:r>
      <w:r w:rsidR="00F51630" w:rsidRPr="00F51630">
        <w:t xml:space="preserve"> Portanto</w:t>
      </w:r>
      <w:r w:rsidR="00F51630">
        <w:t>,</w:t>
      </w:r>
      <w:r w:rsidR="00F51630" w:rsidRPr="00F51630">
        <w:t xml:space="preserve"> para cada ambiente pode ser definido um valor do nível de ruído aceitável.</w:t>
      </w:r>
      <w:r w:rsidR="00F51630">
        <w:t xml:space="preserve"> </w:t>
      </w:r>
    </w:p>
    <w:p w:rsidR="00E67AFB" w:rsidRPr="008E7DA5" w:rsidRDefault="00E67AFB" w:rsidP="00E67AFB">
      <w:pPr>
        <w:jc w:val="both"/>
        <w:rPr>
          <w:b/>
        </w:rPr>
      </w:pPr>
      <w:r w:rsidRPr="008E7DA5">
        <w:rPr>
          <w:b/>
        </w:rPr>
        <w:t>Onde</w:t>
      </w:r>
      <w:r w:rsidR="004F2E92" w:rsidRPr="008E7DA5">
        <w:rPr>
          <w:b/>
        </w:rPr>
        <w:t xml:space="preserve"> o</w:t>
      </w:r>
      <w:r w:rsidRPr="008E7DA5">
        <w:rPr>
          <w:b/>
        </w:rPr>
        <w:t xml:space="preserve"> </w:t>
      </w:r>
      <w:proofErr w:type="gramStart"/>
      <w:r w:rsidR="003215DA">
        <w:rPr>
          <w:b/>
        </w:rPr>
        <w:t>SensorMedi</w:t>
      </w:r>
      <w:proofErr w:type="gramEnd"/>
      <w:r w:rsidRPr="008E7DA5">
        <w:rPr>
          <w:b/>
        </w:rPr>
        <w:t xml:space="preserve"> </w:t>
      </w:r>
      <w:r w:rsidR="00D50AAE" w:rsidRPr="008E7DA5">
        <w:rPr>
          <w:b/>
        </w:rPr>
        <w:t>a</w:t>
      </w:r>
      <w:r w:rsidRPr="008E7DA5">
        <w:rPr>
          <w:b/>
        </w:rPr>
        <w:t>juda</w:t>
      </w:r>
      <w:r w:rsidR="00D50AAE" w:rsidRPr="008E7DA5">
        <w:rPr>
          <w:b/>
        </w:rPr>
        <w:t>?</w:t>
      </w:r>
    </w:p>
    <w:p w:rsidR="00754A2A" w:rsidRDefault="00E5415B" w:rsidP="008E7DA5">
      <w:pPr>
        <w:jc w:val="both"/>
      </w:pPr>
      <w:r>
        <w:t xml:space="preserve">O </w:t>
      </w:r>
      <w:proofErr w:type="gramStart"/>
      <w:r w:rsidR="003215DA">
        <w:t>SensorMedi</w:t>
      </w:r>
      <w:proofErr w:type="gramEnd"/>
      <w:r w:rsidR="00E67AFB">
        <w:t xml:space="preserve"> pode ajudar onde </w:t>
      </w:r>
      <w:r>
        <w:t>as pessoas precisam ser lembradas</w:t>
      </w:r>
      <w:r w:rsidR="00E67AFB">
        <w:t xml:space="preserve"> para manter seus níveis de ruído baixo. Por exemplo, em hospitais o barulho vem de pacientes, funcionários e, claro, dos visitantes. A presença do sinal é geralmente suficiente para lembrar as pessoas de que o ruído é um problema. As luzes amarelas e vermelhas são para aqueles que esquecem ou que são incapazes de julgar o que </w:t>
      </w:r>
      <w:r w:rsidR="00D50AAE">
        <w:t xml:space="preserve">é </w:t>
      </w:r>
      <w:r w:rsidR="00E67AFB">
        <w:t>"</w:t>
      </w:r>
      <w:r w:rsidR="00754A2A">
        <w:t xml:space="preserve">som </w:t>
      </w:r>
      <w:r w:rsidR="00E67AFB">
        <w:t>muito alto".</w:t>
      </w:r>
    </w:p>
    <w:p w:rsidR="008E7DA5" w:rsidRDefault="008E7DA5" w:rsidP="009C324D">
      <w:pPr>
        <w:jc w:val="both"/>
      </w:pPr>
    </w:p>
    <w:p w:rsidR="002B53AF" w:rsidRDefault="002B53AF" w:rsidP="009C324D">
      <w:pPr>
        <w:jc w:val="both"/>
      </w:pPr>
      <w:bookmarkStart w:id="0" w:name="_GoBack"/>
      <w:bookmarkEnd w:id="0"/>
    </w:p>
    <w:p w:rsidR="009C324D" w:rsidRPr="008E7DA5" w:rsidRDefault="009C324D" w:rsidP="009C324D">
      <w:pPr>
        <w:jc w:val="both"/>
        <w:rPr>
          <w:b/>
          <w:sz w:val="36"/>
          <w:szCs w:val="36"/>
        </w:rPr>
      </w:pPr>
      <w:r w:rsidRPr="008E7DA5">
        <w:rPr>
          <w:b/>
          <w:sz w:val="36"/>
          <w:szCs w:val="36"/>
        </w:rPr>
        <w:lastRenderedPageBreak/>
        <w:t>Monitoramento contínuo de ruídos - web</w:t>
      </w:r>
    </w:p>
    <w:p w:rsidR="009C324D" w:rsidRPr="001979F4" w:rsidRDefault="009C324D" w:rsidP="009C324D">
      <w:pPr>
        <w:jc w:val="both"/>
        <w:rPr>
          <w:i/>
        </w:rPr>
      </w:pPr>
      <w:r w:rsidRPr="001979F4">
        <w:rPr>
          <w:i/>
        </w:rPr>
        <w:t xml:space="preserve">"Não é possível gerir o que não se pode medir... e, se não se pode gerir, não se poderá melhorar" (William </w:t>
      </w:r>
      <w:proofErr w:type="spellStart"/>
      <w:r w:rsidRPr="001979F4">
        <w:rPr>
          <w:i/>
        </w:rPr>
        <w:t>Hewlett</w:t>
      </w:r>
      <w:proofErr w:type="spellEnd"/>
      <w:proofErr w:type="gramStart"/>
      <w:r w:rsidRPr="001979F4">
        <w:rPr>
          <w:i/>
        </w:rPr>
        <w:t>)</w:t>
      </w:r>
      <w:proofErr w:type="gramEnd"/>
      <w:r w:rsidRPr="001979F4">
        <w:rPr>
          <w:i/>
        </w:rPr>
        <w:t xml:space="preserve"> </w:t>
      </w:r>
    </w:p>
    <w:p w:rsidR="000D344F" w:rsidRDefault="00215752" w:rsidP="006F4A5F">
      <w:pPr>
        <w:jc w:val="both"/>
      </w:pPr>
      <w:r>
        <w:t>A empresa especializada em</w:t>
      </w:r>
      <w:r w:rsidR="007733AF" w:rsidRPr="007733AF">
        <w:t xml:space="preserve"> monitoramento </w:t>
      </w:r>
      <w:r w:rsidR="007733AF">
        <w:t>da poluição sonora</w:t>
      </w:r>
      <w:r w:rsidR="007733AF" w:rsidRPr="007733AF">
        <w:t xml:space="preserve"> </w:t>
      </w:r>
      <w:proofErr w:type="gramStart"/>
      <w:r w:rsidR="007733AF">
        <w:t>MediSom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®</w:t>
      </w:r>
      <w:r w:rsidR="007733AF" w:rsidRPr="007733AF">
        <w:t xml:space="preserve">, sediada em </w:t>
      </w:r>
      <w:r w:rsidR="007733AF">
        <w:t>Florianópolis</w:t>
      </w:r>
      <w:r w:rsidR="007733AF" w:rsidRPr="007733AF">
        <w:t xml:space="preserve"> (</w:t>
      </w:r>
      <w:r w:rsidR="007733AF">
        <w:t>SC</w:t>
      </w:r>
      <w:r w:rsidR="007733AF" w:rsidRPr="007733AF">
        <w:t xml:space="preserve">), acaba de lançar no mercado uma </w:t>
      </w:r>
      <w:r>
        <w:t xml:space="preserve">nova opção a baixo custo para o monitoramento contínuo </w:t>
      </w:r>
      <w:r w:rsidR="007733AF" w:rsidRPr="007733AF">
        <w:t>do</w:t>
      </w:r>
      <w:r>
        <w:t>s níveis</w:t>
      </w:r>
      <w:r w:rsidR="007733AF" w:rsidRPr="007733AF">
        <w:t xml:space="preserve"> </w:t>
      </w:r>
      <w:r>
        <w:t>de ruído ambiente em recintos</w:t>
      </w:r>
      <w:r w:rsidR="007733AF" w:rsidRPr="007733AF">
        <w:t xml:space="preserve">, </w:t>
      </w:r>
      <w:r>
        <w:t xml:space="preserve">o </w:t>
      </w:r>
      <w:r w:rsidR="003215DA">
        <w:t>SensorMedi</w:t>
      </w:r>
      <w:r>
        <w:t>-web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®</w:t>
      </w:r>
      <w:r>
        <w:t>:</w:t>
      </w:r>
      <w:r w:rsidR="007733AF" w:rsidRPr="007733AF">
        <w:t xml:space="preserve"> O equipamento  monitora e registra </w:t>
      </w:r>
      <w:r w:rsidR="00FD3512">
        <w:t>os principais indicadores do ruído ambiente</w:t>
      </w:r>
      <w:r w:rsidR="007733AF" w:rsidRPr="007733AF">
        <w:t xml:space="preserve"> ao longo do tempo</w:t>
      </w:r>
      <w:r w:rsidR="00FD3512">
        <w:t>,</w:t>
      </w:r>
      <w:r w:rsidR="007733AF" w:rsidRPr="007733AF">
        <w:t xml:space="preserve"> sobre a</w:t>
      </w:r>
      <w:r w:rsidR="00FD3512">
        <w:t>s variações dos níveis de pressão sonora por período</w:t>
      </w:r>
      <w:r w:rsidR="007733AF" w:rsidRPr="007733AF">
        <w:t xml:space="preserve">, </w:t>
      </w:r>
      <w:r w:rsidR="00FD3512" w:rsidRPr="00FD3512">
        <w:t>descobrindo assim os horários mais ruidosos e os mais silenciosos.</w:t>
      </w:r>
      <w:r w:rsidR="007733AF" w:rsidRPr="007733AF">
        <w:t xml:space="preserve">  </w:t>
      </w:r>
    </w:p>
    <w:p w:rsidR="009C324D" w:rsidRDefault="007733AF" w:rsidP="006F4A5F">
      <w:pPr>
        <w:jc w:val="both"/>
      </w:pPr>
      <w:r w:rsidRPr="007733AF">
        <w:t xml:space="preserve">Também possibilita a obtenção de uma série histórica de registros, que permitem que as empresas conheçam o comportamento </w:t>
      </w:r>
      <w:r w:rsidR="00FF23EE">
        <w:t>sonoro</w:t>
      </w:r>
      <w:r w:rsidRPr="007733AF">
        <w:t xml:space="preserve"> em função da sazonalidade ou das atividades e processos produtivos que realizam em determinado local, bem como registro para uso futuro.</w:t>
      </w:r>
      <w:r w:rsidR="00215752">
        <w:t xml:space="preserve">  </w:t>
      </w:r>
    </w:p>
    <w:p w:rsidR="00BD5003" w:rsidRDefault="00BD5003" w:rsidP="00BD5003">
      <w:pPr>
        <w:jc w:val="both"/>
      </w:pPr>
      <w:r>
        <w:t>Esta solução é ideal para todas as aplicações de monitorização de ruído q</w:t>
      </w:r>
      <w:r w:rsidR="007243B0">
        <w:t>ue exigem uma unidade que atenda</w:t>
      </w:r>
      <w:r>
        <w:t xml:space="preserve"> à norma IEC 61672 classes </w:t>
      </w:r>
      <w:proofErr w:type="gramStart"/>
      <w:r>
        <w:t>2</w:t>
      </w:r>
      <w:proofErr w:type="gramEnd"/>
      <w:r>
        <w:t xml:space="preserve"> e </w:t>
      </w:r>
      <w:r w:rsidR="0042021F">
        <w:t>demandam</w:t>
      </w:r>
      <w:r>
        <w:t xml:space="preserve"> acesso às medições de ruído através de um navegador web padrão.</w:t>
      </w:r>
    </w:p>
    <w:p w:rsidR="00610CC1" w:rsidRDefault="00610CC1" w:rsidP="00BD5003">
      <w:pPr>
        <w:jc w:val="both"/>
      </w:pPr>
    </w:p>
    <w:p w:rsidR="007C7BAC" w:rsidRPr="007C7BAC" w:rsidRDefault="007C7BAC" w:rsidP="007C7BAC">
      <w:pPr>
        <w:jc w:val="both"/>
        <w:rPr>
          <w:b/>
        </w:rPr>
      </w:pPr>
      <w:r w:rsidRPr="007C7BAC">
        <w:rPr>
          <w:b/>
        </w:rPr>
        <w:t>Alertas</w:t>
      </w:r>
    </w:p>
    <w:p w:rsidR="008E7DA5" w:rsidRDefault="001979F4" w:rsidP="007C7BAC">
      <w:pPr>
        <w:jc w:val="both"/>
      </w:pPr>
      <w:r>
        <w:t xml:space="preserve">A função </w:t>
      </w:r>
      <w:r w:rsidR="007C7BAC">
        <w:t xml:space="preserve">Alerta permite a você definir alertas para enviar notificações por e-mail ou SMS quando condições específicas forem encontradas. Por exemplo, você </w:t>
      </w:r>
      <w:proofErr w:type="gramStart"/>
      <w:r w:rsidR="007C7BAC">
        <w:t>pode configurar alertas</w:t>
      </w:r>
      <w:proofErr w:type="gramEnd"/>
      <w:r w:rsidR="007C7BAC">
        <w:t xml:space="preserve"> para saber quando os </w:t>
      </w:r>
      <w:r>
        <w:t xml:space="preserve">níveis de </w:t>
      </w:r>
      <w:proofErr w:type="spellStart"/>
      <w:r>
        <w:t>Leq</w:t>
      </w:r>
      <w:proofErr w:type="spellEnd"/>
      <w:r>
        <w:t xml:space="preserve"> ultrapassarem </w:t>
      </w:r>
      <w:r w:rsidR="004D61FA">
        <w:t xml:space="preserve">o limite especificado, </w:t>
      </w:r>
      <w:r>
        <w:t xml:space="preserve">quando o </w:t>
      </w:r>
      <w:r w:rsidR="004D61FA">
        <w:t xml:space="preserve">alerta vermelho piscar mais de 20 vezes na ultima hora ou quando o </w:t>
      </w:r>
      <w:r w:rsidR="004D61FA" w:rsidRPr="004D61FA">
        <w:t>indicador de pontuação automática</w:t>
      </w:r>
      <w:r w:rsidR="004D61FA">
        <w:t xml:space="preserve"> estiver abaixo de 50%. </w:t>
      </w:r>
      <w:r w:rsidR="007C7BAC">
        <w:t xml:space="preserve">Você também pode escolher entre </w:t>
      </w:r>
      <w:proofErr w:type="gramStart"/>
      <w:r w:rsidR="007C7BAC">
        <w:t>alertas padrão</w:t>
      </w:r>
      <w:proofErr w:type="gramEnd"/>
      <w:r w:rsidR="007C7BAC">
        <w:t xml:space="preserve"> internos ou criar e personalizar os seus próprios alertas. </w:t>
      </w:r>
    </w:p>
    <w:p w:rsidR="007C7BAC" w:rsidRPr="007C7BAC" w:rsidRDefault="007C7BAC" w:rsidP="007C7BAC">
      <w:pPr>
        <w:jc w:val="both"/>
        <w:rPr>
          <w:b/>
        </w:rPr>
      </w:pPr>
      <w:r w:rsidRPr="007C7BAC">
        <w:rPr>
          <w:b/>
        </w:rPr>
        <w:t>Relatórios</w:t>
      </w:r>
    </w:p>
    <w:p w:rsidR="007C7BAC" w:rsidRDefault="004D61FA" w:rsidP="007C7BAC">
      <w:pPr>
        <w:jc w:val="both"/>
      </w:pPr>
      <w:r w:rsidRPr="004D61FA">
        <w:t xml:space="preserve">A Solução permite a criação de </w:t>
      </w:r>
      <w:r w:rsidR="007C7BAC">
        <w:t>relatórios de resumo e detalhados, gerados em vários formatos, salvos e impressos. Você pode agendar relatórios para serem enviados para pessoas específicas em intervalos regulares. Você pode até configurar seu logotipo, para que ele seja exibido em todos os relatórios.</w:t>
      </w:r>
    </w:p>
    <w:p w:rsidR="007C7BAC" w:rsidRDefault="007C7BAC" w:rsidP="007C7BAC">
      <w:pPr>
        <w:jc w:val="both"/>
      </w:pPr>
      <w:r>
        <w:t xml:space="preserve">Os relatórios de ruído são vistos fazendo </w:t>
      </w:r>
      <w:proofErr w:type="spellStart"/>
      <w:r>
        <w:t>login</w:t>
      </w:r>
      <w:proofErr w:type="spellEnd"/>
      <w:r>
        <w:t xml:space="preserve"> no site e selecionando os dias e horários de interesse. Os resultados podem ser vistos em um formato tabular ou gráfico, ou você pode baixá-los para o Excel (ou programa de planilha similar).</w:t>
      </w:r>
    </w:p>
    <w:p w:rsidR="008E7DA5" w:rsidRDefault="008E7DA5" w:rsidP="006F4A5F">
      <w:pPr>
        <w:jc w:val="both"/>
      </w:pPr>
    </w:p>
    <w:p w:rsidR="0051080E" w:rsidRDefault="0051080E" w:rsidP="006F4A5F">
      <w:pPr>
        <w:jc w:val="both"/>
      </w:pPr>
    </w:p>
    <w:p w:rsidR="007C7BAC" w:rsidRPr="003C7AAB" w:rsidRDefault="003C7AAB" w:rsidP="006F4A5F">
      <w:pPr>
        <w:jc w:val="both"/>
        <w:rPr>
          <w:b/>
        </w:rPr>
      </w:pPr>
      <w:r w:rsidRPr="003C7AAB">
        <w:rPr>
          <w:b/>
        </w:rPr>
        <w:t>Aplicações</w:t>
      </w:r>
    </w:p>
    <w:p w:rsidR="003C7AAB" w:rsidRDefault="003C7AAB" w:rsidP="003C7AAB">
      <w:pPr>
        <w:jc w:val="both"/>
      </w:pPr>
      <w:r>
        <w:t xml:space="preserve">Ambientes industriais e fábricas </w:t>
      </w:r>
    </w:p>
    <w:p w:rsidR="003C7AAB" w:rsidRDefault="003215DA" w:rsidP="003C7AAB">
      <w:pPr>
        <w:jc w:val="both"/>
      </w:pPr>
      <w:proofErr w:type="gramStart"/>
      <w:r>
        <w:lastRenderedPageBreak/>
        <w:t>SensorMedi</w:t>
      </w:r>
      <w:proofErr w:type="gramEnd"/>
      <w:r w:rsidR="00245088">
        <w:rPr>
          <w:rFonts w:ascii="Arial" w:hAnsi="Arial" w:cs="Arial"/>
          <w:color w:val="333333"/>
          <w:sz w:val="20"/>
          <w:szCs w:val="20"/>
          <w:shd w:val="clear" w:color="auto" w:fill="FFFFFF"/>
        </w:rPr>
        <w:t>®</w:t>
      </w:r>
      <w:r w:rsidR="003C7AAB">
        <w:t xml:space="preserve"> </w:t>
      </w:r>
      <w:r w:rsidR="00245088">
        <w:t>–</w:t>
      </w:r>
      <w:r w:rsidR="003C7AAB">
        <w:t xml:space="preserve"> </w:t>
      </w:r>
      <w:r w:rsidR="00245088" w:rsidRPr="00245088">
        <w:rPr>
          <w:i/>
        </w:rPr>
        <w:t>Para m</w:t>
      </w:r>
      <w:r w:rsidR="003C7AAB" w:rsidRPr="00245088">
        <w:rPr>
          <w:i/>
        </w:rPr>
        <w:t xml:space="preserve">anter </w:t>
      </w:r>
      <w:r w:rsidR="00245088" w:rsidRPr="00245088">
        <w:rPr>
          <w:i/>
        </w:rPr>
        <w:t>o</w:t>
      </w:r>
      <w:r w:rsidR="003C7AAB" w:rsidRPr="00245088">
        <w:rPr>
          <w:i/>
        </w:rPr>
        <w:t xml:space="preserve"> ambiente de trabalho seguro</w:t>
      </w:r>
      <w:r w:rsidR="00245088" w:rsidRPr="00245088">
        <w:rPr>
          <w:i/>
        </w:rPr>
        <w:t>!</w:t>
      </w:r>
    </w:p>
    <w:p w:rsidR="00245088" w:rsidRDefault="00245088" w:rsidP="006F4A5F">
      <w:pPr>
        <w:jc w:val="both"/>
      </w:pPr>
      <w:r>
        <w:t>Justificativa:</w:t>
      </w:r>
    </w:p>
    <w:p w:rsidR="007C7BAC" w:rsidRDefault="003C7AAB" w:rsidP="006F4A5F">
      <w:pPr>
        <w:jc w:val="both"/>
      </w:pPr>
      <w:r w:rsidRPr="003C7AAB">
        <w:t xml:space="preserve">Quando a análise de ruído ou de avaliação de riscos foi feita, as áreas onde a </w:t>
      </w:r>
      <w:r w:rsidR="0052647C">
        <w:t>proteção auditiva deve ser usada foram mapeadas</w:t>
      </w:r>
      <w:r w:rsidRPr="003C7AAB">
        <w:t xml:space="preserve"> </w:t>
      </w:r>
      <w:r w:rsidR="0052647C">
        <w:t>de acordo com os</w:t>
      </w:r>
      <w:r w:rsidRPr="003C7AAB">
        <w:t xml:space="preserve"> </w:t>
      </w:r>
      <w:r w:rsidR="0052647C">
        <w:t xml:space="preserve">prováveis </w:t>
      </w:r>
      <w:r w:rsidRPr="003C7AAB">
        <w:t xml:space="preserve">altos níveis de ruído </w:t>
      </w:r>
      <w:r w:rsidR="0052647C">
        <w:t xml:space="preserve">ocorridos </w:t>
      </w:r>
      <w:r w:rsidRPr="003C7AAB">
        <w:t>durante o dia de trabalho.</w:t>
      </w:r>
    </w:p>
    <w:p w:rsidR="007C7BAC" w:rsidRDefault="00D324D4" w:rsidP="006F4A5F">
      <w:pPr>
        <w:jc w:val="both"/>
      </w:pPr>
      <w:r>
        <w:t>Nem sempre é possível a todos os</w:t>
      </w:r>
      <w:r w:rsidR="0052647C" w:rsidRPr="0052647C">
        <w:t xml:space="preserve"> funcionários usar proteção auditiva constantemente, especialmente onde os níveis de r</w:t>
      </w:r>
      <w:r w:rsidR="007E041B">
        <w:t>uído são intermitentes ou variam</w:t>
      </w:r>
      <w:r w:rsidR="0052647C" w:rsidRPr="0052647C">
        <w:t xml:space="preserve"> significativamente ao longo do dia. O </w:t>
      </w:r>
      <w:proofErr w:type="gramStart"/>
      <w:r w:rsidR="003215DA">
        <w:t>SensorMedi</w:t>
      </w:r>
      <w:proofErr w:type="gramEnd"/>
      <w:r w:rsidR="0052647C" w:rsidRPr="0052647C">
        <w:t xml:space="preserve"> (</w:t>
      </w:r>
      <w:r>
        <w:t>versão industrial</w:t>
      </w:r>
      <w:r w:rsidR="0052647C" w:rsidRPr="0052647C">
        <w:t xml:space="preserve">) pode ser usado para mostrar quando </w:t>
      </w:r>
      <w:r w:rsidR="00245088">
        <w:t>a proteção auditiva deve ser usada</w:t>
      </w:r>
      <w:r w:rsidR="0052647C" w:rsidRPr="0052647C">
        <w:t xml:space="preserve"> nestas áreas.</w:t>
      </w:r>
      <w:r>
        <w:t xml:space="preserve"> </w:t>
      </w:r>
      <w:r w:rsidRPr="00D324D4">
        <w:t xml:space="preserve">Caso não seja requerida proteção auditiva, mas ainda há uma necessidade de mostrar quando os níveis de ruído </w:t>
      </w:r>
      <w:r>
        <w:t>estão</w:t>
      </w:r>
      <w:r w:rsidRPr="00D324D4">
        <w:t xml:space="preserve"> elevados, o </w:t>
      </w:r>
      <w:proofErr w:type="gramStart"/>
      <w:r w:rsidR="003215DA">
        <w:t>SensorMedi</w:t>
      </w:r>
      <w:proofErr w:type="gramEnd"/>
      <w:r>
        <w:t xml:space="preserve">  é </w:t>
      </w:r>
      <w:r w:rsidRPr="00D324D4">
        <w:t>apropriado.</w:t>
      </w:r>
    </w:p>
    <w:p w:rsidR="007C7BAC" w:rsidRDefault="00D324D4" w:rsidP="006F4A5F">
      <w:pPr>
        <w:jc w:val="both"/>
      </w:pPr>
      <w:r>
        <w:t>Ele é</w:t>
      </w:r>
      <w:r w:rsidRPr="00D324D4">
        <w:t xml:space="preserve"> essencial para </w:t>
      </w:r>
      <w:r>
        <w:t xml:space="preserve">avisar a </w:t>
      </w:r>
      <w:r w:rsidRPr="00D324D4">
        <w:t xml:space="preserve">qualquer pessoa que </w:t>
      </w:r>
      <w:r>
        <w:t>queira entrar</w:t>
      </w:r>
      <w:r w:rsidRPr="00D324D4">
        <w:t xml:space="preserve"> </w:t>
      </w:r>
      <w:r>
        <w:t>nestas</w:t>
      </w:r>
      <w:r w:rsidRPr="00D324D4">
        <w:t xml:space="preserve"> áreas para </w:t>
      </w:r>
      <w:r>
        <w:t>estar</w:t>
      </w:r>
      <w:r w:rsidRPr="00D324D4">
        <w:t xml:space="preserve"> preparado e já </w:t>
      </w:r>
      <w:r>
        <w:t>fazer uso</w:t>
      </w:r>
      <w:r w:rsidRPr="00D324D4">
        <w:t xml:space="preserve"> d</w:t>
      </w:r>
      <w:r>
        <w:t>a</w:t>
      </w:r>
      <w:r w:rsidRPr="00D324D4">
        <w:t xml:space="preserve"> proteção auditiva</w:t>
      </w:r>
      <w:r>
        <w:t xml:space="preserve">. </w:t>
      </w:r>
      <w:r w:rsidRPr="00D324D4">
        <w:t xml:space="preserve"> </w:t>
      </w:r>
      <w:r w:rsidR="00005546">
        <w:t>Um</w:t>
      </w:r>
      <w:r w:rsidRPr="00D324D4">
        <w:t xml:space="preserve"> </w:t>
      </w:r>
      <w:r w:rsidR="00005546">
        <w:t xml:space="preserve">sensor </w:t>
      </w:r>
      <w:r w:rsidR="007B7D90" w:rsidRPr="00D324D4">
        <w:t xml:space="preserve">posicionado </w:t>
      </w:r>
      <w:r w:rsidR="007B7D90">
        <w:t>dentro da área de trabalho</w:t>
      </w:r>
      <w:r w:rsidR="007B7D90" w:rsidRPr="00D324D4">
        <w:t xml:space="preserve"> </w:t>
      </w:r>
      <w:r w:rsidR="00005546">
        <w:t xml:space="preserve">com </w:t>
      </w:r>
      <w:r w:rsidR="007B7D90">
        <w:t xml:space="preserve">uma </w:t>
      </w:r>
      <w:r w:rsidR="00005546">
        <w:t>extensão</w:t>
      </w:r>
      <w:r w:rsidRPr="00D324D4">
        <w:t xml:space="preserve"> remota conectado à unidade</w:t>
      </w:r>
      <w:r w:rsidR="007B7D90">
        <w:t xml:space="preserve"> </w:t>
      </w:r>
      <w:proofErr w:type="gramStart"/>
      <w:r w:rsidR="003215DA">
        <w:t>SensorMedi</w:t>
      </w:r>
      <w:proofErr w:type="gramEnd"/>
      <w:r w:rsidR="007B7D90">
        <w:t>, que por sua vez, está</w:t>
      </w:r>
      <w:r w:rsidRPr="00D324D4">
        <w:t xml:space="preserve"> </w:t>
      </w:r>
      <w:r w:rsidR="007B7D90">
        <w:t xml:space="preserve">posicionada </w:t>
      </w:r>
      <w:r w:rsidRPr="00D324D4">
        <w:t>ao lado de uma entrada ou uma porta, por exemplo. Isso irá garantir que quem entra</w:t>
      </w:r>
      <w:r w:rsidR="00FA4C7A">
        <w:t>r</w:t>
      </w:r>
      <w:r w:rsidRPr="00D324D4">
        <w:t xml:space="preserve"> na sala vai estar ciente dos altos níveis de ruído e a necessidade de usar proteção auditiva adequada.</w:t>
      </w:r>
      <w:r w:rsidR="007B7D90">
        <w:t xml:space="preserve"> </w:t>
      </w:r>
    </w:p>
    <w:p w:rsidR="007C7BAC" w:rsidRDefault="007C7BAC" w:rsidP="006F4A5F">
      <w:pPr>
        <w:jc w:val="both"/>
      </w:pPr>
    </w:p>
    <w:p w:rsidR="00D47A26" w:rsidRDefault="0051080E" w:rsidP="004446E7">
      <w:pPr>
        <w:jc w:val="both"/>
      </w:pPr>
      <w:r>
        <w:t xml:space="preserve">Ambientes educacionais </w:t>
      </w:r>
    </w:p>
    <w:p w:rsidR="004446E7" w:rsidRDefault="0051080E" w:rsidP="006F4A5F">
      <w:pPr>
        <w:jc w:val="both"/>
      </w:pPr>
      <w:proofErr w:type="gramStart"/>
      <w:r>
        <w:t>SensorMedi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®</w:t>
      </w:r>
      <w:r>
        <w:t xml:space="preserve"> – Para manter o </w:t>
      </w:r>
      <w:r w:rsidRPr="0051080E">
        <w:t>ambiente de aprendizagem tranquilo</w:t>
      </w:r>
      <w:r>
        <w:t>!</w:t>
      </w:r>
    </w:p>
    <w:p w:rsidR="0051080E" w:rsidRDefault="0051080E" w:rsidP="006F4A5F">
      <w:pPr>
        <w:jc w:val="both"/>
      </w:pPr>
      <w:r w:rsidRPr="0051080E">
        <w:t xml:space="preserve">Para que a aprendizagem seja efetiva, o ambiente </w:t>
      </w:r>
      <w:r w:rsidR="00C80349">
        <w:t xml:space="preserve">educacional </w:t>
      </w:r>
      <w:r w:rsidRPr="0051080E">
        <w:t xml:space="preserve">deve ser propício ao desenvolvimento </w:t>
      </w:r>
      <w:r w:rsidR="00C80349">
        <w:t xml:space="preserve">da comunicação. </w:t>
      </w:r>
      <w:r w:rsidR="00C80349" w:rsidRPr="00C80349">
        <w:t>O ruído é um poluente invisível que lesa a qualidade de vida da população</w:t>
      </w:r>
      <w:r w:rsidR="00C80349">
        <w:t xml:space="preserve">, </w:t>
      </w:r>
      <w:r w:rsidR="00C80349" w:rsidRPr="00C80349">
        <w:t xml:space="preserve">e </w:t>
      </w:r>
      <w:r w:rsidR="00C80349">
        <w:t>possui</w:t>
      </w:r>
      <w:r w:rsidR="00C80349" w:rsidRPr="00C80349">
        <w:t xml:space="preserve"> </w:t>
      </w:r>
      <w:r w:rsidR="00C80349">
        <w:t>uma enorme influência</w:t>
      </w:r>
      <w:r w:rsidR="00C80349" w:rsidRPr="00C80349">
        <w:t xml:space="preserve"> </w:t>
      </w:r>
      <w:r w:rsidR="00C80349">
        <w:t>no</w:t>
      </w:r>
      <w:r w:rsidR="00C80349" w:rsidRPr="00C80349">
        <w:t xml:space="preserve"> desenvolvimento de problemas auditivos. No ambiente escolar, em específico, pode ocasionar danos ao processo de ensino-aprendizagem, por interferir </w:t>
      </w:r>
      <w:r w:rsidR="004B6291">
        <w:t xml:space="preserve">concentração e </w:t>
      </w:r>
      <w:r w:rsidR="00C80349" w:rsidRPr="00C80349">
        <w:t>na realização de atividades</w:t>
      </w:r>
      <w:r w:rsidRPr="0051080E">
        <w:t xml:space="preserve"> tanto</w:t>
      </w:r>
      <w:r w:rsidR="00DA7C8E">
        <w:t xml:space="preserve"> de</w:t>
      </w:r>
      <w:r w:rsidRPr="0051080E">
        <w:t xml:space="preserve"> </w:t>
      </w:r>
      <w:r>
        <w:t>alunos quanto</w:t>
      </w:r>
      <w:r w:rsidR="00DA7C8E">
        <w:t xml:space="preserve"> de </w:t>
      </w:r>
      <w:r w:rsidRPr="0051080E">
        <w:t xml:space="preserve">professores. </w:t>
      </w:r>
    </w:p>
    <w:p w:rsidR="0051080E" w:rsidRDefault="00DA7C8E" w:rsidP="006F4A5F">
      <w:pPr>
        <w:jc w:val="both"/>
      </w:pPr>
      <w:r w:rsidRPr="00DA7C8E">
        <w:t xml:space="preserve">Muitos </w:t>
      </w:r>
      <w:r>
        <w:t xml:space="preserve">dos </w:t>
      </w:r>
      <w:r w:rsidRPr="00DA7C8E">
        <w:t xml:space="preserve">edifícios </w:t>
      </w:r>
      <w:r>
        <w:t>hoje</w:t>
      </w:r>
      <w:r w:rsidRPr="00DA7C8E">
        <w:t xml:space="preserve"> </w:t>
      </w:r>
      <w:r>
        <w:t>utilizados</w:t>
      </w:r>
      <w:r w:rsidRPr="00DA7C8E">
        <w:t xml:space="preserve"> </w:t>
      </w:r>
      <w:r>
        <w:t>como escolas</w:t>
      </w:r>
      <w:r w:rsidRPr="00DA7C8E">
        <w:t xml:space="preserve"> não foram projetados com o ruído em mente, </w:t>
      </w:r>
      <w:r w:rsidR="003B1A6A">
        <w:t>não possuindo</w:t>
      </w:r>
      <w:r w:rsidRPr="00DA7C8E">
        <w:t xml:space="preserve"> paredes </w:t>
      </w:r>
      <w:r w:rsidR="003B1A6A">
        <w:t>e</w:t>
      </w:r>
      <w:r w:rsidRPr="00DA7C8E">
        <w:t xml:space="preserve"> pisos </w:t>
      </w:r>
      <w:r w:rsidR="003B1A6A">
        <w:t xml:space="preserve">com </w:t>
      </w:r>
      <w:r>
        <w:t>redutores de ruído</w:t>
      </w:r>
      <w:r w:rsidRPr="00DA7C8E">
        <w:t xml:space="preserve">, </w:t>
      </w:r>
      <w:r w:rsidR="003B1A6A">
        <w:t>sendo assim</w:t>
      </w:r>
      <w:r w:rsidRPr="00DA7C8E">
        <w:t xml:space="preserve">, </w:t>
      </w:r>
      <w:r w:rsidR="003B1A6A">
        <w:t>muitas vezes essas edificações criam</w:t>
      </w:r>
      <w:r w:rsidRPr="00DA7C8E">
        <w:t xml:space="preserve"> um ambiente barulhento, </w:t>
      </w:r>
      <w:r>
        <w:t xml:space="preserve">mesmo </w:t>
      </w:r>
      <w:r w:rsidRPr="00DA7C8E">
        <w:t xml:space="preserve">com poucos alunos. </w:t>
      </w:r>
      <w:r>
        <w:t xml:space="preserve">O </w:t>
      </w:r>
      <w:proofErr w:type="gramStart"/>
      <w:r>
        <w:t>SensorMedi</w:t>
      </w:r>
      <w:proofErr w:type="gramEnd"/>
      <w:r w:rsidRPr="00DA7C8E">
        <w:t xml:space="preserve"> </w:t>
      </w:r>
      <w:r w:rsidR="003B1A6A">
        <w:t>irá</w:t>
      </w:r>
      <w:r w:rsidRPr="00DA7C8E">
        <w:t xml:space="preserve"> mostrar aos alunos, </w:t>
      </w:r>
      <w:r>
        <w:t>que</w:t>
      </w:r>
      <w:r w:rsidRPr="00DA7C8E">
        <w:t xml:space="preserve"> os níveis de ruído </w:t>
      </w:r>
      <w:r>
        <w:t xml:space="preserve">que </w:t>
      </w:r>
      <w:r w:rsidRPr="00DA7C8E">
        <w:t xml:space="preserve">estão recebendo </w:t>
      </w:r>
      <w:r w:rsidR="003B1A6A">
        <w:t>encontram-se</w:t>
      </w:r>
      <w:r>
        <w:t xml:space="preserve"> </w:t>
      </w:r>
      <w:r w:rsidRPr="00DA7C8E">
        <w:t>alt</w:t>
      </w:r>
      <w:r>
        <w:t>os</w:t>
      </w:r>
      <w:r w:rsidR="006853AF">
        <w:t xml:space="preserve">, </w:t>
      </w:r>
      <w:r w:rsidR="006853AF" w:rsidRPr="006853AF">
        <w:t>levando os alunos a tomar consciência do ruído que fazem.</w:t>
      </w:r>
      <w:r w:rsidRPr="00DA7C8E">
        <w:t xml:space="preserve"> </w:t>
      </w:r>
      <w:r w:rsidR="006853AF">
        <w:t>E</w:t>
      </w:r>
      <w:r w:rsidRPr="00DA7C8E">
        <w:t xml:space="preserve"> também para informar </w:t>
      </w:r>
      <w:r>
        <w:t>a</w:t>
      </w:r>
      <w:r w:rsidRPr="00DA7C8E">
        <w:t xml:space="preserve">os funcionários quando </w:t>
      </w:r>
      <w:r>
        <w:t>e onde os</w:t>
      </w:r>
      <w:r w:rsidRPr="00DA7C8E">
        <w:t xml:space="preserve"> problemas</w:t>
      </w:r>
      <w:r>
        <w:t xml:space="preserve"> ocorrem</w:t>
      </w:r>
      <w:r w:rsidRPr="00DA7C8E">
        <w:t>.</w:t>
      </w:r>
      <w:r w:rsidR="006853AF">
        <w:t xml:space="preserve"> </w:t>
      </w:r>
    </w:p>
    <w:p w:rsidR="006853AF" w:rsidRDefault="006853AF" w:rsidP="006F4A5F">
      <w:pPr>
        <w:jc w:val="both"/>
      </w:pPr>
      <w:r w:rsidRPr="006853AF">
        <w:t>Utilizar esta ferramenta de uma for</w:t>
      </w:r>
      <w:r>
        <w:t>m</w:t>
      </w:r>
      <w:r w:rsidRPr="006853AF">
        <w:t xml:space="preserve">a inteligente é um desafio que cabe a cada professor, de forma a tornar as suas aulas mais produtivas e calmas. </w:t>
      </w:r>
    </w:p>
    <w:p w:rsidR="003B1A6A" w:rsidRDefault="003B1A6A" w:rsidP="006F4A5F">
      <w:pPr>
        <w:jc w:val="both"/>
      </w:pPr>
      <w:r>
        <w:t xml:space="preserve">O </w:t>
      </w:r>
      <w:proofErr w:type="gramStart"/>
      <w:r>
        <w:t>SensorMedi</w:t>
      </w:r>
      <w:proofErr w:type="gramEnd"/>
      <w:r>
        <w:t xml:space="preserve"> </w:t>
      </w:r>
      <w:r w:rsidRPr="003B1A6A">
        <w:t xml:space="preserve">pode ser usado em cafés, salas de aula </w:t>
      </w:r>
      <w:r w:rsidR="006853AF">
        <w:t>e</w:t>
      </w:r>
      <w:r w:rsidRPr="003B1A6A">
        <w:t xml:space="preserve"> oficinas</w:t>
      </w:r>
      <w:r w:rsidR="006853AF">
        <w:t>,</w:t>
      </w:r>
      <w:r w:rsidRPr="003B1A6A">
        <w:t xml:space="preserve"> </w:t>
      </w:r>
      <w:r w:rsidR="006853AF">
        <w:t>ou ainda, em</w:t>
      </w:r>
      <w:r w:rsidRPr="003B1A6A">
        <w:t xml:space="preserve"> corredores quando </w:t>
      </w:r>
      <w:r w:rsidR="006853AF">
        <w:t>provas</w:t>
      </w:r>
      <w:r w:rsidRPr="003B1A6A">
        <w:t xml:space="preserve"> </w:t>
      </w:r>
      <w:r w:rsidR="006853AF">
        <w:t>estiverem</w:t>
      </w:r>
      <w:r w:rsidRPr="003B1A6A">
        <w:t xml:space="preserve"> em andamento</w:t>
      </w:r>
      <w:r w:rsidR="006853AF">
        <w:t>. Tudo é válido</w:t>
      </w:r>
      <w:r w:rsidRPr="003B1A6A">
        <w:t xml:space="preserve"> para ajudar a</w:t>
      </w:r>
      <w:r w:rsidR="006853AF">
        <w:t xml:space="preserve"> manter um ambiente silencioso.</w:t>
      </w:r>
    </w:p>
    <w:p w:rsidR="0051080E" w:rsidRDefault="00257EC4" w:rsidP="006F4A5F">
      <w:pPr>
        <w:jc w:val="both"/>
      </w:pPr>
      <w:r>
        <w:lastRenderedPageBreak/>
        <w:t xml:space="preserve">Em </w:t>
      </w:r>
      <w:r w:rsidR="006853AF">
        <w:t xml:space="preserve">estabelecimentos </w:t>
      </w:r>
      <w:r w:rsidR="00C744AB">
        <w:t>onde acontecem</w:t>
      </w:r>
      <w:r>
        <w:t xml:space="preserve"> aulas</w:t>
      </w:r>
      <w:r w:rsidR="00C744AB">
        <w:t xml:space="preserve"> de música,</w:t>
      </w:r>
      <w:r w:rsidR="006853AF" w:rsidRPr="006853AF">
        <w:t xml:space="preserve"> monitorar os níveis de ruído </w:t>
      </w:r>
      <w:r>
        <w:t xml:space="preserve">a </w:t>
      </w:r>
      <w:r w:rsidR="006853AF" w:rsidRPr="006853AF">
        <w:t>que alunos</w:t>
      </w:r>
      <w:r>
        <w:t xml:space="preserve"> e funcionários estão expostos,</w:t>
      </w:r>
      <w:r w:rsidR="006853AF" w:rsidRPr="006853AF">
        <w:t xml:space="preserve"> muitas vezes pode ser difícil. </w:t>
      </w:r>
      <w:r>
        <w:t>É comum um p</w:t>
      </w:r>
      <w:r w:rsidR="006853AF" w:rsidRPr="006853AF">
        <w:t xml:space="preserve">rofessor </w:t>
      </w:r>
      <w:r>
        <w:t xml:space="preserve">de </w:t>
      </w:r>
      <w:r w:rsidR="006853AF" w:rsidRPr="006853AF">
        <w:t xml:space="preserve">música </w:t>
      </w:r>
      <w:r>
        <w:t>estar exposto</w:t>
      </w:r>
      <w:r w:rsidR="006853AF" w:rsidRPr="006853AF">
        <w:t xml:space="preserve"> a níveis de ruído </w:t>
      </w:r>
      <w:r>
        <w:t xml:space="preserve">acima dos limites legais, causando um problema </w:t>
      </w:r>
      <w:r w:rsidRPr="006853AF">
        <w:t>de</w:t>
      </w:r>
      <w:r>
        <w:t xml:space="preserve"> origem ocupacional.</w:t>
      </w:r>
    </w:p>
    <w:p w:rsidR="0051080E" w:rsidRDefault="0051080E" w:rsidP="006F4A5F">
      <w:pPr>
        <w:jc w:val="both"/>
      </w:pPr>
    </w:p>
    <w:p w:rsidR="0051080E" w:rsidRDefault="0051080E" w:rsidP="006F4A5F">
      <w:pPr>
        <w:jc w:val="both"/>
      </w:pPr>
    </w:p>
    <w:p w:rsidR="0051080E" w:rsidRDefault="0051080E" w:rsidP="006F4A5F">
      <w:pPr>
        <w:jc w:val="both"/>
      </w:pPr>
    </w:p>
    <w:p w:rsidR="0051080E" w:rsidRDefault="0051080E" w:rsidP="006F4A5F">
      <w:pPr>
        <w:jc w:val="both"/>
      </w:pPr>
    </w:p>
    <w:p w:rsidR="0051080E" w:rsidRDefault="0051080E" w:rsidP="006F4A5F">
      <w:pPr>
        <w:jc w:val="both"/>
      </w:pPr>
    </w:p>
    <w:p w:rsidR="0051080E" w:rsidRDefault="0051080E" w:rsidP="006F4A5F">
      <w:pPr>
        <w:jc w:val="both"/>
      </w:pPr>
    </w:p>
    <w:p w:rsidR="0051080E" w:rsidRDefault="0051080E" w:rsidP="006F4A5F">
      <w:pPr>
        <w:jc w:val="both"/>
      </w:pPr>
    </w:p>
    <w:p w:rsidR="00754A2A" w:rsidRDefault="00D958C3" w:rsidP="006F4A5F">
      <w:pPr>
        <w:jc w:val="both"/>
      </w:pPr>
      <w:r>
        <w:t>&gt; Contato</w:t>
      </w:r>
      <w:r w:rsidR="00754A2A">
        <w:t xml:space="preserve">: </w:t>
      </w:r>
    </w:p>
    <w:p w:rsidR="00D958C3" w:rsidRDefault="00754A2A" w:rsidP="006F4A5F">
      <w:pPr>
        <w:jc w:val="both"/>
      </w:pPr>
      <w:r>
        <w:t xml:space="preserve">Daniel Fabro </w:t>
      </w:r>
    </w:p>
    <w:p w:rsidR="00754A2A" w:rsidRDefault="00754A2A" w:rsidP="006F4A5F">
      <w:pPr>
        <w:jc w:val="both"/>
      </w:pPr>
      <w:r>
        <w:t>Rua Joaquim Carneiro, 679 –</w:t>
      </w:r>
      <w:r w:rsidR="0077595A">
        <w:t xml:space="preserve"> Capoeiras</w:t>
      </w:r>
      <w:r>
        <w:t xml:space="preserve"> - Florianópolis – </w:t>
      </w:r>
      <w:r w:rsidR="0077595A">
        <w:t>SC.</w:t>
      </w:r>
    </w:p>
    <w:p w:rsidR="00754A2A" w:rsidRDefault="00754A2A" w:rsidP="006F4A5F">
      <w:pPr>
        <w:jc w:val="both"/>
      </w:pPr>
      <w:r>
        <w:t>CEP: 88.085-120</w:t>
      </w:r>
    </w:p>
    <w:p w:rsidR="0077595A" w:rsidRDefault="0077595A" w:rsidP="006F4A5F">
      <w:pPr>
        <w:jc w:val="both"/>
      </w:pPr>
      <w:r>
        <w:t xml:space="preserve">Telefone: </w:t>
      </w:r>
    </w:p>
    <w:p w:rsidR="0077595A" w:rsidRDefault="0077595A" w:rsidP="006F4A5F">
      <w:pPr>
        <w:jc w:val="both"/>
      </w:pPr>
      <w:r>
        <w:t xml:space="preserve">48 32418998 </w:t>
      </w:r>
    </w:p>
    <w:p w:rsidR="0077595A" w:rsidRDefault="0077595A" w:rsidP="006F4A5F">
      <w:pPr>
        <w:jc w:val="both"/>
      </w:pPr>
      <w:r>
        <w:t>48 91370224 vivo</w:t>
      </w:r>
    </w:p>
    <w:p w:rsidR="0077595A" w:rsidRDefault="0077595A" w:rsidP="006F4A5F">
      <w:pPr>
        <w:jc w:val="both"/>
      </w:pPr>
      <w:r>
        <w:t xml:space="preserve">48 96495969 </w:t>
      </w:r>
      <w:proofErr w:type="gramStart"/>
      <w:r>
        <w:t>tim</w:t>
      </w:r>
      <w:proofErr w:type="gramEnd"/>
    </w:p>
    <w:p w:rsidR="0077595A" w:rsidRDefault="0077595A" w:rsidP="006F4A5F">
      <w:pPr>
        <w:jc w:val="both"/>
      </w:pPr>
      <w:r>
        <w:t xml:space="preserve">E-mail: </w:t>
      </w:r>
      <w:hyperlink r:id="rId7" w:history="1">
        <w:r w:rsidRPr="00BD559A">
          <w:rPr>
            <w:rStyle w:val="Hyperlink"/>
          </w:rPr>
          <w:t>dfabro@hotmail.com</w:t>
        </w:r>
      </w:hyperlink>
    </w:p>
    <w:p w:rsidR="0051080E" w:rsidRDefault="0051080E" w:rsidP="006F4A5F">
      <w:pPr>
        <w:jc w:val="both"/>
      </w:pPr>
    </w:p>
    <w:p w:rsidR="00D958C3" w:rsidRDefault="00D958C3" w:rsidP="006F4A5F">
      <w:pPr>
        <w:jc w:val="both"/>
      </w:pPr>
      <w:r>
        <w:t xml:space="preserve">&gt; Campos do cadastro de clientes </w:t>
      </w:r>
    </w:p>
    <w:p w:rsidR="0077595A" w:rsidRDefault="0077595A" w:rsidP="0077595A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FICHA CADASTRAL DE CLIENTE</w:t>
      </w:r>
    </w:p>
    <w:tbl>
      <w:tblPr>
        <w:tblW w:w="9651" w:type="dxa"/>
        <w:tblInd w:w="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75"/>
        <w:gridCol w:w="7476"/>
      </w:tblGrid>
      <w:tr w:rsidR="0077595A" w:rsidTr="0077595A"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 do Cliente:</w:t>
            </w:r>
          </w:p>
        </w:tc>
        <w:tc>
          <w:tcPr>
            <w:tcW w:w="7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95A" w:rsidTr="0077595A"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7595A" w:rsidRDefault="0077595A">
            <w:pPr>
              <w:pStyle w:val="Contedodetabela"/>
              <w:snapToGrid w:val="0"/>
              <w:ind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Pessoa Física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[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]           Pessoa Jurídica [   ]        Conta Iniciada em: _________</w:t>
            </w:r>
          </w:p>
        </w:tc>
      </w:tr>
      <w:tr w:rsidR="0077595A" w:rsidTr="0077595A"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 de Contato:</w:t>
            </w:r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95A" w:rsidTr="0077595A"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Endereço do Cliente:</w:t>
            </w:r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95A" w:rsidTr="0077595A"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Cidade:</w:t>
            </w:r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UF:</w:t>
            </w:r>
          </w:p>
        </w:tc>
      </w:tr>
      <w:tr w:rsidR="0077595A" w:rsidTr="0077595A"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CEP:</w:t>
            </w:r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Bairro:</w:t>
            </w:r>
          </w:p>
        </w:tc>
      </w:tr>
      <w:tr w:rsidR="0077595A" w:rsidTr="0077595A"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Telefones:</w:t>
            </w:r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Fax:</w:t>
            </w:r>
          </w:p>
        </w:tc>
      </w:tr>
      <w:tr w:rsidR="0077595A" w:rsidTr="0077595A"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Como ficou sabendo da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MediSom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  <w:p w:rsidR="0077595A" w:rsidRDefault="0077595A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Web-site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[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]     Feira de Eventos [  ]   Revista [  ]   Nossa Mala-Direta [  ]</w:t>
            </w:r>
          </w:p>
          <w:p w:rsidR="0077595A" w:rsidRDefault="0077595A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 fonte: ______________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[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] </w:t>
            </w:r>
          </w:p>
          <w:p w:rsidR="0077595A" w:rsidRDefault="0077595A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95A" w:rsidTr="0077595A"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CNPJ / CPF:</w:t>
            </w:r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95A" w:rsidTr="0077595A"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IE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.:</w:t>
            </w:r>
            <w:proofErr w:type="gramEnd"/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95A" w:rsidTr="0077595A">
        <w:trPr>
          <w:trHeight w:val="177"/>
        </w:trPr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95A" w:rsidTr="0077595A">
        <w:trPr>
          <w:trHeight w:val="270"/>
        </w:trPr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Preferência para recebimento de nossas correspondências (extratos, avisos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por:      E-mail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[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]   Fax [   ]   Correio [   ]</w:t>
            </w:r>
          </w:p>
          <w:p w:rsidR="0077595A" w:rsidRDefault="0077595A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</w:p>
          <w:p w:rsidR="0077595A" w:rsidRDefault="0077595A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Endereço de E-mail: </w:t>
            </w:r>
          </w:p>
        </w:tc>
      </w:tr>
      <w:tr w:rsidR="0077595A" w:rsidTr="0077595A">
        <w:trPr>
          <w:trHeight w:val="270"/>
        </w:trPr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Forma de Pagamento:</w:t>
            </w:r>
          </w:p>
          <w:p w:rsidR="0077595A" w:rsidRDefault="0077595A">
            <w:pPr>
              <w:pStyle w:val="Contedodetabela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7595A" w:rsidRDefault="0077595A">
            <w:pPr>
              <w:pStyle w:val="Contedodetabela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7595A" w:rsidRDefault="0077595A">
            <w:pPr>
              <w:pStyle w:val="Contedodetabela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Prazo:</w:t>
            </w:r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95A" w:rsidRDefault="0077595A">
            <w:pPr>
              <w:pStyle w:val="Contedodetabela"/>
              <w:snapToGri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[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] Utilização de Boleto Bancário (cobrado $4,00 p/boleto)</w:t>
            </w:r>
          </w:p>
          <w:p w:rsidR="0077595A" w:rsidRDefault="0077595A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</w:p>
          <w:p w:rsidR="0077595A" w:rsidRDefault="0077595A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[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] Outro: __________________________________________</w:t>
            </w:r>
          </w:p>
          <w:p w:rsidR="0077595A" w:rsidRDefault="0077595A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</w:p>
          <w:p w:rsidR="0077595A" w:rsidRDefault="0077595A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[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]  À Vista     [  ]  _____ dias </w:t>
            </w:r>
          </w:p>
        </w:tc>
      </w:tr>
      <w:tr w:rsidR="0077595A" w:rsidTr="0077595A">
        <w:trPr>
          <w:trHeight w:val="270"/>
        </w:trPr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7595A" w:rsidRDefault="0077595A">
            <w:pPr>
              <w:pStyle w:val="Contedodetabela"/>
              <w:snapToGrid w:val="0"/>
              <w:ind w:left="5" w:right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Documentos Necessários para o cadastro:</w:t>
            </w:r>
          </w:p>
        </w:tc>
        <w:tc>
          <w:tcPr>
            <w:tcW w:w="7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7595A" w:rsidRDefault="0077595A" w:rsidP="0077595A">
            <w:pPr>
              <w:pStyle w:val="Contedodetabela"/>
              <w:numPr>
                <w:ilvl w:val="0"/>
                <w:numId w:val="2"/>
              </w:num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Copia do CNPJ</w:t>
            </w:r>
          </w:p>
          <w:p w:rsidR="0077595A" w:rsidRDefault="0077595A" w:rsidP="0077595A">
            <w:pPr>
              <w:pStyle w:val="Contedodetabel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Copia da Inscr.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Estadual</w:t>
            </w:r>
            <w:proofErr w:type="gramEnd"/>
          </w:p>
          <w:p w:rsidR="0077595A" w:rsidRDefault="0077595A" w:rsidP="0077595A">
            <w:pPr>
              <w:pStyle w:val="Contedodetabel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Copia de RG e CPF (se pessoa física)</w:t>
            </w:r>
          </w:p>
        </w:tc>
      </w:tr>
    </w:tbl>
    <w:p w:rsidR="0077595A" w:rsidRDefault="0077595A" w:rsidP="006F4A5F">
      <w:pPr>
        <w:jc w:val="both"/>
      </w:pPr>
    </w:p>
    <w:p w:rsidR="00DB11FF" w:rsidRDefault="00DB11FF" w:rsidP="006F4A5F">
      <w:pPr>
        <w:jc w:val="both"/>
      </w:pPr>
    </w:p>
    <w:p w:rsidR="00DB11FF" w:rsidRDefault="00DB11FF" w:rsidP="006F4A5F">
      <w:pPr>
        <w:jc w:val="both"/>
      </w:pPr>
    </w:p>
    <w:p w:rsidR="00DB11FF" w:rsidRDefault="00DB11FF" w:rsidP="006F4A5F">
      <w:pPr>
        <w:jc w:val="both"/>
      </w:pPr>
    </w:p>
    <w:p w:rsidR="0051080E" w:rsidRDefault="0051080E" w:rsidP="006F4A5F">
      <w:pPr>
        <w:jc w:val="both"/>
      </w:pPr>
    </w:p>
    <w:p w:rsidR="0051080E" w:rsidRDefault="0051080E" w:rsidP="006F4A5F">
      <w:pPr>
        <w:jc w:val="both"/>
      </w:pPr>
      <w:r>
        <w:t>Para pensar:</w:t>
      </w:r>
    </w:p>
    <w:p w:rsidR="0051080E" w:rsidRDefault="0051080E" w:rsidP="0051080E">
      <w:pPr>
        <w:jc w:val="both"/>
      </w:pPr>
      <w:r>
        <w:t>Para promover o bem estar do paciente, é necessário mantê-lo num ambiente tranquilo, confortável e seguro, sem que haja excesso de ruídos gerados por equipamentos ou pela equipe multiprofissional. E nunca esquecer que todo o ambiente onde o paciente se encontra deve estar equilibrado quanto à luminosidade e temperatura, para não proporcionar fonte de estresse (KNOBEL, NOVAES, KARAM, 1999).</w:t>
      </w:r>
    </w:p>
    <w:p w:rsidR="0051080E" w:rsidRDefault="0051080E" w:rsidP="006F4A5F">
      <w:pPr>
        <w:jc w:val="both"/>
      </w:pPr>
      <w:r>
        <w:t xml:space="preserve">SIMINI (1999) ressalta que os estímulos ambientais, ou seja, os ruídos quando excessivos podem interferir no sono das pessoas (privando-as de dormir). Quando esses barulhos excedem os limites dos quais o organismo humano pode adaptar-se com conforto, os nossos sistemas de defesa falham. E se isto acontecer, o indivíduo poderá sofrer mudanças comportamentais, tais como: Ansiedade, Agitação, Agressividade, Pânico, Confusão mental, Alucinações, Isolamento e outros (CARVALHO </w:t>
      </w:r>
      <w:proofErr w:type="gramStart"/>
      <w:r>
        <w:t>et</w:t>
      </w:r>
      <w:proofErr w:type="gramEnd"/>
      <w:r>
        <w:t xml:space="preserve"> al 1999; NOVAES et al 1997).</w:t>
      </w:r>
    </w:p>
    <w:sectPr w:rsidR="0051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2922277A"/>
    <w:multiLevelType w:val="hybridMultilevel"/>
    <w:tmpl w:val="9E222C6E"/>
    <w:lvl w:ilvl="0" w:tplc="77741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C3"/>
    <w:rsid w:val="00005546"/>
    <w:rsid w:val="0000719B"/>
    <w:rsid w:val="00007A88"/>
    <w:rsid w:val="000178A9"/>
    <w:rsid w:val="000D344F"/>
    <w:rsid w:val="000E3C75"/>
    <w:rsid w:val="00104852"/>
    <w:rsid w:val="00113D49"/>
    <w:rsid w:val="001931F5"/>
    <w:rsid w:val="001979F4"/>
    <w:rsid w:val="001A5F1E"/>
    <w:rsid w:val="00215752"/>
    <w:rsid w:val="00245088"/>
    <w:rsid w:val="00257EC4"/>
    <w:rsid w:val="002747EE"/>
    <w:rsid w:val="00275252"/>
    <w:rsid w:val="002B53AF"/>
    <w:rsid w:val="003215DA"/>
    <w:rsid w:val="003301F8"/>
    <w:rsid w:val="003671BA"/>
    <w:rsid w:val="003779C5"/>
    <w:rsid w:val="003B1A6A"/>
    <w:rsid w:val="003C7AAB"/>
    <w:rsid w:val="00417DD8"/>
    <w:rsid w:val="0042021F"/>
    <w:rsid w:val="004333C5"/>
    <w:rsid w:val="004446E7"/>
    <w:rsid w:val="004714A0"/>
    <w:rsid w:val="004962F8"/>
    <w:rsid w:val="004B6291"/>
    <w:rsid w:val="004B7C7A"/>
    <w:rsid w:val="004D61FA"/>
    <w:rsid w:val="004F2E92"/>
    <w:rsid w:val="0051080E"/>
    <w:rsid w:val="0052647C"/>
    <w:rsid w:val="0056363B"/>
    <w:rsid w:val="005F2872"/>
    <w:rsid w:val="00610CC1"/>
    <w:rsid w:val="006853AF"/>
    <w:rsid w:val="006F4A5F"/>
    <w:rsid w:val="007243B0"/>
    <w:rsid w:val="00733F6E"/>
    <w:rsid w:val="0075106B"/>
    <w:rsid w:val="00754A2A"/>
    <w:rsid w:val="007733AF"/>
    <w:rsid w:val="0077595A"/>
    <w:rsid w:val="007B7D90"/>
    <w:rsid w:val="007C7BAC"/>
    <w:rsid w:val="007E041B"/>
    <w:rsid w:val="0082442D"/>
    <w:rsid w:val="008834AB"/>
    <w:rsid w:val="008D5C20"/>
    <w:rsid w:val="008E7DA5"/>
    <w:rsid w:val="008F6D1D"/>
    <w:rsid w:val="00920778"/>
    <w:rsid w:val="00936766"/>
    <w:rsid w:val="00941E99"/>
    <w:rsid w:val="00953257"/>
    <w:rsid w:val="009C324D"/>
    <w:rsid w:val="00A54D6D"/>
    <w:rsid w:val="00AA51B2"/>
    <w:rsid w:val="00BB119C"/>
    <w:rsid w:val="00BD5003"/>
    <w:rsid w:val="00C06035"/>
    <w:rsid w:val="00C2040F"/>
    <w:rsid w:val="00C744AB"/>
    <w:rsid w:val="00C80349"/>
    <w:rsid w:val="00C95E1B"/>
    <w:rsid w:val="00D158CC"/>
    <w:rsid w:val="00D324D4"/>
    <w:rsid w:val="00D42D30"/>
    <w:rsid w:val="00D47A26"/>
    <w:rsid w:val="00D50AAE"/>
    <w:rsid w:val="00D958C3"/>
    <w:rsid w:val="00DA7C8E"/>
    <w:rsid w:val="00DB11FF"/>
    <w:rsid w:val="00E36E3B"/>
    <w:rsid w:val="00E5415B"/>
    <w:rsid w:val="00E67AFB"/>
    <w:rsid w:val="00EA6468"/>
    <w:rsid w:val="00ED0C9F"/>
    <w:rsid w:val="00F51630"/>
    <w:rsid w:val="00FA4C7A"/>
    <w:rsid w:val="00FD3512"/>
    <w:rsid w:val="00FE1568"/>
    <w:rsid w:val="00FF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C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F6D1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F6D1D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17DD8"/>
    <w:pPr>
      <w:ind w:left="720"/>
      <w:contextualSpacing/>
    </w:pPr>
  </w:style>
  <w:style w:type="paragraph" w:customStyle="1" w:styleId="Contedodetabela">
    <w:name w:val="Conteúdo de tabela"/>
    <w:basedOn w:val="Normal"/>
    <w:rsid w:val="0077595A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C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F6D1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F6D1D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17DD8"/>
    <w:pPr>
      <w:ind w:left="720"/>
      <w:contextualSpacing/>
    </w:pPr>
  </w:style>
  <w:style w:type="paragraph" w:customStyle="1" w:styleId="Contedodetabela">
    <w:name w:val="Conteúdo de tabela"/>
    <w:basedOn w:val="Normal"/>
    <w:rsid w:val="0077595A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4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fabr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EF21C-4877-4C97-AD4A-186417AA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7</Pages>
  <Words>1998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Split</dc:creator>
  <cp:lastModifiedBy>Hp Split</cp:lastModifiedBy>
  <cp:revision>34</cp:revision>
  <dcterms:created xsi:type="dcterms:W3CDTF">2015-03-02T16:52:00Z</dcterms:created>
  <dcterms:modified xsi:type="dcterms:W3CDTF">2015-03-12T21:11:00Z</dcterms:modified>
</cp:coreProperties>
</file>