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2D25A" w14:textId="293C4B81" w:rsidR="009F5EEB" w:rsidRPr="006912C9" w:rsidRDefault="009F5EEB" w:rsidP="006912C9">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6912C9">
        <w:rPr>
          <w:rFonts w:ascii="Cambria" w:eastAsiaTheme="majorEastAsia" w:hAnsi="Cambria" w:cstheme="majorBidi"/>
          <w:b w:val="0"/>
          <w:color w:val="2E74B5" w:themeColor="accent1" w:themeShade="BF"/>
          <w:sz w:val="32"/>
          <w:szCs w:val="32"/>
          <w:lang w:val="en-GB"/>
        </w:rPr>
        <w:t>Transaction 1: Issue Stock to Stockholders</w:t>
      </w:r>
    </w:p>
    <w:p w14:paraId="6E8D28C3" w14:textId="4D0E294A" w:rsidR="005A310C" w:rsidRDefault="005A310C" w:rsidP="005A310C">
      <w:pPr>
        <w:pStyle w:val="Normal1"/>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Sophie Rose, owner of Rose Designs, the interior design company we previously introduced, has decided to invest $20,000 cash in her business. In exchange for her cash contribution, the corporation will issue common stock to Sophie. We will use the expanded accounting equation to evaluate how this transaction affects the business:</w:t>
      </w:r>
    </w:p>
    <w:p w14:paraId="1918D78C" w14:textId="263AE43E" w:rsidR="000E0CBD" w:rsidRDefault="000E0CBD" w:rsidP="005A310C">
      <w:pPr>
        <w:pStyle w:val="Normal1"/>
        <w:rPr>
          <w:rFonts w:asciiTheme="minorHAnsi" w:eastAsiaTheme="minorEastAsia" w:hAnsiTheme="minorHAnsi" w:cstheme="minorBidi"/>
          <w:color w:val="auto"/>
          <w:sz w:val="22"/>
          <w:szCs w:val="22"/>
          <w:lang w:val="en-GB"/>
        </w:rPr>
      </w:pPr>
    </w:p>
    <w:tbl>
      <w:tblPr>
        <w:tblW w:w="9508" w:type="dxa"/>
        <w:tblBorders>
          <w:top w:val="nil"/>
          <w:left w:val="nil"/>
          <w:bottom w:val="nil"/>
          <w:right w:val="nil"/>
          <w:insideH w:val="nil"/>
          <w:insideV w:val="nil"/>
        </w:tblBorders>
        <w:tblLayout w:type="fixed"/>
        <w:tblLook w:val="0400" w:firstRow="0" w:lastRow="0" w:firstColumn="0" w:lastColumn="0" w:noHBand="0" w:noVBand="1"/>
        <w:tblCaption w:val="t1_01.json"/>
        <w:tblDescription w:val="t1_01.json"/>
      </w:tblPr>
      <w:tblGrid>
        <w:gridCol w:w="539"/>
        <w:gridCol w:w="1186"/>
        <w:gridCol w:w="270"/>
        <w:gridCol w:w="1697"/>
        <w:gridCol w:w="400"/>
        <w:gridCol w:w="1143"/>
        <w:gridCol w:w="270"/>
        <w:gridCol w:w="1203"/>
        <w:gridCol w:w="237"/>
        <w:gridCol w:w="1150"/>
        <w:gridCol w:w="290"/>
        <w:gridCol w:w="1123"/>
      </w:tblGrid>
      <w:tr w:rsidR="000E0CBD" w14:paraId="51D379F4" w14:textId="77777777" w:rsidTr="00E72B40">
        <w:tc>
          <w:tcPr>
            <w:tcW w:w="540" w:type="dxa"/>
          </w:tcPr>
          <w:p w14:paraId="557F1FEC" w14:textId="77777777" w:rsidR="000E0CBD" w:rsidRDefault="000E0CBD" w:rsidP="00E72B40">
            <w:pPr>
              <w:pStyle w:val="Normal1"/>
              <w:rPr>
                <w:b/>
              </w:rPr>
            </w:pPr>
          </w:p>
        </w:tc>
        <w:tc>
          <w:tcPr>
            <w:tcW w:w="1186" w:type="dxa"/>
            <w:tcBorders>
              <w:bottom w:val="single" w:sz="4" w:space="0" w:color="000000"/>
            </w:tcBorders>
          </w:tcPr>
          <w:p w14:paraId="08F8885D" w14:textId="77777777" w:rsidR="000E0CBD" w:rsidRDefault="000E0CBD" w:rsidP="00E72B40">
            <w:pPr>
              <w:pStyle w:val="Normal1"/>
              <w:rPr>
                <w:b/>
              </w:rPr>
            </w:pPr>
            <w:r>
              <w:rPr>
                <w:b/>
              </w:rPr>
              <w:t>ASSETS</w:t>
            </w:r>
          </w:p>
        </w:tc>
        <w:tc>
          <w:tcPr>
            <w:tcW w:w="270" w:type="dxa"/>
          </w:tcPr>
          <w:p w14:paraId="41941347" w14:textId="77777777" w:rsidR="000E0CBD" w:rsidRDefault="000E0CBD" w:rsidP="00E72B40">
            <w:pPr>
              <w:pStyle w:val="Normal1"/>
              <w:jc w:val="center"/>
              <w:rPr>
                <w:b/>
              </w:rPr>
            </w:pPr>
            <w:r>
              <w:rPr>
                <w:b/>
              </w:rPr>
              <w:t>=</w:t>
            </w:r>
          </w:p>
        </w:tc>
        <w:tc>
          <w:tcPr>
            <w:tcW w:w="1697" w:type="dxa"/>
            <w:tcBorders>
              <w:bottom w:val="single" w:sz="4" w:space="0" w:color="000000"/>
            </w:tcBorders>
          </w:tcPr>
          <w:p w14:paraId="68B46D2C" w14:textId="77777777" w:rsidR="000E0CBD" w:rsidRDefault="000E0CBD" w:rsidP="00E72B40">
            <w:pPr>
              <w:pStyle w:val="Normal1"/>
              <w:rPr>
                <w:b/>
              </w:rPr>
            </w:pPr>
            <w:r>
              <w:rPr>
                <w:b/>
              </w:rPr>
              <w:t>LIABILITIES</w:t>
            </w:r>
          </w:p>
        </w:tc>
        <w:tc>
          <w:tcPr>
            <w:tcW w:w="400" w:type="dxa"/>
          </w:tcPr>
          <w:p w14:paraId="6CCD1DC7" w14:textId="77777777" w:rsidR="000E0CBD" w:rsidRDefault="000E0CBD" w:rsidP="00E72B40">
            <w:pPr>
              <w:pStyle w:val="Normal1"/>
              <w:rPr>
                <w:b/>
              </w:rPr>
            </w:pPr>
            <w:r>
              <w:rPr>
                <w:b/>
              </w:rPr>
              <w:t>+</w:t>
            </w:r>
          </w:p>
        </w:tc>
        <w:tc>
          <w:tcPr>
            <w:tcW w:w="5416" w:type="dxa"/>
            <w:gridSpan w:val="7"/>
          </w:tcPr>
          <w:p w14:paraId="13FC519C" w14:textId="77777777" w:rsidR="000E0CBD" w:rsidRDefault="000E0CBD" w:rsidP="00E72B40">
            <w:pPr>
              <w:pStyle w:val="Normal1"/>
              <w:jc w:val="center"/>
              <w:rPr>
                <w:b/>
              </w:rPr>
            </w:pPr>
            <w:r>
              <w:rPr>
                <w:b/>
              </w:rPr>
              <w:t>STOCKHOLDERS’ EQUITY</w:t>
            </w:r>
          </w:p>
        </w:tc>
      </w:tr>
      <w:tr w:rsidR="000E0CBD" w14:paraId="23C84698" w14:textId="77777777" w:rsidTr="00E72B40">
        <w:tc>
          <w:tcPr>
            <w:tcW w:w="540" w:type="dxa"/>
          </w:tcPr>
          <w:p w14:paraId="38FA6CE4" w14:textId="77777777" w:rsidR="000E0CBD" w:rsidRDefault="000E0CBD" w:rsidP="00E72B40">
            <w:pPr>
              <w:pStyle w:val="Normal1"/>
            </w:pPr>
          </w:p>
        </w:tc>
        <w:tc>
          <w:tcPr>
            <w:tcW w:w="1186" w:type="dxa"/>
            <w:tcBorders>
              <w:top w:val="single" w:sz="4" w:space="0" w:color="000000"/>
            </w:tcBorders>
          </w:tcPr>
          <w:p w14:paraId="7A304C34" w14:textId="77777777" w:rsidR="000E0CBD" w:rsidRDefault="000E0CBD" w:rsidP="00E72B40">
            <w:pPr>
              <w:pStyle w:val="Normal1"/>
            </w:pPr>
          </w:p>
        </w:tc>
        <w:tc>
          <w:tcPr>
            <w:tcW w:w="270" w:type="dxa"/>
          </w:tcPr>
          <w:p w14:paraId="29E85DE1" w14:textId="77777777" w:rsidR="000E0CBD" w:rsidRDefault="000E0CBD" w:rsidP="00E72B40">
            <w:pPr>
              <w:pStyle w:val="Normal1"/>
            </w:pPr>
          </w:p>
        </w:tc>
        <w:tc>
          <w:tcPr>
            <w:tcW w:w="1697" w:type="dxa"/>
            <w:tcBorders>
              <w:top w:val="single" w:sz="4" w:space="0" w:color="000000"/>
            </w:tcBorders>
          </w:tcPr>
          <w:p w14:paraId="5266454C" w14:textId="77777777" w:rsidR="000E0CBD" w:rsidRDefault="000E0CBD" w:rsidP="00E72B40">
            <w:pPr>
              <w:pStyle w:val="Normal1"/>
            </w:pPr>
          </w:p>
        </w:tc>
        <w:tc>
          <w:tcPr>
            <w:tcW w:w="400" w:type="dxa"/>
          </w:tcPr>
          <w:p w14:paraId="387D562B" w14:textId="77777777" w:rsidR="000E0CBD" w:rsidRDefault="000E0CBD" w:rsidP="00E72B40">
            <w:pPr>
              <w:pStyle w:val="Normal1"/>
            </w:pPr>
          </w:p>
        </w:tc>
        <w:tc>
          <w:tcPr>
            <w:tcW w:w="1143" w:type="dxa"/>
            <w:tcBorders>
              <w:top w:val="single" w:sz="4" w:space="0" w:color="000000"/>
            </w:tcBorders>
          </w:tcPr>
          <w:p w14:paraId="3B5F7621" w14:textId="77777777" w:rsidR="000E0CBD" w:rsidRDefault="000E0CBD" w:rsidP="00E72B40">
            <w:pPr>
              <w:pStyle w:val="Normal1"/>
            </w:pPr>
          </w:p>
        </w:tc>
        <w:tc>
          <w:tcPr>
            <w:tcW w:w="270" w:type="dxa"/>
            <w:tcBorders>
              <w:top w:val="single" w:sz="4" w:space="0" w:color="000000"/>
            </w:tcBorders>
          </w:tcPr>
          <w:p w14:paraId="5843A6E7" w14:textId="77777777" w:rsidR="000E0CBD" w:rsidRDefault="000E0CBD" w:rsidP="00E72B40">
            <w:pPr>
              <w:pStyle w:val="Normal1"/>
            </w:pPr>
          </w:p>
        </w:tc>
        <w:tc>
          <w:tcPr>
            <w:tcW w:w="4003" w:type="dxa"/>
            <w:gridSpan w:val="5"/>
            <w:tcBorders>
              <w:top w:val="single" w:sz="4" w:space="0" w:color="000000"/>
            </w:tcBorders>
          </w:tcPr>
          <w:p w14:paraId="3666E0BB" w14:textId="77777777" w:rsidR="000E0CBD" w:rsidRDefault="000E0CBD" w:rsidP="00E72B40">
            <w:pPr>
              <w:pStyle w:val="Normal1"/>
              <w:jc w:val="center"/>
              <w:rPr>
                <w:b/>
              </w:rPr>
            </w:pPr>
            <w:r>
              <w:rPr>
                <w:b/>
              </w:rPr>
              <w:t>Retained Earnings</w:t>
            </w:r>
          </w:p>
        </w:tc>
      </w:tr>
      <w:tr w:rsidR="000E0CBD" w14:paraId="50371580" w14:textId="77777777" w:rsidTr="00E72B40">
        <w:tc>
          <w:tcPr>
            <w:tcW w:w="540" w:type="dxa"/>
          </w:tcPr>
          <w:p w14:paraId="5548F4D5" w14:textId="77777777" w:rsidR="000E0CBD" w:rsidRDefault="000E0CBD" w:rsidP="00E72B40">
            <w:pPr>
              <w:pStyle w:val="Normal1"/>
            </w:pPr>
          </w:p>
        </w:tc>
        <w:tc>
          <w:tcPr>
            <w:tcW w:w="1186" w:type="dxa"/>
            <w:tcBorders>
              <w:bottom w:val="single" w:sz="4" w:space="0" w:color="000000"/>
            </w:tcBorders>
            <w:vAlign w:val="center"/>
          </w:tcPr>
          <w:p w14:paraId="6AE57162" w14:textId="77777777" w:rsidR="000E0CBD" w:rsidRDefault="000E0CBD" w:rsidP="00E72B40">
            <w:pPr>
              <w:pStyle w:val="Normal1"/>
              <w:jc w:val="center"/>
            </w:pPr>
            <w:r>
              <w:t>Cash</w:t>
            </w:r>
          </w:p>
        </w:tc>
        <w:tc>
          <w:tcPr>
            <w:tcW w:w="270" w:type="dxa"/>
            <w:vAlign w:val="center"/>
          </w:tcPr>
          <w:p w14:paraId="7F3BACEA" w14:textId="77777777" w:rsidR="000E0CBD" w:rsidRDefault="000E0CBD" w:rsidP="00E72B40">
            <w:pPr>
              <w:pStyle w:val="Normal1"/>
              <w:jc w:val="center"/>
            </w:pPr>
            <w:r>
              <w:t>=</w:t>
            </w:r>
          </w:p>
        </w:tc>
        <w:tc>
          <w:tcPr>
            <w:tcW w:w="1697" w:type="dxa"/>
          </w:tcPr>
          <w:p w14:paraId="2F659800" w14:textId="77777777" w:rsidR="000E0CBD" w:rsidRDefault="000E0CBD" w:rsidP="00E72B40">
            <w:pPr>
              <w:pStyle w:val="Normal1"/>
            </w:pPr>
          </w:p>
        </w:tc>
        <w:tc>
          <w:tcPr>
            <w:tcW w:w="400" w:type="dxa"/>
            <w:vAlign w:val="center"/>
          </w:tcPr>
          <w:p w14:paraId="67850FBD" w14:textId="77777777" w:rsidR="000E0CBD" w:rsidRDefault="000E0CBD" w:rsidP="00E72B40">
            <w:pPr>
              <w:pStyle w:val="Normal1"/>
              <w:jc w:val="center"/>
            </w:pPr>
            <w:r>
              <w:t>+</w:t>
            </w:r>
          </w:p>
        </w:tc>
        <w:tc>
          <w:tcPr>
            <w:tcW w:w="1143" w:type="dxa"/>
            <w:tcBorders>
              <w:bottom w:val="single" w:sz="4" w:space="0" w:color="000000"/>
            </w:tcBorders>
            <w:vAlign w:val="center"/>
          </w:tcPr>
          <w:p w14:paraId="76B9BA65" w14:textId="77777777" w:rsidR="000E0CBD" w:rsidRDefault="000E0CBD" w:rsidP="00E72B40">
            <w:pPr>
              <w:pStyle w:val="Normal1"/>
              <w:jc w:val="center"/>
            </w:pPr>
            <w:r>
              <w:t>Common</w:t>
            </w:r>
          </w:p>
          <w:p w14:paraId="4E30B4BE" w14:textId="77777777" w:rsidR="000E0CBD" w:rsidRDefault="000E0CBD" w:rsidP="00E72B40">
            <w:pPr>
              <w:pStyle w:val="Normal1"/>
              <w:jc w:val="center"/>
            </w:pPr>
            <w:r>
              <w:t>Stock</w:t>
            </w:r>
          </w:p>
        </w:tc>
        <w:tc>
          <w:tcPr>
            <w:tcW w:w="270" w:type="dxa"/>
            <w:vAlign w:val="center"/>
          </w:tcPr>
          <w:p w14:paraId="3D92C733" w14:textId="77777777" w:rsidR="000E0CBD" w:rsidRDefault="000E0CBD" w:rsidP="00E72B40">
            <w:pPr>
              <w:pStyle w:val="Normal1"/>
              <w:jc w:val="center"/>
            </w:pPr>
            <w:r>
              <w:rPr>
                <w:rFonts w:ascii="Gungsuh" w:eastAsia="Gungsuh" w:hAnsi="Gungsuh" w:cs="Gungsuh"/>
              </w:rPr>
              <w:t>−</w:t>
            </w:r>
          </w:p>
        </w:tc>
        <w:tc>
          <w:tcPr>
            <w:tcW w:w="1203" w:type="dxa"/>
            <w:tcBorders>
              <w:top w:val="single" w:sz="4" w:space="0" w:color="000000"/>
            </w:tcBorders>
            <w:vAlign w:val="center"/>
          </w:tcPr>
          <w:p w14:paraId="42F0B1C4" w14:textId="77777777" w:rsidR="000E0CBD" w:rsidRDefault="000E0CBD" w:rsidP="00E72B40">
            <w:pPr>
              <w:pStyle w:val="Normal1"/>
              <w:jc w:val="center"/>
            </w:pPr>
            <w:r>
              <w:t>Dividends</w:t>
            </w:r>
          </w:p>
        </w:tc>
        <w:tc>
          <w:tcPr>
            <w:tcW w:w="237" w:type="dxa"/>
            <w:tcBorders>
              <w:top w:val="single" w:sz="4" w:space="0" w:color="000000"/>
            </w:tcBorders>
            <w:vAlign w:val="center"/>
          </w:tcPr>
          <w:p w14:paraId="26E0758F" w14:textId="77777777" w:rsidR="000E0CBD" w:rsidRDefault="000E0CBD" w:rsidP="00E72B40">
            <w:pPr>
              <w:pStyle w:val="Normal1"/>
              <w:jc w:val="center"/>
            </w:pPr>
            <w:r>
              <w:t>+</w:t>
            </w:r>
          </w:p>
        </w:tc>
        <w:tc>
          <w:tcPr>
            <w:tcW w:w="1150" w:type="dxa"/>
            <w:tcBorders>
              <w:top w:val="single" w:sz="4" w:space="0" w:color="000000"/>
            </w:tcBorders>
            <w:vAlign w:val="center"/>
          </w:tcPr>
          <w:p w14:paraId="0C0AC220" w14:textId="77777777" w:rsidR="000E0CBD" w:rsidRDefault="000E0CBD" w:rsidP="00E72B40">
            <w:pPr>
              <w:pStyle w:val="Normal1"/>
              <w:jc w:val="center"/>
            </w:pPr>
            <w:r>
              <w:t>Revenues</w:t>
            </w:r>
          </w:p>
        </w:tc>
        <w:tc>
          <w:tcPr>
            <w:tcW w:w="290" w:type="dxa"/>
            <w:tcBorders>
              <w:top w:val="single" w:sz="4" w:space="0" w:color="000000"/>
            </w:tcBorders>
            <w:vAlign w:val="center"/>
          </w:tcPr>
          <w:p w14:paraId="13C5EA91" w14:textId="77777777" w:rsidR="000E0CBD" w:rsidRDefault="000E0CBD" w:rsidP="00E72B40">
            <w:pPr>
              <w:pStyle w:val="Normal1"/>
              <w:jc w:val="center"/>
            </w:pPr>
            <w:r>
              <w:rPr>
                <w:rFonts w:ascii="Gungsuh" w:eastAsia="Gungsuh" w:hAnsi="Gungsuh" w:cs="Gungsuh"/>
              </w:rPr>
              <w:t>−</w:t>
            </w:r>
          </w:p>
        </w:tc>
        <w:tc>
          <w:tcPr>
            <w:tcW w:w="1123" w:type="dxa"/>
            <w:tcBorders>
              <w:top w:val="single" w:sz="4" w:space="0" w:color="000000"/>
            </w:tcBorders>
            <w:vAlign w:val="center"/>
          </w:tcPr>
          <w:p w14:paraId="2AC48535" w14:textId="77777777" w:rsidR="000E0CBD" w:rsidRDefault="000E0CBD" w:rsidP="00E72B40">
            <w:pPr>
              <w:pStyle w:val="Normal1"/>
              <w:jc w:val="center"/>
            </w:pPr>
            <w:r>
              <w:t>Expenses</w:t>
            </w:r>
          </w:p>
        </w:tc>
      </w:tr>
      <w:tr w:rsidR="000E0CBD" w14:paraId="688BD94B" w14:textId="77777777" w:rsidTr="00E72B40">
        <w:tc>
          <w:tcPr>
            <w:tcW w:w="540" w:type="dxa"/>
          </w:tcPr>
          <w:p w14:paraId="6C40A1C5" w14:textId="77777777" w:rsidR="000E0CBD" w:rsidRDefault="000E0CBD" w:rsidP="00E72B40">
            <w:pPr>
              <w:pStyle w:val="Normal1"/>
            </w:pPr>
            <w:r>
              <w:t>(1)</w:t>
            </w:r>
          </w:p>
        </w:tc>
        <w:tc>
          <w:tcPr>
            <w:tcW w:w="1186" w:type="dxa"/>
            <w:tcBorders>
              <w:top w:val="single" w:sz="4" w:space="0" w:color="000000"/>
            </w:tcBorders>
          </w:tcPr>
          <w:p w14:paraId="068AED58" w14:textId="77777777" w:rsidR="000E0CBD" w:rsidRDefault="000E0CBD" w:rsidP="00E72B40">
            <w:pPr>
              <w:pStyle w:val="Normal1"/>
              <w:jc w:val="right"/>
            </w:pPr>
            <w:r>
              <w:t>+20,000</w:t>
            </w:r>
          </w:p>
        </w:tc>
        <w:tc>
          <w:tcPr>
            <w:tcW w:w="270" w:type="dxa"/>
          </w:tcPr>
          <w:p w14:paraId="1ABFF64E" w14:textId="77777777" w:rsidR="000E0CBD" w:rsidRDefault="000E0CBD" w:rsidP="00E72B40">
            <w:pPr>
              <w:pStyle w:val="Normal1"/>
              <w:jc w:val="right"/>
            </w:pPr>
          </w:p>
        </w:tc>
        <w:tc>
          <w:tcPr>
            <w:tcW w:w="1697" w:type="dxa"/>
          </w:tcPr>
          <w:p w14:paraId="5158BDB1" w14:textId="77777777" w:rsidR="000E0CBD" w:rsidRDefault="000E0CBD" w:rsidP="00E72B40">
            <w:pPr>
              <w:pStyle w:val="Normal1"/>
              <w:jc w:val="right"/>
            </w:pPr>
          </w:p>
        </w:tc>
        <w:tc>
          <w:tcPr>
            <w:tcW w:w="400" w:type="dxa"/>
          </w:tcPr>
          <w:p w14:paraId="54720159" w14:textId="77777777" w:rsidR="000E0CBD" w:rsidRDefault="000E0CBD" w:rsidP="00E72B40">
            <w:pPr>
              <w:pStyle w:val="Normal1"/>
              <w:jc w:val="right"/>
            </w:pPr>
          </w:p>
        </w:tc>
        <w:tc>
          <w:tcPr>
            <w:tcW w:w="1143" w:type="dxa"/>
            <w:tcBorders>
              <w:top w:val="single" w:sz="4" w:space="0" w:color="000000"/>
            </w:tcBorders>
          </w:tcPr>
          <w:p w14:paraId="34AA8933" w14:textId="77777777" w:rsidR="000E0CBD" w:rsidRDefault="000E0CBD" w:rsidP="00E72B40">
            <w:pPr>
              <w:pStyle w:val="Normal1"/>
              <w:jc w:val="right"/>
            </w:pPr>
            <w:r>
              <w:t>+20,000</w:t>
            </w:r>
          </w:p>
        </w:tc>
        <w:tc>
          <w:tcPr>
            <w:tcW w:w="270" w:type="dxa"/>
          </w:tcPr>
          <w:p w14:paraId="0D5E4984" w14:textId="77777777" w:rsidR="000E0CBD" w:rsidRDefault="000E0CBD" w:rsidP="00E72B40">
            <w:pPr>
              <w:pStyle w:val="Normal1"/>
              <w:jc w:val="right"/>
            </w:pPr>
          </w:p>
        </w:tc>
        <w:tc>
          <w:tcPr>
            <w:tcW w:w="1203" w:type="dxa"/>
            <w:tcBorders>
              <w:top w:val="single" w:sz="4" w:space="0" w:color="000000"/>
            </w:tcBorders>
          </w:tcPr>
          <w:p w14:paraId="7536F436" w14:textId="77777777" w:rsidR="000E0CBD" w:rsidRDefault="000E0CBD" w:rsidP="00E72B40">
            <w:pPr>
              <w:pStyle w:val="Normal1"/>
              <w:jc w:val="right"/>
            </w:pPr>
          </w:p>
        </w:tc>
        <w:tc>
          <w:tcPr>
            <w:tcW w:w="237" w:type="dxa"/>
          </w:tcPr>
          <w:p w14:paraId="5843C2B6" w14:textId="77777777" w:rsidR="000E0CBD" w:rsidRDefault="000E0CBD" w:rsidP="00E72B40">
            <w:pPr>
              <w:pStyle w:val="Normal1"/>
              <w:jc w:val="right"/>
            </w:pPr>
          </w:p>
        </w:tc>
        <w:tc>
          <w:tcPr>
            <w:tcW w:w="1150" w:type="dxa"/>
            <w:tcBorders>
              <w:top w:val="single" w:sz="4" w:space="0" w:color="000000"/>
            </w:tcBorders>
          </w:tcPr>
          <w:p w14:paraId="3A91AD23" w14:textId="77777777" w:rsidR="000E0CBD" w:rsidRDefault="000E0CBD" w:rsidP="00E72B40">
            <w:pPr>
              <w:pStyle w:val="Normal1"/>
              <w:jc w:val="right"/>
            </w:pPr>
            <w:bookmarkStart w:id="0" w:name="_GoBack"/>
            <w:bookmarkEnd w:id="0"/>
          </w:p>
        </w:tc>
        <w:tc>
          <w:tcPr>
            <w:tcW w:w="290" w:type="dxa"/>
          </w:tcPr>
          <w:p w14:paraId="01ABFC93" w14:textId="77777777" w:rsidR="000E0CBD" w:rsidRDefault="000E0CBD" w:rsidP="00E72B40">
            <w:pPr>
              <w:pStyle w:val="Normal1"/>
              <w:jc w:val="right"/>
            </w:pPr>
          </w:p>
        </w:tc>
        <w:tc>
          <w:tcPr>
            <w:tcW w:w="1123" w:type="dxa"/>
            <w:tcBorders>
              <w:top w:val="single" w:sz="4" w:space="0" w:color="000000"/>
            </w:tcBorders>
          </w:tcPr>
          <w:p w14:paraId="3E05333F" w14:textId="77777777" w:rsidR="000E0CBD" w:rsidRDefault="000E0CBD" w:rsidP="00E72B40">
            <w:pPr>
              <w:pStyle w:val="Normal1"/>
              <w:jc w:val="right"/>
            </w:pPr>
          </w:p>
        </w:tc>
      </w:tr>
    </w:tbl>
    <w:p w14:paraId="2E89D687" w14:textId="0F681D72" w:rsidR="00E576CF" w:rsidRDefault="00E576CF" w:rsidP="00E576CF">
      <w:pPr>
        <w:pStyle w:val="Normal1"/>
        <w:rPr>
          <w:noProof/>
        </w:rPr>
      </w:pPr>
    </w:p>
    <w:p w14:paraId="283E636D" w14:textId="59409A23" w:rsidR="005E7805" w:rsidRPr="00C90734" w:rsidRDefault="005E7805"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i/>
          <w:color w:val="auto"/>
          <w:sz w:val="22"/>
          <w:szCs w:val="22"/>
          <w:lang w:val="en-GB"/>
        </w:rPr>
      </w:pPr>
      <w:r w:rsidRPr="004129B1">
        <w:rPr>
          <w:rFonts w:asciiTheme="minorHAnsi" w:eastAsiaTheme="minorEastAsia" w:hAnsiTheme="minorHAnsi" w:cstheme="minorBidi"/>
          <w:b/>
          <w:color w:val="auto"/>
          <w:sz w:val="22"/>
          <w:szCs w:val="22"/>
          <w:lang w:val="en-GB"/>
        </w:rPr>
        <w:t>Note:</w:t>
      </w:r>
      <w:r w:rsidRPr="00C90734">
        <w:rPr>
          <w:rFonts w:asciiTheme="minorHAnsi" w:eastAsiaTheme="minorEastAsia" w:hAnsiTheme="minorHAnsi" w:cstheme="minorBidi"/>
          <w:i/>
          <w:color w:val="auto"/>
          <w:sz w:val="22"/>
          <w:szCs w:val="22"/>
          <w:lang w:val="en-GB"/>
        </w:rPr>
        <w:t xml:space="preserve"> Try changing Cash and </w:t>
      </w:r>
      <w:r w:rsidR="0017550B" w:rsidRPr="00C90734">
        <w:rPr>
          <w:rFonts w:asciiTheme="minorHAnsi" w:eastAsiaTheme="minorEastAsia" w:hAnsiTheme="minorHAnsi" w:cstheme="minorBidi"/>
          <w:i/>
          <w:color w:val="auto"/>
          <w:sz w:val="22"/>
          <w:szCs w:val="22"/>
          <w:lang w:val="en-GB"/>
        </w:rPr>
        <w:t>Common Stock</w:t>
      </w:r>
      <w:r w:rsidRPr="00C90734">
        <w:rPr>
          <w:rFonts w:asciiTheme="minorHAnsi" w:eastAsiaTheme="minorEastAsia" w:hAnsiTheme="minorHAnsi" w:cstheme="minorBidi"/>
          <w:i/>
          <w:color w:val="auto"/>
          <w:sz w:val="22"/>
          <w:szCs w:val="22"/>
          <w:lang w:val="en-GB"/>
        </w:rPr>
        <w:t xml:space="preserve"> values in the </w:t>
      </w:r>
      <w:r w:rsidR="003261F7">
        <w:rPr>
          <w:rFonts w:asciiTheme="minorHAnsi" w:eastAsiaTheme="minorEastAsia" w:hAnsiTheme="minorHAnsi" w:cstheme="minorBidi"/>
          <w:i/>
          <w:color w:val="auto"/>
          <w:sz w:val="22"/>
          <w:szCs w:val="22"/>
          <w:lang w:val="en-GB"/>
        </w:rPr>
        <w:t>blue</w:t>
      </w:r>
      <w:r w:rsidRPr="00C90734">
        <w:rPr>
          <w:rFonts w:asciiTheme="minorHAnsi" w:eastAsiaTheme="minorEastAsia" w:hAnsiTheme="minorHAnsi" w:cstheme="minorBidi"/>
          <w:i/>
          <w:color w:val="auto"/>
          <w:sz w:val="22"/>
          <w:szCs w:val="22"/>
          <w:lang w:val="en-GB"/>
        </w:rPr>
        <w:t xml:space="preserve"> boxes of the Accounting Equation above. The impacting changes will reflect in the Balance Sheet and Statement of Cash Flow tables.</w:t>
      </w:r>
    </w:p>
    <w:p w14:paraId="72950A83" w14:textId="5AC133AE" w:rsidR="00C90734" w:rsidRDefault="00C90734"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14:paraId="40E89039" w14:textId="77777777" w:rsidR="00C90734" w:rsidRPr="00C90734" w:rsidRDefault="00C90734" w:rsidP="00C9073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p>
    <w:p w14:paraId="2509662E" w14:textId="77777777" w:rsidR="000E0CBD" w:rsidRPr="000E0CBD" w:rsidRDefault="000E0CBD" w:rsidP="000E0CB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Theme="minorHAnsi" w:eastAsiaTheme="minorEastAsia" w:hAnsiTheme="minorHAnsi" w:cstheme="minorBidi"/>
          <w:color w:val="auto"/>
          <w:sz w:val="22"/>
          <w:szCs w:val="22"/>
          <w:lang w:val="en-GB"/>
        </w:rPr>
      </w:pPr>
      <w:r w:rsidRPr="000E0CBD">
        <w:rPr>
          <w:rFonts w:asciiTheme="minorHAnsi" w:eastAsiaTheme="minorEastAsia" w:hAnsiTheme="minorHAnsi" w:cstheme="minorBidi"/>
          <w:color w:val="auto"/>
          <w:sz w:val="22"/>
          <w:szCs w:val="22"/>
          <w:lang w:val="en-GB"/>
        </w:rPr>
        <w:t>Following table illustrates the impact of this transaction on the "Financial Statements" of Rose Designs:</w:t>
      </w:r>
    </w:p>
    <w:p w14:paraId="77CF5E66" w14:textId="77777777" w:rsidR="000E0CBD" w:rsidRDefault="000E0CBD" w:rsidP="00E576CF">
      <w:pPr>
        <w:pStyle w:val="Normal1"/>
        <w:rPr>
          <w:rFonts w:eastAsiaTheme="majorEastAsia"/>
          <w:lang w:val="en-GB"/>
        </w:rPr>
      </w:pPr>
    </w:p>
    <w:tbl>
      <w:tblPr>
        <w:tblStyle w:val="TableGrid"/>
        <w:tblpPr w:leftFromText="180" w:rightFromText="180" w:vertAnchor="text" w:horzAnchor="margin" w:tblpY="74"/>
        <w:tblW w:w="0" w:type="auto"/>
        <w:tblLook w:val="04A0" w:firstRow="1" w:lastRow="0" w:firstColumn="1" w:lastColumn="0" w:noHBand="0" w:noVBand="1"/>
        <w:tblCaption w:val="t1_02.json"/>
        <w:tblDescription w:val="t1_02.json"/>
      </w:tblPr>
      <w:tblGrid>
        <w:gridCol w:w="8020"/>
      </w:tblGrid>
      <w:tr w:rsidR="00E576CF" w:rsidRPr="002C1C17" w14:paraId="57C5D2DE" w14:textId="77777777" w:rsidTr="006F322E">
        <w:trPr>
          <w:trHeight w:val="488"/>
        </w:trPr>
        <w:tc>
          <w:tcPr>
            <w:tcW w:w="8020" w:type="dxa"/>
          </w:tcPr>
          <w:p w14:paraId="74395D86" w14:textId="37B6F232" w:rsidR="00E576CF" w:rsidRPr="002C1C17" w:rsidRDefault="00E576CF" w:rsidP="000E0CBD">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2C1C17">
              <w:rPr>
                <w:rFonts w:asciiTheme="minorHAnsi" w:eastAsiaTheme="minorEastAsia" w:hAnsiTheme="minorHAnsi" w:cstheme="minorBidi"/>
                <w:color w:val="auto"/>
                <w:sz w:val="22"/>
                <w:szCs w:val="22"/>
                <w:lang w:val="en-GB"/>
              </w:rPr>
              <w:t xml:space="preserve">This table will be replaced by Leonardo item </w:t>
            </w:r>
          </w:p>
        </w:tc>
      </w:tr>
      <w:tr w:rsidR="00E576CF" w:rsidRPr="002C1C17" w14:paraId="782ECF63" w14:textId="77777777" w:rsidTr="006F322E">
        <w:trPr>
          <w:trHeight w:val="502"/>
        </w:trPr>
        <w:tc>
          <w:tcPr>
            <w:tcW w:w="8020" w:type="dxa"/>
          </w:tcPr>
          <w:p w14:paraId="5B376BC8"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E576CF" w:rsidRPr="002C1C17" w14:paraId="7408B709" w14:textId="77777777" w:rsidTr="006F322E">
        <w:trPr>
          <w:trHeight w:val="488"/>
        </w:trPr>
        <w:tc>
          <w:tcPr>
            <w:tcW w:w="8020" w:type="dxa"/>
          </w:tcPr>
          <w:p w14:paraId="36D71335" w14:textId="77777777" w:rsidR="00E576CF" w:rsidRPr="002C1C17" w:rsidRDefault="00E576CF" w:rsidP="006F322E">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14:paraId="5ABF33F6" w14:textId="4BA6C660" w:rsidR="00E576CF" w:rsidRDefault="00E576CF" w:rsidP="00E576CF">
      <w:pPr>
        <w:pStyle w:val="Normal1"/>
        <w:rPr>
          <w:rFonts w:eastAsiaTheme="majorEastAsia"/>
          <w:lang w:val="en-GB"/>
        </w:rPr>
      </w:pPr>
    </w:p>
    <w:p w14:paraId="5815241F" w14:textId="3E178B89" w:rsidR="00E576CF" w:rsidRDefault="00E576CF" w:rsidP="00E576CF">
      <w:pPr>
        <w:pStyle w:val="Normal1"/>
        <w:rPr>
          <w:rFonts w:eastAsiaTheme="majorEastAsia"/>
          <w:lang w:val="en-GB"/>
        </w:rPr>
      </w:pPr>
    </w:p>
    <w:p w14:paraId="46A33AA7" w14:textId="6CEEAA3A" w:rsidR="00695416" w:rsidRPr="00695416" w:rsidRDefault="00695416" w:rsidP="00695416">
      <w:pPr>
        <w:pStyle w:val="Normal1"/>
        <w:rPr>
          <w:lang w:val="en-GB"/>
        </w:rPr>
      </w:pPr>
    </w:p>
    <w:sectPr w:rsidR="00695416" w:rsidRPr="0069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Gungsuh">
    <w:altName w:val="Gungsuh"/>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10C"/>
    <w:rsid w:val="00050167"/>
    <w:rsid w:val="000736D1"/>
    <w:rsid w:val="000E0CBD"/>
    <w:rsid w:val="0017550B"/>
    <w:rsid w:val="002015BF"/>
    <w:rsid w:val="00293C93"/>
    <w:rsid w:val="002A3038"/>
    <w:rsid w:val="002C1C17"/>
    <w:rsid w:val="002F2E20"/>
    <w:rsid w:val="003261F7"/>
    <w:rsid w:val="00332451"/>
    <w:rsid w:val="003A48F8"/>
    <w:rsid w:val="004129B1"/>
    <w:rsid w:val="004365ED"/>
    <w:rsid w:val="00466D16"/>
    <w:rsid w:val="004B313E"/>
    <w:rsid w:val="00501092"/>
    <w:rsid w:val="00576C43"/>
    <w:rsid w:val="005812CA"/>
    <w:rsid w:val="005A310C"/>
    <w:rsid w:val="005E7805"/>
    <w:rsid w:val="00644391"/>
    <w:rsid w:val="0066458A"/>
    <w:rsid w:val="006912C9"/>
    <w:rsid w:val="00695416"/>
    <w:rsid w:val="006F3908"/>
    <w:rsid w:val="00702FB1"/>
    <w:rsid w:val="007370A1"/>
    <w:rsid w:val="00763BA0"/>
    <w:rsid w:val="007E7ADE"/>
    <w:rsid w:val="00813F6F"/>
    <w:rsid w:val="008D3AD1"/>
    <w:rsid w:val="009A33F2"/>
    <w:rsid w:val="009B15E1"/>
    <w:rsid w:val="009F5EEB"/>
    <w:rsid w:val="00A84881"/>
    <w:rsid w:val="00B47EBF"/>
    <w:rsid w:val="00B77EBA"/>
    <w:rsid w:val="00C90734"/>
    <w:rsid w:val="00D2320B"/>
    <w:rsid w:val="00D34FE4"/>
    <w:rsid w:val="00D51D32"/>
    <w:rsid w:val="00E31CEC"/>
    <w:rsid w:val="00E576CF"/>
    <w:rsid w:val="00EA20CF"/>
    <w:rsid w:val="00FB08C7"/>
    <w:rsid w:val="00FD1AEF"/>
    <w:rsid w:val="00FE3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CDB8C"/>
  <w15:chartTrackingRefBased/>
  <w15:docId w15:val="{1BFE8CA8-DE8A-4DCA-9CE2-023D5DF5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9F5EE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1"/>
    <w:next w:val="Normal1"/>
    <w:link w:val="Heading2Char"/>
    <w:uiPriority w:val="9"/>
    <w:qFormat/>
    <w:rsid w:val="00E31CEC"/>
    <w:pPr>
      <w:keepNext/>
      <w:keepLines/>
      <w:spacing w:before="40"/>
      <w:outlineLvl w:val="1"/>
    </w:pPr>
    <w:rPr>
      <w:rFonts w:ascii="Calibri" w:eastAsia="Calibri" w:hAnsi="Calibri" w:cs="Calibri"/>
      <w:b/>
      <w:color w:val="ED7D31"/>
      <w:sz w:val="26"/>
      <w:szCs w:val="26"/>
    </w:rPr>
  </w:style>
  <w:style w:type="paragraph" w:styleId="Heading3">
    <w:name w:val="heading 3"/>
    <w:basedOn w:val="Normal"/>
    <w:next w:val="Normal"/>
    <w:link w:val="Heading3Char"/>
    <w:uiPriority w:val="9"/>
    <w:unhideWhenUsed/>
    <w:qFormat/>
    <w:rsid w:val="008D3AD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4B313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A310C"/>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A31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10C"/>
    <w:rPr>
      <w:rFonts w:ascii="Segoe UI" w:eastAsia="Times New Roman"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2FB1"/>
    <w:rPr>
      <w:b/>
      <w:bCs/>
    </w:rPr>
  </w:style>
  <w:style w:type="character" w:customStyle="1" w:styleId="CommentSubjectChar">
    <w:name w:val="Comment Subject Char"/>
    <w:basedOn w:val="CommentTextChar"/>
    <w:link w:val="CommentSubject"/>
    <w:uiPriority w:val="99"/>
    <w:semiHidden/>
    <w:rsid w:val="00702FB1"/>
    <w:rPr>
      <w:rFonts w:ascii="Times New Roman" w:eastAsia="Times New Roman" w:hAnsi="Times New Roman" w:cs="Times New Roman"/>
      <w:b/>
      <w:bCs/>
      <w:color w:val="000000"/>
      <w:sz w:val="20"/>
      <w:szCs w:val="20"/>
    </w:rPr>
  </w:style>
  <w:style w:type="table" w:styleId="TableGrid">
    <w:name w:val="Table Grid"/>
    <w:basedOn w:val="TableNormal"/>
    <w:uiPriority w:val="59"/>
    <w:rsid w:val="00E31CEC"/>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1CEC"/>
    <w:rPr>
      <w:rFonts w:ascii="Calibri" w:eastAsia="Calibri" w:hAnsi="Calibri" w:cs="Calibri"/>
      <w:b/>
      <w:color w:val="ED7D31"/>
      <w:sz w:val="26"/>
      <w:szCs w:val="26"/>
    </w:rPr>
  </w:style>
  <w:style w:type="character" w:customStyle="1" w:styleId="Heading3Char">
    <w:name w:val="Heading 3 Char"/>
    <w:basedOn w:val="DefaultParagraphFont"/>
    <w:link w:val="Heading3"/>
    <w:uiPriority w:val="9"/>
    <w:rsid w:val="008D3A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B313E"/>
    <w:rPr>
      <w:rFonts w:asciiTheme="majorHAnsi" w:eastAsiaTheme="majorEastAsia" w:hAnsiTheme="majorHAnsi" w:cstheme="majorBidi"/>
      <w:i/>
      <w:iCs/>
      <w:color w:val="2E74B5" w:themeColor="accent1" w:themeShade="BF"/>
      <w:sz w:val="24"/>
      <w:szCs w:val="24"/>
    </w:rPr>
  </w:style>
  <w:style w:type="character" w:customStyle="1" w:styleId="Heading1Char">
    <w:name w:val="Heading 1 Char"/>
    <w:basedOn w:val="DefaultParagraphFont"/>
    <w:link w:val="Heading1"/>
    <w:uiPriority w:val="9"/>
    <w:rsid w:val="009F5E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171132">
      <w:bodyDiv w:val="1"/>
      <w:marLeft w:val="0"/>
      <w:marRight w:val="0"/>
      <w:marTop w:val="0"/>
      <w:marBottom w:val="0"/>
      <w:divBdr>
        <w:top w:val="none" w:sz="0" w:space="0" w:color="auto"/>
        <w:left w:val="none" w:sz="0" w:space="0" w:color="auto"/>
        <w:bottom w:val="none" w:sz="0" w:space="0" w:color="auto"/>
        <w:right w:val="none" w:sz="0" w:space="0" w:color="auto"/>
      </w:divBdr>
      <w:divsChild>
        <w:div w:id="190726666">
          <w:marLeft w:val="0"/>
          <w:marRight w:val="0"/>
          <w:marTop w:val="0"/>
          <w:marBottom w:val="0"/>
          <w:divBdr>
            <w:top w:val="none" w:sz="0" w:space="0" w:color="auto"/>
            <w:left w:val="none" w:sz="0" w:space="0" w:color="auto"/>
            <w:bottom w:val="none" w:sz="0" w:space="0" w:color="auto"/>
            <w:right w:val="none" w:sz="0" w:space="0" w:color="auto"/>
          </w:divBdr>
          <w:divsChild>
            <w:div w:id="2077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46</cp:revision>
  <dcterms:created xsi:type="dcterms:W3CDTF">2018-06-26T14:19:00Z</dcterms:created>
  <dcterms:modified xsi:type="dcterms:W3CDTF">2018-10-05T06:18:00Z</dcterms:modified>
</cp:coreProperties>
</file>