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581" w:rsidRDefault="007C3581" w:rsidP="003F4495">
      <w:pPr>
        <w:pStyle w:val="Heading2"/>
        <w:rPr>
          <w:lang w:val="en-GB"/>
        </w:rPr>
      </w:pPr>
      <w:r>
        <w:rPr>
          <w:lang w:val="en-GB"/>
        </w:rPr>
        <w:t>Transaction 3: Purchase Equipment with Cash</w:t>
      </w:r>
    </w:p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buys equipment, $10,000 with cash. This transaction increases and decreases the assets of the business as follows:</w:t>
      </w:r>
    </w:p>
    <w:tbl>
      <w:tblPr>
        <w:tblW w:w="1155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  <w:tblCaption w:val="t3_01.json"/>
        <w:tblDescription w:val="t3_01.json"/>
      </w:tblPr>
      <w:tblGrid>
        <w:gridCol w:w="610"/>
        <w:gridCol w:w="1280"/>
        <w:gridCol w:w="352"/>
        <w:gridCol w:w="1270"/>
        <w:gridCol w:w="353"/>
        <w:gridCol w:w="1697"/>
        <w:gridCol w:w="353"/>
        <w:gridCol w:w="1110"/>
        <w:gridCol w:w="352"/>
        <w:gridCol w:w="1203"/>
        <w:gridCol w:w="352"/>
        <w:gridCol w:w="1150"/>
        <w:gridCol w:w="352"/>
        <w:gridCol w:w="1123"/>
      </w:tblGrid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  <w:rPr>
                <w:b/>
              </w:rPr>
            </w:pPr>
          </w:p>
        </w:tc>
        <w:tc>
          <w:tcPr>
            <w:tcW w:w="2902" w:type="dxa"/>
            <w:gridSpan w:val="3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ASSETS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LIABILITIES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642" w:type="dxa"/>
            <w:gridSpan w:val="7"/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STOCKHOLDERS’ EQUITY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7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352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</w:pPr>
          </w:p>
        </w:tc>
        <w:tc>
          <w:tcPr>
            <w:tcW w:w="4180" w:type="dxa"/>
            <w:gridSpan w:val="5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center"/>
              <w:rPr>
                <w:b/>
              </w:rPr>
            </w:pPr>
            <w:r>
              <w:rPr>
                <w:b/>
              </w:rPr>
              <w:t>Retained Earnings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Cash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27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Equipment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=</w:t>
            </w: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Notes Payable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Common</w:t>
            </w:r>
          </w:p>
          <w:p w:rsidR="00C32191" w:rsidRDefault="00C32191" w:rsidP="00E72B40">
            <w:pPr>
              <w:pStyle w:val="Normal1"/>
              <w:jc w:val="center"/>
            </w:pPr>
            <w:r>
              <w:t>Stock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20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Dividends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Revenues</w:t>
            </w:r>
          </w:p>
        </w:tc>
        <w:tc>
          <w:tcPr>
            <w:tcW w:w="352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rPr>
                <w:rFonts w:ascii="Gungsuh" w:eastAsia="Gungsuh" w:hAnsi="Gungsuh" w:cs="Gungsuh"/>
              </w:rPr>
              <w:t>−</w:t>
            </w:r>
          </w:p>
        </w:tc>
        <w:tc>
          <w:tcPr>
            <w:tcW w:w="1123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center"/>
            </w:pPr>
            <w:r>
              <w:t>Expenses</w:t>
            </w: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(3)</w:t>
            </w:r>
          </w:p>
        </w:tc>
        <w:tc>
          <w:tcPr>
            <w:tcW w:w="128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(10,000)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70" w:type="dxa"/>
            <w:tcBorders>
              <w:bottom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+10,000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697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10" w:type="dxa"/>
            <w:tcBorders>
              <w:bottom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  <w:tr w:rsidR="00C32191" w:rsidTr="00E72B40">
        <w:tc>
          <w:tcPr>
            <w:tcW w:w="610" w:type="dxa"/>
          </w:tcPr>
          <w:p w:rsidR="00C32191" w:rsidRDefault="00C32191" w:rsidP="00E72B40">
            <w:pPr>
              <w:pStyle w:val="Normal1"/>
            </w:pPr>
            <w:r>
              <w:t>Bal.</w:t>
            </w:r>
          </w:p>
        </w:tc>
        <w:tc>
          <w:tcPr>
            <w:tcW w:w="128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$ 90,000</w:t>
            </w:r>
          </w:p>
        </w:tc>
        <w:tc>
          <w:tcPr>
            <w:tcW w:w="352" w:type="dxa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270" w:type="dxa"/>
            <w:tcBorders>
              <w:top w:val="single" w:sz="4" w:space="0" w:color="000000"/>
            </w:tcBorders>
          </w:tcPr>
          <w:p w:rsidR="00C32191" w:rsidRDefault="00C32191" w:rsidP="00E72B40">
            <w:pPr>
              <w:pStyle w:val="Normal1"/>
              <w:jc w:val="right"/>
            </w:pPr>
            <w:r>
              <w:t>$ 10,000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=</w:t>
            </w:r>
          </w:p>
        </w:tc>
        <w:tc>
          <w:tcPr>
            <w:tcW w:w="1697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$ 80,000</w:t>
            </w:r>
          </w:p>
        </w:tc>
        <w:tc>
          <w:tcPr>
            <w:tcW w:w="35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+</w:t>
            </w:r>
          </w:p>
        </w:tc>
        <w:tc>
          <w:tcPr>
            <w:tcW w:w="1110" w:type="dxa"/>
            <w:tcBorders>
              <w:top w:val="single" w:sz="4" w:space="0" w:color="000000"/>
            </w:tcBorders>
            <w:vAlign w:val="center"/>
          </w:tcPr>
          <w:p w:rsidR="00C32191" w:rsidRDefault="00C32191" w:rsidP="00E72B40">
            <w:pPr>
              <w:pStyle w:val="Normal1"/>
              <w:jc w:val="right"/>
            </w:pPr>
            <w:r>
              <w:t>$ 20,000</w:t>
            </w: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20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50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352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  <w:tc>
          <w:tcPr>
            <w:tcW w:w="1123" w:type="dxa"/>
            <w:vAlign w:val="center"/>
          </w:tcPr>
          <w:p w:rsidR="00C32191" w:rsidRDefault="00C32191" w:rsidP="00E72B40">
            <w:pPr>
              <w:pStyle w:val="Normal1"/>
              <w:jc w:val="right"/>
            </w:pPr>
          </w:p>
        </w:tc>
      </w:tr>
    </w:tbl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EB67EF" w:rsidRDefault="00EB67EF" w:rsidP="00EB67EF">
      <w:pP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Note:</w:t>
      </w:r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Try changing Cash and Equipment values in the </w:t>
      </w:r>
      <w:r w:rsidR="008E4E95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blue</w:t>
      </w:r>
      <w:bookmarkStart w:id="0" w:name="_GoBack"/>
      <w:bookmarkEnd w:id="0"/>
      <w:r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boxes of the Accounting Equation above. The impacting changes will reflect in the Balance Sheet and Statement of Cash Flow tables.</w:t>
      </w:r>
    </w:p>
    <w:p w:rsidR="00EB67EF" w:rsidRDefault="00EB67EF" w:rsidP="00C321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C32191" w:rsidRPr="000E0CBD" w:rsidRDefault="00C32191" w:rsidP="00C3219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E0C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Following table illustrates the impact of this transaction on the "Financial Statements" of Rose Designs:</w:t>
      </w:r>
    </w:p>
    <w:p w:rsidR="00C32191" w:rsidRDefault="00C32191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3_02.json"/>
        <w:tblDescription w:val="t3_02.json"/>
      </w:tblPr>
      <w:tblGrid>
        <w:gridCol w:w="9129"/>
      </w:tblGrid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1C3CE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E2772D" w:rsidRPr="001C3CEC" w:rsidRDefault="00E2772D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sectPr w:rsidR="00E2772D" w:rsidRPr="001C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C28"/>
    <w:rsid w:val="000105F5"/>
    <w:rsid w:val="000460D8"/>
    <w:rsid w:val="000A7C4C"/>
    <w:rsid w:val="001C3CEC"/>
    <w:rsid w:val="003F4495"/>
    <w:rsid w:val="00440055"/>
    <w:rsid w:val="00685694"/>
    <w:rsid w:val="006E7C28"/>
    <w:rsid w:val="007C3581"/>
    <w:rsid w:val="008E4E95"/>
    <w:rsid w:val="00960511"/>
    <w:rsid w:val="00A56269"/>
    <w:rsid w:val="00B47EBF"/>
    <w:rsid w:val="00C32191"/>
    <w:rsid w:val="00E2772D"/>
    <w:rsid w:val="00E64BD5"/>
    <w:rsid w:val="00EB67EF"/>
    <w:rsid w:val="00F73EC7"/>
    <w:rsid w:val="00F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B46A"/>
  <w15:chartTrackingRefBased/>
  <w15:docId w15:val="{AFD2E1BE-CE0A-45F8-A3E8-ECDB2A4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5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685694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685694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5694"/>
    <w:rPr>
      <w:rFonts w:ascii="Calibri" w:eastAsia="Calibri" w:hAnsi="Calibri" w:cs="Calibri"/>
      <w:b/>
      <w:color w:val="ED7D3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94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6856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3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75EC9-062C-4E04-85D5-B5AAF1595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17</cp:revision>
  <dcterms:created xsi:type="dcterms:W3CDTF">2018-06-26T13:54:00Z</dcterms:created>
  <dcterms:modified xsi:type="dcterms:W3CDTF">2018-10-05T06:18:00Z</dcterms:modified>
</cp:coreProperties>
</file>