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A6" w:rsidRDefault="006773A6" w:rsidP="00DA3332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>Transaction 5: Purchase furniture on Account</w:t>
      </w:r>
    </w:p>
    <w:p w:rsidR="001D0CDF" w:rsidRDefault="001D0CDF" w:rsidP="001D0CD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E331C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purchases furniture, $4,000, using the company’s credit card. The company plans to pay its credit card in full in 60 days. This transaction affects the accounting equation of Rose Designs as follows:</w:t>
      </w:r>
    </w:p>
    <w:p w:rsidR="00714679" w:rsidRDefault="00714679" w:rsidP="001D0CD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56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5_01.json"/>
        <w:tblDescription w:val="t5_01.json"/>
      </w:tblPr>
      <w:tblGrid>
        <w:gridCol w:w="609"/>
        <w:gridCol w:w="1100"/>
        <w:gridCol w:w="352"/>
        <w:gridCol w:w="1270"/>
        <w:gridCol w:w="358"/>
        <w:gridCol w:w="1270"/>
        <w:gridCol w:w="352"/>
        <w:gridCol w:w="1269"/>
        <w:gridCol w:w="353"/>
        <w:gridCol w:w="1166"/>
        <w:gridCol w:w="369"/>
        <w:gridCol w:w="1170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  <w:rPr>
                <w:b/>
              </w:rPr>
            </w:pPr>
          </w:p>
        </w:tc>
        <w:tc>
          <w:tcPr>
            <w:tcW w:w="5971" w:type="dxa"/>
            <w:gridSpan w:val="7"/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2705" w:type="dxa"/>
            <w:gridSpan w:val="3"/>
            <w:vAlign w:val="center"/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  <w:tcBorders>
              <w:left w:val="nil"/>
            </w:tcBorders>
          </w:tcPr>
          <w:p w:rsidR="00714679" w:rsidRDefault="00714679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8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3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Furniture</w:t>
            </w:r>
          </w:p>
        </w:tc>
        <w:tc>
          <w:tcPr>
            <w:tcW w:w="358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166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Accounts Payable</w:t>
            </w:r>
          </w:p>
        </w:tc>
        <w:tc>
          <w:tcPr>
            <w:tcW w:w="369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Common</w:t>
            </w:r>
          </w:p>
          <w:p w:rsidR="00714679" w:rsidRDefault="00714679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8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69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  <w:r>
              <w:t>(5)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+4,000</w:t>
            </w:r>
          </w:p>
        </w:tc>
        <w:tc>
          <w:tcPr>
            <w:tcW w:w="358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66" w:type="dxa"/>
            <w:tcBorders>
              <w:bottom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4,000</w:t>
            </w:r>
          </w:p>
        </w:tc>
        <w:tc>
          <w:tcPr>
            <w:tcW w:w="369" w:type="dxa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</w:tr>
      <w:tr w:rsidR="00714679" w:rsidTr="00E72B40">
        <w:tc>
          <w:tcPr>
            <w:tcW w:w="610" w:type="dxa"/>
          </w:tcPr>
          <w:p w:rsidR="00714679" w:rsidRDefault="00714679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$ 4,000</w:t>
            </w:r>
          </w:p>
        </w:tc>
        <w:tc>
          <w:tcPr>
            <w:tcW w:w="358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 w:rsidR="00714679" w:rsidRDefault="00714679" w:rsidP="00E72B40">
            <w:pPr>
              <w:pStyle w:val="Normal1"/>
              <w:jc w:val="right"/>
            </w:pPr>
            <w:r>
              <w:t>$ 4,000</w:t>
            </w:r>
          </w:p>
        </w:tc>
        <w:tc>
          <w:tcPr>
            <w:tcW w:w="369" w:type="dxa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714679" w:rsidRDefault="00714679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714679" w:rsidRDefault="00714679" w:rsidP="00E72B40">
            <w:pPr>
              <w:pStyle w:val="Normal1"/>
              <w:jc w:val="right"/>
            </w:pPr>
          </w:p>
        </w:tc>
      </w:tr>
    </w:tbl>
    <w:p w:rsidR="001D0CDF" w:rsidRDefault="001D0CDF" w:rsidP="001D0CDF">
      <w:pPr>
        <w:pStyle w:val="Normal1"/>
      </w:pPr>
    </w:p>
    <w:p w:rsidR="003C44E8" w:rsidRDefault="003C44E8" w:rsidP="003C44E8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Furniture and Accounts Payable values in the </w:t>
      </w:r>
      <w:r w:rsidR="00684272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blue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boxes of the Accounting Equation above. The impacting changes will reflect in the Balance Sheet </w:t>
      </w:r>
      <w:r w:rsidR="00F25EC7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table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.</w:t>
      </w:r>
    </w:p>
    <w:p w:rsidR="003C44E8" w:rsidRDefault="003C44E8" w:rsidP="007A62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7A6235" w:rsidRPr="000E0CBD" w:rsidRDefault="007A6235" w:rsidP="007A62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7A6235" w:rsidRDefault="007A6235" w:rsidP="001D0CDF">
      <w:pPr>
        <w:pStyle w:val="Normal1"/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5_02.json"/>
        <w:tblDescription w:val="t5_02.json"/>
      </w:tblPr>
      <w:tblGrid>
        <w:gridCol w:w="9129"/>
      </w:tblGrid>
      <w:tr w:rsidR="009D10B0" w:rsidRPr="00E331C3" w:rsidTr="003C59D6">
        <w:trPr>
          <w:trHeight w:val="488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E331C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9D10B0" w:rsidRPr="00E331C3" w:rsidTr="003C59D6">
        <w:trPr>
          <w:trHeight w:val="502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D10B0" w:rsidRPr="00E331C3" w:rsidTr="003C59D6">
        <w:trPr>
          <w:trHeight w:val="488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9D10B0" w:rsidRPr="00E331C3" w:rsidTr="003C59D6">
        <w:trPr>
          <w:trHeight w:val="502"/>
        </w:trPr>
        <w:tc>
          <w:tcPr>
            <w:tcW w:w="9129" w:type="dxa"/>
          </w:tcPr>
          <w:p w:rsidR="009D10B0" w:rsidRPr="00E331C3" w:rsidRDefault="009D10B0" w:rsidP="003C59D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9D10B0" w:rsidRPr="00E331C3" w:rsidRDefault="009D10B0" w:rsidP="001D0CDF">
      <w:pPr>
        <w:pStyle w:val="Normal1"/>
      </w:pPr>
    </w:p>
    <w:sectPr w:rsidR="009D10B0" w:rsidRPr="00E3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CDF"/>
    <w:rsid w:val="00006B59"/>
    <w:rsid w:val="001D0CDF"/>
    <w:rsid w:val="003C44E8"/>
    <w:rsid w:val="005305AF"/>
    <w:rsid w:val="005535A5"/>
    <w:rsid w:val="006773A6"/>
    <w:rsid w:val="00684272"/>
    <w:rsid w:val="00714679"/>
    <w:rsid w:val="007A6235"/>
    <w:rsid w:val="008E4D2C"/>
    <w:rsid w:val="008E5C44"/>
    <w:rsid w:val="00946AE2"/>
    <w:rsid w:val="009D10B0"/>
    <w:rsid w:val="00B47EBF"/>
    <w:rsid w:val="00D52763"/>
    <w:rsid w:val="00DA3332"/>
    <w:rsid w:val="00E331C3"/>
    <w:rsid w:val="00EF1180"/>
    <w:rsid w:val="00F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76F3"/>
  <w15:chartTrackingRefBased/>
  <w15:docId w15:val="{019A367C-B981-481F-87CB-0FCDBFED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CD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1D0CDF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6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CDF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1D0CD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6AE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4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7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18</cp:revision>
  <dcterms:created xsi:type="dcterms:W3CDTF">2018-06-26T14:23:00Z</dcterms:created>
  <dcterms:modified xsi:type="dcterms:W3CDTF">2018-10-05T06:19:00Z</dcterms:modified>
</cp:coreProperties>
</file>