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BA5C6" w14:textId="77777777" w:rsidR="00441BD2" w:rsidRPr="00A6491F" w:rsidRDefault="003F1EE8" w:rsidP="00DF1DA6">
      <w:pPr>
        <w:pStyle w:val="Heading2"/>
        <w:rPr>
          <w:b/>
        </w:rPr>
      </w:pPr>
      <w:r w:rsidRPr="00A6491F">
        <w:t>Modeling Bakery Buildin</w:t>
      </w:r>
      <w:r w:rsidR="003470DF">
        <w:t>g Cost a</w:t>
      </w:r>
      <w:r w:rsidRPr="00A6491F">
        <w:t>nd Discount Rate</w:t>
      </w:r>
    </w:p>
    <w:p w14:paraId="1A6376FF" w14:textId="77777777" w:rsidR="003F1EE8" w:rsidRPr="00A6491F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will assume an annual discount rate for profits of 15%. This means that $1 of profit earned a year from now is equivalent to $1/1.15 earned now. In </w:t>
      </w:r>
      <w:proofErr w:type="spellStart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bakery building costs (call it BBC) as a function of the annual capacity x of the bakery (call it x = number of pastries that can be baked per year), it is tempting to assume BBC=</w:t>
      </w:r>
      <w:proofErr w:type="spellStart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kx</w:t>
      </w:r>
      <w:proofErr w:type="spellEnd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  <w:r w:rsidRPr="0084403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is made up of a fixed cost plus a per-unit </w:t>
      </w:r>
      <w:commentRangeStart w:id="0"/>
      <w:r w:rsidRPr="0084403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cost</w:t>
      </w:r>
      <w:commentRangeEnd w:id="0"/>
      <w:r w:rsidR="00F736CE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74D8D4D9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D6A7C39" w14:textId="77777777" w:rsidR="003F1EE8" w:rsidRPr="00A6491F" w:rsidRDefault="00987877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y+kx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7777777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$y incurred in building a bakery and a cost of $k per unit of pastry capacity.  In our example, we will assume that fixed cost, y = $400,000 incurred in building a bakery and k = $3 per unit of pastry capacity.</w:t>
      </w:r>
    </w:p>
    <w:p w14:paraId="6EC25E1A" w14:textId="7777777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1A0F206" w14:textId="1832AE10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If you believe that there is a diminishing cost of adding each unit of capacity you might try a model of the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form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</m:t>
        </m:r>
        <w:proofErr w:type="gramEnd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BBC=Fixed cost + k</m:t>
        </m:r>
        <m:sSup>
          <m:sSup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b</m:t>
            </m:r>
          </m:sup>
        </m:sSup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, where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0&lt; b&lt; 1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will ensure that each additional unit of capacity will incur a smaller cost.</w:t>
      </w:r>
    </w:p>
    <w:p w14:paraId="06719D49" w14:textId="77777777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72D91B0C" w14:textId="5E854468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step by step. Also the range B1:B14 has been defined using Named ranges for better readability.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blue and input assumptions in yellow.  Calculations are in orange.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14:paraId="5D9A0A08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797FAFDE" w14:textId="77777777" w:rsidR="00A57903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capacity of the bakery (assumed to be 300,000 pastries)</w:t>
      </w:r>
    </w:p>
    <w:p w14:paraId="328AC51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8F847" w14:textId="77777777" w:rsidR="003F1EE8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calculate the total cost of construction using </w:t>
      </w:r>
      <w:r w:rsidR="00D568F9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 equation</w:t>
      </w:r>
    </w:p>
    <w:p w14:paraId="2319703F" w14:textId="40A04D78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The Bakery Building Cost in cell </w:t>
      </w:r>
      <w:r w:rsidR="002C2C7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bookmarkStart w:id="1" w:name="_GoBack"/>
      <w:bookmarkEnd w:id="1"/>
      <w:r w:rsidR="002C2C7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17</w:t>
      </w: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calculated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1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+(B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2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× 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3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)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14:paraId="21F3DA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nu Aggarwal" w:date="2018-08-21T16:57:00Z" w:initials="RA">
    <w:p w14:paraId="25B5EB77" w14:textId="77777777" w:rsidR="00F736CE" w:rsidRDefault="00F736CE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B5EB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nu Aggarwal">
    <w15:presenceInfo w15:providerId="AD" w15:userId="S-1-5-21-3214158073-3399791029-1922794930-4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56CEA"/>
    <w:rsid w:val="001F7E1B"/>
    <w:rsid w:val="002C2C7B"/>
    <w:rsid w:val="003470DF"/>
    <w:rsid w:val="00375688"/>
    <w:rsid w:val="003C66F3"/>
    <w:rsid w:val="003F1EE8"/>
    <w:rsid w:val="00441BD2"/>
    <w:rsid w:val="004C21E2"/>
    <w:rsid w:val="00631C80"/>
    <w:rsid w:val="006C5685"/>
    <w:rsid w:val="007D5E9B"/>
    <w:rsid w:val="00844039"/>
    <w:rsid w:val="00987877"/>
    <w:rsid w:val="00A1023C"/>
    <w:rsid w:val="00A57903"/>
    <w:rsid w:val="00A6491F"/>
    <w:rsid w:val="00AB4E4D"/>
    <w:rsid w:val="00AE1098"/>
    <w:rsid w:val="00C30E9B"/>
    <w:rsid w:val="00D568F9"/>
    <w:rsid w:val="00D57C90"/>
    <w:rsid w:val="00DF1DA6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Ranu Aggarwal</cp:lastModifiedBy>
  <cp:revision>23</cp:revision>
  <dcterms:created xsi:type="dcterms:W3CDTF">2018-08-06T11:26:00Z</dcterms:created>
  <dcterms:modified xsi:type="dcterms:W3CDTF">2018-08-27T10:46:00Z</dcterms:modified>
</cp:coreProperties>
</file>