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9185" w14:textId="77777777" w:rsidR="002817BE" w:rsidRPr="00286BCA" w:rsidRDefault="00773866" w:rsidP="0028002C">
      <w:pPr>
        <w:pStyle w:val="Quote"/>
        <w:rPr>
          <w:rFonts w:asciiTheme="minorHAnsi" w:hAnsiTheme="minorHAnsi"/>
          <w:b/>
          <w:i w:val="0"/>
          <w:sz w:val="20"/>
          <w:szCs w:val="20"/>
        </w:rPr>
      </w:pPr>
      <w:r w:rsidRPr="00286BCA">
        <w:rPr>
          <w:rFonts w:asciiTheme="minorHAnsi" w:hAnsiTheme="minorHAnsi"/>
          <w:b/>
          <w:i w:val="0"/>
          <w:sz w:val="20"/>
          <w:szCs w:val="20"/>
        </w:rPr>
        <w:t>Learning Objectives</w:t>
      </w:r>
    </w:p>
    <w:p w14:paraId="6492A4A8" w14:textId="77777777" w:rsidR="00D47F34" w:rsidRPr="00286BCA" w:rsidRDefault="002817BE" w:rsidP="0028002C">
      <w:pPr>
        <w:pStyle w:val="Quote"/>
        <w:numPr>
          <w:ilvl w:val="0"/>
          <w:numId w:val="5"/>
        </w:numPr>
        <w:rPr>
          <w:rFonts w:asciiTheme="minorHAnsi" w:hAnsiTheme="minorHAnsi"/>
          <w:sz w:val="20"/>
          <w:szCs w:val="22"/>
        </w:rPr>
      </w:pPr>
      <w:r w:rsidRPr="00286BCA">
        <w:rPr>
          <w:rFonts w:asciiTheme="minorHAnsi" w:hAnsiTheme="minorHAnsi"/>
          <w:sz w:val="20"/>
          <w:szCs w:val="22"/>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0"/>
      <w:r w:rsidRPr="00F71CCF">
        <w:rPr>
          <w:rFonts w:ascii="Chalkboard" w:hAnsi="Chalkboard" w:cs="Arial"/>
          <w:color w:val="C0504D" w:themeColor="accent2"/>
          <w:sz w:val="20"/>
          <w:szCs w:val="20"/>
        </w:rPr>
        <w:t>Take</w:t>
      </w:r>
      <w:commentRangeEnd w:id="0"/>
      <w:r w:rsidR="00F71CCF">
        <w:rPr>
          <w:rStyle w:val="CommentReference"/>
          <w:rFonts w:ascii="Times New Roman" w:eastAsia="Times New Roman" w:hAnsi="Times New Roman" w:cs="Times New Roman"/>
        </w:rPr>
        <w:commentReference w:id="0"/>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EndPr/>
        <w:sdtContent/>
      </w:sdt>
      <w:sdt>
        <w:sdtPr>
          <w:rPr>
            <w:rFonts w:ascii="Chalkboard" w:hAnsi="Chalkboard" w:cs="Arial"/>
            <w:color w:val="C0504D" w:themeColor="accent2"/>
            <w:sz w:val="20"/>
            <w:szCs w:val="20"/>
          </w:rPr>
          <w:tag w:val="goog_rdk_204"/>
          <w:id w:val="-375231779"/>
        </w:sdtPr>
        <w:sdtEnd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EndPr/>
        <w:sdtContent/>
      </w:sdt>
      <w:sdt>
        <w:sdtPr>
          <w:rPr>
            <w:rFonts w:ascii="Chalkboard" w:hAnsi="Chalkboard" w:cs="Arial"/>
            <w:color w:val="C0504D" w:themeColor="accent2"/>
            <w:sz w:val="20"/>
            <w:szCs w:val="20"/>
          </w:rPr>
          <w:tag w:val="goog_rdk_204"/>
          <w:id w:val="1870412680"/>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EndPr/>
        <w:sdtContent/>
      </w:sdt>
      <w:sdt>
        <w:sdtPr>
          <w:rPr>
            <w:rFonts w:ascii="Chalkboard" w:hAnsi="Chalkboard" w:cs="Arial"/>
            <w:color w:val="C0504D" w:themeColor="accent2"/>
            <w:sz w:val="20"/>
            <w:szCs w:val="20"/>
          </w:rPr>
          <w:tag w:val="goog_rdk_204"/>
          <w:id w:val="-36820827"/>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EndPr/>
        <w:sdtContent/>
      </w:sdt>
      <w:sdt>
        <w:sdtPr>
          <w:rPr>
            <w:rFonts w:ascii="Chalkboard" w:hAnsi="Chalkboard" w:cs="Arial"/>
            <w:color w:val="C0504D" w:themeColor="accent2"/>
            <w:sz w:val="20"/>
            <w:szCs w:val="20"/>
          </w:rPr>
          <w:tag w:val="goog_rdk_204"/>
          <w:id w:val="368034546"/>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77777777"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05B2C860" wp14:editId="36BDD162">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r w:rsidRPr="00E30502">
        <w:rPr>
          <w:rFonts w:ascii="Arial" w:hAnsi="Arial" w:cs="Arial"/>
          <w:i/>
          <w:color w:val="C0504D" w:themeColor="accent2"/>
          <w:sz w:val="20"/>
        </w:rPr>
        <w:t>pilates</w:t>
      </w:r>
      <w:proofErr w:type="spell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classes – a work out class they designed which combines cardio, strength and flexibility. People 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1"/>
      <w:r w:rsidRPr="00E30502">
        <w:rPr>
          <w:rFonts w:ascii="Arial" w:hAnsi="Arial" w:cs="Arial"/>
          <w:i/>
          <w:color w:val="C0504D" w:themeColor="accent2"/>
          <w:sz w:val="20"/>
        </w:rPr>
        <w:t>class</w:t>
      </w:r>
      <w:commentRangeEnd w:id="1"/>
      <w:r w:rsidR="00110FC0" w:rsidRPr="00E30502">
        <w:rPr>
          <w:rFonts w:ascii="Arial" w:hAnsi="Arial" w:cs="Arial"/>
          <w:i/>
          <w:color w:val="C0504D" w:themeColor="accent2"/>
          <w:sz w:val="20"/>
        </w:rPr>
        <w:commentReference w:id="1"/>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EndPr/>
        <w:sdtContent/>
      </w:sdt>
      <w:sdt>
        <w:sdtPr>
          <w:rPr>
            <w:rFonts w:ascii="Arial" w:hAnsi="Arial" w:cs="Arial"/>
            <w:i/>
            <w:color w:val="C0504D" w:themeColor="accent2"/>
            <w:sz w:val="20"/>
          </w:rPr>
          <w:tag w:val="goog_rdk_204"/>
          <w:id w:val="1275529791"/>
        </w:sdtPr>
        <w:sdtEnd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EndPr/>
        <w:sdtContent/>
      </w:sdt>
      <w:sdt>
        <w:sdtPr>
          <w:rPr>
            <w:rFonts w:ascii="Chalkboard" w:hAnsi="Chalkboard" w:cs="Arial"/>
            <w:color w:val="C0504D" w:themeColor="accent2"/>
            <w:sz w:val="20"/>
            <w:szCs w:val="20"/>
          </w:rPr>
          <w:tag w:val="goog_rdk_204"/>
          <w:id w:val="-213811475"/>
        </w:sdtPr>
        <w:sdtEnd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2"/>
      <w:r w:rsidRPr="00422CD2">
        <w:t>Did you Know?</w:t>
      </w:r>
    </w:p>
    <w:p w14:paraId="67503FE5" w14:textId="477A5D0B"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2"/>
      <w:r w:rsidR="00131EA0">
        <w:t>”</w:t>
      </w:r>
      <w:r>
        <w:rPr>
          <w:rStyle w:val="CommentReference"/>
          <w:rFonts w:ascii="Times New Roman" w:eastAsia="Times New Roman" w:hAnsi="Times New Roman" w:cs="Times New Roman"/>
          <w:i w:val="0"/>
          <w:iCs w:val="0"/>
          <w:color w:val="auto"/>
        </w:rPr>
        <w:commentReference w:id="2"/>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EndPr/>
        <w:sdtContent/>
      </w:sdt>
      <w:sdt>
        <w:sdtPr>
          <w:rPr>
            <w:rFonts w:ascii="Chalkboard" w:hAnsi="Chalkboard" w:cs="Arial"/>
            <w:color w:val="C0504D" w:themeColor="accent2"/>
            <w:sz w:val="20"/>
            <w:szCs w:val="20"/>
          </w:rPr>
          <w:tag w:val="goog_rdk_204"/>
          <w:id w:val="-1559391952"/>
        </w:sdtPr>
        <w:sdtEnd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EndPr/>
        <w:sdtContent/>
      </w:sdt>
      <w:sdt>
        <w:sdtPr>
          <w:rPr>
            <w:rFonts w:ascii="Chalkboard" w:hAnsi="Chalkboard" w:cs="Arial"/>
            <w:i/>
            <w:color w:val="C0504D" w:themeColor="accent2"/>
            <w:sz w:val="20"/>
            <w:szCs w:val="20"/>
          </w:rPr>
          <w:tag w:val="goog_rdk_154"/>
          <w:id w:val="-325432356"/>
        </w:sdtPr>
        <w:sdtEnd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DFB46C"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46E0C094" w14:textId="77777777" w:rsidR="00A01701" w:rsidRPr="00463629" w:rsidRDefault="00A01701" w:rsidP="00A01701">
      <w:r>
        <w:t>&lt;ignore&gt;</w:t>
      </w:r>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442FF31D" w14:textId="77777777" w:rsidR="00794FEF" w:rsidRDefault="00794FEF" w:rsidP="00C60AC1">
      <w:bookmarkStart w:id="3" w:name="_GoBack"/>
      <w:bookmarkEnd w:id="3"/>
    </w:p>
    <w:p w14:paraId="31F1AE55" w14:textId="77777777" w:rsidR="00A01701" w:rsidRPr="002D4B0E" w:rsidRDefault="00A01701" w:rsidP="00A01701">
      <w:pPr>
        <w:rPr>
          <w:rFonts w:ascii="Arial" w:hAnsi="Arial" w:cs="Arial"/>
          <w:sz w:val="20"/>
        </w:rPr>
      </w:pPr>
      <w:r>
        <w:rPr>
          <w:rFonts w:ascii="Arial" w:hAnsi="Arial" w:cs="Arial"/>
          <w:sz w:val="20"/>
        </w:rPr>
        <w:t>&lt;/ignore&gt;</w:t>
      </w:r>
    </w:p>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1"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2" w:author="Jasneet Kaur" w:date="2019-05-01T12:53:00Z" w:initials="JK">
    <w:p w14:paraId="0F83016B" w14:textId="77777777" w:rsidR="00F71CCF" w:rsidRDefault="00F71CC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halkboard">
    <w:altName w:val="Calibri"/>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10FC0"/>
    <w:rsid w:val="00131EA0"/>
    <w:rsid w:val="001772FE"/>
    <w:rsid w:val="00177A7F"/>
    <w:rsid w:val="001B069B"/>
    <w:rsid w:val="001D59EA"/>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E08C"/>
  <w14:defaultImageDpi w14:val="300"/>
  <w15:docId w15:val="{E10399A5-9415-4F6A-A832-15FC45F0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54</cp:revision>
  <dcterms:created xsi:type="dcterms:W3CDTF">2019-04-24T16:59:00Z</dcterms:created>
  <dcterms:modified xsi:type="dcterms:W3CDTF">2019-05-23T11:57:00Z</dcterms:modified>
</cp:coreProperties>
</file>