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77777777" w:rsidR="00E209C6" w:rsidRPr="00E209C6" w:rsidRDefault="00E209C6" w:rsidP="00E209C6">
      <w:pPr>
        <w:rPr>
          <w:rFonts w:ascii="Arial" w:hAnsi="Arial" w:cs="Arial"/>
          <w:sz w:val="20"/>
        </w:rPr>
      </w:pPr>
      <w:r w:rsidRPr="00E209C6">
        <w:rPr>
          <w:rFonts w:ascii="Arial" w:hAnsi="Arial" w:cs="Arial"/>
          <w:sz w:val="20"/>
        </w:rPr>
        <w:t>Accounts are classified as of one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069C7314" w14:textId="0F796782" w:rsidR="00E209C6" w:rsidRPr="007F0DFE" w:rsidRDefault="00E209C6" w:rsidP="007F0DFE">
      <w:pPr>
        <w:rPr>
          <w:rFonts w:ascii="Arial" w:hAnsi="Arial" w:cs="Arial"/>
          <w:sz w:val="20"/>
        </w:rPr>
      </w:pPr>
      <w:r w:rsidRPr="00E209C6">
        <w:rPr>
          <w:rFonts w:ascii="Arial" w:hAnsi="Arial" w:cs="Arial"/>
          <w:sz w:val="20"/>
        </w:rPr>
        <w:t>Revenue and expenses are temporary accounts.  Assets, liabilities and stockholders’ equity are permanent accounts</w:t>
      </w: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FF5FCAD" w:rsidR="00E209C6" w:rsidRPr="00E209C6" w:rsidRDefault="00E209C6" w:rsidP="00E209C6">
      <w:pPr>
        <w:rPr>
          <w:rFonts w:ascii="Arial" w:hAnsi="Arial" w:cs="Arial"/>
          <w:sz w:val="20"/>
        </w:rPr>
      </w:pPr>
      <w:bookmarkStart w:id="0" w:name="_GoBack"/>
      <w:r w:rsidRPr="00E209C6">
        <w:rPr>
          <w:rFonts w:ascii="Arial" w:hAnsi="Arial" w:cs="Arial"/>
          <w:b/>
          <w:bCs/>
          <w:noProof/>
          <w:sz w:val="20"/>
        </w:rPr>
        <w:drawing>
          <wp:inline distT="0" distB="0" distL="0" distR="0" wp14:anchorId="39F8F2DE" wp14:editId="09943843">
            <wp:extent cx="5646978" cy="1281430"/>
            <wp:effectExtent l="0" t="0" r="0" b="0"/>
            <wp:docPr id="11" name="Picture 11" descr="leo-leo-demo1-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bookmarkEnd w:id="0"/>
    </w:p>
    <w:p w14:paraId="01AA075D" w14:textId="77777777" w:rsidR="00E209C6" w:rsidRPr="00E209C6" w:rsidRDefault="00E209C6" w:rsidP="00E209C6">
      <w:pPr>
        <w:rPr>
          <w:rFonts w:ascii="Arial" w:hAnsi="Arial" w:cs="Arial"/>
          <w:sz w:val="20"/>
        </w:rPr>
      </w:pPr>
    </w:p>
    <w:p w14:paraId="37736C98" w14:textId="77777777" w:rsidR="00E209C6" w:rsidRPr="00E209C6" w:rsidRDefault="00E209C6" w:rsidP="00C60AC1">
      <w:pPr>
        <w:rPr>
          <w:rFonts w:ascii="Arial" w:hAnsi="Arial" w:cs="Arial"/>
          <w:sz w:val="20"/>
        </w:rPr>
      </w:pPr>
    </w:p>
    <w:sectPr w:rsidR="00E209C6" w:rsidRPr="00E209C6"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095C84"/>
    <w:rsid w:val="00110FC0"/>
    <w:rsid w:val="00131EA0"/>
    <w:rsid w:val="001772FE"/>
    <w:rsid w:val="00196A12"/>
    <w:rsid w:val="001B069B"/>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7F0DFE"/>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0450D"/>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CB55DF98-36FA-482F-B109-73AE786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7</cp:revision>
  <dcterms:created xsi:type="dcterms:W3CDTF">2019-05-15T08:24:00Z</dcterms:created>
  <dcterms:modified xsi:type="dcterms:W3CDTF">2019-06-11T06:21:00Z</dcterms:modified>
</cp:coreProperties>
</file>