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33A2A" w14:textId="4ADB299A" w:rsidR="00F13015" w:rsidRDefault="00F13015" w:rsidP="00BE68E8">
      <w:pPr>
        <w:pStyle w:val="Heading5"/>
        <w:jc w:val="center"/>
      </w:pPr>
    </w:p>
    <w:p w14:paraId="3DC146DB"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The accounting equation grid discussed in Section 1.4 displays the transactions in an easy-to-read format in terms of the accounts impacted and the related amounts. However, this layout becomes a bit cumbersome when a large number of transactions are involved. The accounting process is streamlined by instead using two record keeping processes for </w:t>
      </w:r>
      <w:proofErr w:type="spellStart"/>
      <w:r w:rsidRPr="0070685B">
        <w:rPr>
          <w:rFonts w:ascii="Arial" w:eastAsia="Times New Roman" w:hAnsi="Arial" w:cs="Arial"/>
          <w:color w:val="000000"/>
          <w:sz w:val="20"/>
          <w:szCs w:val="20"/>
          <w:lang w:val="en-IN" w:eastAsia="en-GB"/>
        </w:rPr>
        <w:t>analyzing</w:t>
      </w:r>
      <w:proofErr w:type="spellEnd"/>
      <w:r w:rsidRPr="0070685B">
        <w:rPr>
          <w:rFonts w:ascii="Arial" w:eastAsia="Times New Roman" w:hAnsi="Arial" w:cs="Arial"/>
          <w:color w:val="000000"/>
          <w:sz w:val="20"/>
          <w:szCs w:val="20"/>
          <w:lang w:val="en-IN" w:eastAsia="en-GB"/>
        </w:rPr>
        <w:t xml:space="preserve">, classifying and recording transactions. These are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xml:space="preserve"> and the </w:t>
      </w:r>
      <w:r w:rsidRPr="0070685B">
        <w:rPr>
          <w:rFonts w:ascii="Arial" w:eastAsia="Times New Roman" w:hAnsi="Arial" w:cs="Arial"/>
          <w:b/>
          <w:bCs/>
          <w:color w:val="000000"/>
          <w:sz w:val="20"/>
          <w:szCs w:val="20"/>
          <w:lang w:val="en-IN" w:eastAsia="en-GB"/>
        </w:rPr>
        <w:t>ledger</w:t>
      </w:r>
      <w:r w:rsidRPr="0070685B">
        <w:rPr>
          <w:rFonts w:ascii="Arial" w:eastAsia="Times New Roman" w:hAnsi="Arial" w:cs="Arial"/>
          <w:color w:val="000000"/>
          <w:sz w:val="20"/>
          <w:szCs w:val="20"/>
          <w:lang w:val="en-IN" w:eastAsia="en-GB"/>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Financial transactions are written down throughout the accounting period as they happen in a record book called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125003AF" w14:textId="3380CADA" w:rsidR="0070685B" w:rsidRDefault="0070685B" w:rsidP="0070685B">
      <w:pPr>
        <w:rPr>
          <w:rFonts w:ascii="Arial" w:eastAsia="Times New Roman" w:hAnsi="Arial" w:cs="Arial"/>
          <w:color w:val="000000"/>
          <w:sz w:val="20"/>
          <w:szCs w:val="20"/>
          <w:lang w:val="en-IN" w:eastAsia="en-GB"/>
        </w:rPr>
      </w:pPr>
      <w:r w:rsidRPr="0070685B">
        <w:rPr>
          <w:rFonts w:ascii="Arial" w:eastAsia="Times New Roman" w:hAnsi="Arial" w:cs="Arial"/>
          <w:color w:val="000000"/>
          <w:sz w:val="20"/>
          <w:szCs w:val="20"/>
          <w:lang w:val="en-IN" w:eastAsia="en-GB"/>
        </w:rPr>
        <w:t>This is a sample of a few rows in a journal. It has four columns:</w:t>
      </w:r>
      <w:r w:rsidRPr="0070685B">
        <w:rPr>
          <w:rFonts w:ascii="Arial" w:eastAsia="Times New Roman" w:hAnsi="Arial" w:cs="Arial"/>
          <w:i/>
          <w:iCs/>
          <w:color w:val="000000"/>
          <w:sz w:val="20"/>
          <w:szCs w:val="20"/>
          <w:lang w:val="en-IN" w:eastAsia="en-GB"/>
        </w:rPr>
        <w:t>  Date, Account, Debit, Credit.</w:t>
      </w:r>
      <w:r w:rsidRPr="0070685B">
        <w:rPr>
          <w:rFonts w:ascii="Arial" w:eastAsia="Times New Roman" w:hAnsi="Arial" w:cs="Arial"/>
          <w:color w:val="000000"/>
          <w:sz w:val="20"/>
          <w:szCs w:val="20"/>
          <w:lang w:val="en-IN" w:eastAsia="en-GB"/>
        </w:rPr>
        <w:t> </w:t>
      </w:r>
    </w:p>
    <w:p w14:paraId="6EF2DD84" w14:textId="77777777" w:rsidR="0070685B" w:rsidRPr="0070685B" w:rsidRDefault="0070685B" w:rsidP="0070685B">
      <w:pPr>
        <w:rPr>
          <w:rFonts w:ascii="Times New Roman" w:eastAsia="Times New Roman" w:hAnsi="Times New Roman" w:cs="Times New Roman"/>
          <w:lang w:val="en-IN" w:eastAsia="en-GB"/>
        </w:rPr>
      </w:pPr>
    </w:p>
    <w:p w14:paraId="1CA1D56E" w14:textId="6083835F" w:rsidR="001E6E49" w:rsidRPr="001E6E49" w:rsidRDefault="0083382C" w:rsidP="001E6E49">
      <w:pPr>
        <w:rPr>
          <w:rFonts w:ascii="Arial" w:eastAsia="Times New Roman" w:hAnsi="Arial" w:cs="Arial"/>
          <w:color w:val="000000"/>
          <w:sz w:val="20"/>
          <w:szCs w:val="20"/>
          <w:lang w:val="en-IN" w:eastAsia="en-GB"/>
        </w:rPr>
      </w:pPr>
      <w:r>
        <w:rPr>
          <w:noProof/>
        </w:rPr>
        <w:drawing>
          <wp:inline distT="0" distB="0" distL="0" distR="0" wp14:anchorId="64F87947" wp14:editId="2D87E7D7">
            <wp:extent cx="4138833" cy="2282190"/>
            <wp:effectExtent l="0" t="0" r="0" b="3810"/>
            <wp:docPr id="1" name="Picture 1" descr="2.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672" cy="2305261"/>
                    </a:xfrm>
                    <a:prstGeom prst="rect">
                      <a:avLst/>
                    </a:prstGeom>
                    <a:noFill/>
                    <a:ln>
                      <a:noFill/>
                    </a:ln>
                  </pic:spPr>
                </pic:pic>
              </a:graphicData>
            </a:graphic>
          </wp:inline>
        </w:drawing>
      </w:r>
      <w:r w:rsidR="0070685B" w:rsidRPr="0070685B">
        <w:rPr>
          <w:rFonts w:ascii="Times New Roman" w:eastAsia="Times New Roman" w:hAnsi="Times New Roman" w:cs="Times New Roman"/>
          <w:lang w:val="en-IN" w:eastAsia="en-GB"/>
        </w:rPr>
        <w:br/>
      </w:r>
      <w:r w:rsidR="001E6E49" w:rsidRPr="001E6E49">
        <w:rPr>
          <w:rFonts w:ascii="Arial" w:eastAsia="Times New Roman" w:hAnsi="Arial" w:cs="Arial"/>
          <w:color w:val="000000"/>
          <w:sz w:val="20"/>
          <w:szCs w:val="20"/>
          <w:highlight w:val="yellow"/>
          <w:lang w:val="en-IN" w:eastAsia="en-GB"/>
        </w:rPr>
        <w:t>[</w:t>
      </w:r>
      <w:r w:rsidR="001F571A" w:rsidRPr="001E6E49">
        <w:rPr>
          <w:rFonts w:ascii="Arial" w:eastAsia="Times New Roman" w:hAnsi="Arial" w:cs="Arial"/>
          <w:color w:val="000000"/>
          <w:sz w:val="20"/>
          <w:szCs w:val="20"/>
          <w:highlight w:val="yellow"/>
          <w:lang w:val="en-IN" w:eastAsia="en-GB"/>
        </w:rPr>
        <w:t>Notes Box</w:t>
      </w:r>
      <w:r w:rsidR="001E6E49" w:rsidRPr="001E6E49">
        <w:rPr>
          <w:rFonts w:ascii="Arial" w:eastAsia="Times New Roman" w:hAnsi="Arial" w:cs="Arial"/>
          <w:color w:val="000000"/>
          <w:sz w:val="20"/>
          <w:szCs w:val="20"/>
          <w:highlight w:val="yellow"/>
          <w:lang w:val="en-IN" w:eastAsia="en-GB"/>
        </w:rPr>
        <w:t>]</w:t>
      </w:r>
    </w:p>
    <w:p w14:paraId="5C5CB831" w14:textId="6B2F9CDE" w:rsidR="001E6E49" w:rsidRPr="001E6E49" w:rsidRDefault="001E6E49" w:rsidP="001E6E49">
      <w:pPr>
        <w:rPr>
          <w:rFonts w:ascii="Arial" w:eastAsia="Times New Roman" w:hAnsi="Arial" w:cs="Arial"/>
          <w:i/>
          <w:iCs/>
          <w:color w:val="000000"/>
          <w:sz w:val="20"/>
          <w:szCs w:val="20"/>
        </w:rPr>
      </w:pPr>
      <w:r w:rsidRPr="001E6E49">
        <w:rPr>
          <w:i/>
          <w:iCs/>
        </w:rPr>
        <w:t>“</w:t>
      </w:r>
      <w:r w:rsidRPr="001E6E49">
        <w:rPr>
          <w:rFonts w:ascii="Arial" w:eastAsia="Times New Roman" w:hAnsi="Arial" w:cs="Arial"/>
          <w:i/>
          <w:iCs/>
          <w:color w:val="000000"/>
          <w:sz w:val="20"/>
          <w:szCs w:val="20"/>
          <w:lang w:val="en-IN" w:eastAsia="en-GB"/>
        </w:rPr>
        <w:t xml:space="preserve">In the journal, the column heading </w:t>
      </w:r>
      <w:r w:rsidRPr="001E6E49">
        <w:rPr>
          <w:rFonts w:ascii="Arial" w:eastAsia="Times New Roman" w:hAnsi="Arial" w:cs="Arial"/>
          <w:b/>
          <w:bCs/>
          <w:i/>
          <w:iCs/>
          <w:color w:val="000000"/>
          <w:sz w:val="20"/>
          <w:szCs w:val="20"/>
          <w:lang w:val="en-IN" w:eastAsia="en-GB"/>
        </w:rPr>
        <w:t>Debit</w:t>
      </w:r>
      <w:r w:rsidRPr="001E6E49">
        <w:rPr>
          <w:rFonts w:ascii="Arial" w:eastAsia="Times New Roman" w:hAnsi="Arial" w:cs="Arial"/>
          <w:i/>
          <w:iCs/>
          <w:color w:val="000000"/>
          <w:sz w:val="20"/>
          <w:szCs w:val="20"/>
          <w:lang w:val="en-IN" w:eastAsia="en-GB"/>
        </w:rPr>
        <w:t xml:space="preserve"> means “left” and </w:t>
      </w:r>
      <w:r w:rsidRPr="001E6E49">
        <w:rPr>
          <w:rFonts w:ascii="Arial" w:eastAsia="Times New Roman" w:hAnsi="Arial" w:cs="Arial"/>
          <w:b/>
          <w:bCs/>
          <w:i/>
          <w:iCs/>
          <w:color w:val="000000"/>
          <w:sz w:val="20"/>
          <w:szCs w:val="20"/>
          <w:lang w:val="en-IN" w:eastAsia="en-GB"/>
        </w:rPr>
        <w:t>Credit</w:t>
      </w:r>
      <w:r w:rsidRPr="001E6E49">
        <w:rPr>
          <w:rFonts w:ascii="Arial" w:eastAsia="Times New Roman" w:hAnsi="Arial" w:cs="Arial"/>
          <w:i/>
          <w:iCs/>
          <w:color w:val="000000"/>
          <w:sz w:val="20"/>
          <w:szCs w:val="20"/>
          <w:lang w:val="en-IN" w:eastAsia="en-GB"/>
        </w:rPr>
        <w:t xml:space="preserve"> means “right” in terms of the column where an account’s dollar amount should be entered.” </w:t>
      </w:r>
    </w:p>
    <w:p w14:paraId="560805E4" w14:textId="6C1326A2" w:rsidR="00D85886" w:rsidRDefault="00D85886" w:rsidP="00C60AC1"/>
    <w:p w14:paraId="0BF11F18" w14:textId="3C42889A" w:rsidR="0070685B" w:rsidRDefault="0070685B" w:rsidP="00C60AC1"/>
    <w:p w14:paraId="64169911" w14:textId="2E6B3547" w:rsidR="00320819" w:rsidRDefault="00320819" w:rsidP="00320819">
      <w:pPr>
        <w:pStyle w:val="Heading2"/>
        <w:rPr>
          <w:rFonts w:ascii="Arial" w:hAnsi="Arial" w:cs="Arial"/>
        </w:rPr>
      </w:pPr>
      <w:r>
        <w:rPr>
          <w:rFonts w:ascii="Arial" w:hAnsi="Arial" w:cs="Arial"/>
        </w:rPr>
        <w:t>Rules of Debit and Credit</w:t>
      </w:r>
    </w:p>
    <w:p w14:paraId="61E7A89A" w14:textId="0F3C048C" w:rsidR="00320819" w:rsidRDefault="00320819" w:rsidP="00320819"/>
    <w:p w14:paraId="492BA073"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20"/>
          <w:szCs w:val="20"/>
          <w:lang w:val="en-IN" w:eastAsia="en-GB"/>
        </w:rPr>
        <w:t>Whether an account’s amount should be entered in the debit column or the credit column is based on (1) the type of account it is and (2) whether the account is increasing or decreasing. The following table summarizes the rules of debit and credit for commonly used accounts.</w:t>
      </w:r>
    </w:p>
    <w:p w14:paraId="29B74461" w14:textId="77777777" w:rsidR="00320819" w:rsidRPr="00320819" w:rsidRDefault="00320819" w:rsidP="00320819">
      <w:pPr>
        <w:rPr>
          <w:rFonts w:ascii="Times New Roman" w:eastAsia="Times New Roman" w:hAnsi="Times New Roman" w:cs="Times New Roman"/>
          <w:lang w:val="en-IN" w:eastAsia="en-GB"/>
        </w:rPr>
      </w:pPr>
    </w:p>
    <w:p w14:paraId="76C70697" w14:textId="3A606B9B" w:rsidR="00320819" w:rsidRPr="00320819" w:rsidRDefault="00320819" w:rsidP="00320819">
      <w:pPr>
        <w:rPr>
          <w:rFonts w:ascii="Times New Roman" w:eastAsia="Times New Roman" w:hAnsi="Times New Roman" w:cs="Times New Roman"/>
          <w:lang w:val="en-IN" w:eastAsia="en-GB"/>
        </w:rPr>
      </w:pPr>
      <w:r w:rsidRPr="00320819">
        <w:rPr>
          <w:rFonts w:ascii="Times New Roman" w:eastAsia="Times New Roman" w:hAnsi="Times New Roman" w:cs="Times New Roman"/>
          <w:color w:val="000000"/>
          <w:bdr w:val="none" w:sz="0" w:space="0" w:color="auto" w:frame="1"/>
          <w:lang w:val="en-IN" w:eastAsia="en-GB"/>
        </w:rPr>
        <w:fldChar w:fldCharType="begin"/>
      </w:r>
      <w:r w:rsidRPr="00320819">
        <w:rPr>
          <w:rFonts w:ascii="Times New Roman" w:eastAsia="Times New Roman" w:hAnsi="Times New Roman" w:cs="Times New Roman"/>
          <w:color w:val="000000"/>
          <w:bdr w:val="none" w:sz="0" w:space="0" w:color="auto" w:frame="1"/>
          <w:lang w:val="en-IN" w:eastAsia="en-GB"/>
        </w:rPr>
        <w:instrText xml:space="preserve"> INCLUDEPICTURE "https://lh3.googleusercontent.com/Cikhc67IImPKTJMUSvvbZH0O3Ja5g7Q246WoD_9T_4YEDp49b8aGARlV25lG8C790CAD2x9dDkRaAvG806v1bba0XQGp2xz00rigMy-H-t6hSPYnubCw2QI4NoB_bzknFtMiIEZUb1pKKHXHmQ" \* MERGEFORMATINET </w:instrText>
      </w:r>
      <w:r w:rsidRPr="00320819">
        <w:rPr>
          <w:rFonts w:ascii="Times New Roman" w:eastAsia="Times New Roman" w:hAnsi="Times New Roman" w:cs="Times New Roman"/>
          <w:color w:val="000000"/>
          <w:bdr w:val="none" w:sz="0" w:space="0" w:color="auto" w:frame="1"/>
          <w:lang w:val="en-IN" w:eastAsia="en-GB"/>
        </w:rPr>
        <w:fldChar w:fldCharType="separate"/>
      </w:r>
      <w:r w:rsidRPr="00320819">
        <w:rPr>
          <w:rFonts w:ascii="Times New Roman" w:eastAsia="Times New Roman" w:hAnsi="Times New Roman" w:cs="Times New Roman"/>
          <w:noProof/>
          <w:color w:val="000000"/>
          <w:bdr w:val="none" w:sz="0" w:space="0" w:color="auto" w:frame="1"/>
        </w:rPr>
        <w:drawing>
          <wp:inline distT="0" distB="0" distL="0" distR="0" wp14:anchorId="6026BCF3" wp14:editId="18BDA104">
            <wp:extent cx="4033520" cy="20601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039" cy="2067590"/>
                    </a:xfrm>
                    <a:prstGeom prst="rect">
                      <a:avLst/>
                    </a:prstGeom>
                    <a:noFill/>
                    <a:ln>
                      <a:noFill/>
                    </a:ln>
                  </pic:spPr>
                </pic:pic>
              </a:graphicData>
            </a:graphic>
          </wp:inline>
        </w:drawing>
      </w:r>
      <w:r w:rsidRPr="00320819">
        <w:rPr>
          <w:rFonts w:ascii="Times New Roman" w:eastAsia="Times New Roman" w:hAnsi="Times New Roman" w:cs="Times New Roman"/>
          <w:color w:val="000000"/>
          <w:bdr w:val="none" w:sz="0" w:space="0" w:color="auto" w:frame="1"/>
          <w:lang w:val="en-IN" w:eastAsia="en-GB"/>
        </w:rPr>
        <w:fldChar w:fldCharType="end"/>
      </w:r>
    </w:p>
    <w:p w14:paraId="4C54C864" w14:textId="77777777" w:rsidR="00320819" w:rsidRPr="00320819" w:rsidRDefault="00320819" w:rsidP="00320819">
      <w:pPr>
        <w:rPr>
          <w:rFonts w:ascii="Times New Roman" w:eastAsia="Times New Roman" w:hAnsi="Times New Roman" w:cs="Times New Roman"/>
          <w:lang w:val="en-IN" w:eastAsia="en-GB"/>
        </w:rPr>
      </w:pPr>
    </w:p>
    <w:p w14:paraId="5205221F" w14:textId="654FD0DE" w:rsidR="00320819" w:rsidRDefault="00320819" w:rsidP="00320819">
      <w:pPr>
        <w:spacing w:after="240"/>
        <w:rPr>
          <w:rFonts w:ascii="Times New Roman" w:eastAsia="Times New Roman" w:hAnsi="Times New Roman" w:cs="Times New Roman"/>
          <w:lang w:val="en-IN" w:eastAsia="en-GB"/>
        </w:rPr>
      </w:pPr>
      <w:r w:rsidRPr="00320819">
        <w:rPr>
          <w:rFonts w:ascii="Times New Roman" w:eastAsia="Times New Roman" w:hAnsi="Times New Roman" w:cs="Times New Roman"/>
          <w:lang w:val="en-IN" w:eastAsia="en-GB"/>
        </w:rPr>
        <w:br/>
      </w:r>
    </w:p>
    <w:p w14:paraId="420CC378" w14:textId="77777777" w:rsidR="00320819" w:rsidRPr="00320819" w:rsidRDefault="00320819" w:rsidP="00320819">
      <w:pPr>
        <w:spacing w:after="240"/>
        <w:rPr>
          <w:rFonts w:ascii="Times New Roman" w:eastAsia="Times New Roman" w:hAnsi="Times New Roman" w:cs="Times New Roman"/>
          <w:lang w:val="en-IN" w:eastAsia="en-GB"/>
        </w:rPr>
      </w:pPr>
    </w:p>
    <w:p w14:paraId="0C873838" w14:textId="77777777" w:rsidR="00320819" w:rsidRPr="00320819" w:rsidRDefault="00320819" w:rsidP="00320819"/>
    <w:p w14:paraId="5F7F4E37" w14:textId="7D6A6DF6" w:rsidR="0070685B" w:rsidRDefault="0070685B" w:rsidP="00C60AC1"/>
    <w:p w14:paraId="4BE2A767" w14:textId="2122ECE5" w:rsidR="00320819" w:rsidRDefault="00062041" w:rsidP="00C60AC1">
      <w:r>
        <w:rPr>
          <w:noProof/>
        </w:rPr>
        <w:drawing>
          <wp:inline distT="0" distB="0" distL="0" distR="0" wp14:anchorId="53E6DD97" wp14:editId="0E0008CF">
            <wp:extent cx="5301833" cy="4947313"/>
            <wp:effectExtent l="0" t="0" r="0" b="5715"/>
            <wp:docPr id="3" name="Picture 3" descr="2.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814" cy="4951028"/>
                    </a:xfrm>
                    <a:prstGeom prst="rect">
                      <a:avLst/>
                    </a:prstGeom>
                    <a:noFill/>
                    <a:ln>
                      <a:noFill/>
                    </a:ln>
                  </pic:spPr>
                </pic:pic>
              </a:graphicData>
            </a:graphic>
          </wp:inline>
        </w:drawing>
      </w:r>
    </w:p>
    <w:p w14:paraId="71B4EB55" w14:textId="77777777" w:rsidR="00320819" w:rsidRPr="00320819" w:rsidRDefault="00320819"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599C13A5" w:rsidR="00320819" w:rsidRDefault="00320819" w:rsidP="00320819">
      <w:pPr>
        <w:rPr>
          <w:rFonts w:ascii="Arial" w:eastAsia="Times New Roman" w:hAnsi="Arial" w:cs="Arial"/>
          <w:color w:val="000000" w:themeColor="text1"/>
          <w:sz w:val="20"/>
          <w:szCs w:val="20"/>
          <w:lang w:val="en-IN" w:eastAsia="en-GB"/>
        </w:rPr>
      </w:pPr>
      <w:r w:rsidRPr="004E0F9D">
        <w:rPr>
          <w:rStyle w:val="Heading3Char"/>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 account listed, select its corresponding account type and whether it</w:t>
      </w:r>
      <w:r w:rsidR="003A72E0"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would increase with either a debit or a credit.</w:t>
      </w:r>
    </w:p>
    <w:p w14:paraId="53AA77DB" w14:textId="4DC5015F" w:rsidR="00AA397E" w:rsidRDefault="00AA397E" w:rsidP="00320819">
      <w:pPr>
        <w:rPr>
          <w:rFonts w:ascii="Times New Roman" w:eastAsia="Times New Roman" w:hAnsi="Times New Roman" w:cs="Times New Roman"/>
          <w:color w:val="000000" w:themeColor="text1"/>
          <w:lang w:val="en-IN" w:eastAsia="en-GB"/>
        </w:rPr>
      </w:pPr>
    </w:p>
    <w:p w14:paraId="19D27A2C" w14:textId="46D5DA59" w:rsidR="00AA397E" w:rsidRPr="003A72E0" w:rsidRDefault="00AA397E" w:rsidP="00320819">
      <w:pPr>
        <w:rPr>
          <w:rFonts w:ascii="Times New Roman" w:eastAsia="Times New Roman" w:hAnsi="Times New Roman" w:cs="Times New Roman"/>
          <w:color w:val="000000" w:themeColor="text1"/>
          <w:lang w:val="en-IN" w:eastAsia="en-GB"/>
        </w:rPr>
      </w:pPr>
      <w:bookmarkStart w:id="0" w:name="_GoBack"/>
      <w:r>
        <w:rPr>
          <w:noProof/>
        </w:rPr>
        <w:lastRenderedPageBreak/>
        <w:drawing>
          <wp:inline distT="0" distB="0" distL="0" distR="0" wp14:anchorId="152652E3" wp14:editId="5EAC9B60">
            <wp:extent cx="5270500" cy="2418080"/>
            <wp:effectExtent l="0" t="0" r="6350" b="1270"/>
            <wp:docPr id="4" name="Picture 4" descr="2.1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418080"/>
                    </a:xfrm>
                    <a:prstGeom prst="rect">
                      <a:avLst/>
                    </a:prstGeom>
                  </pic:spPr>
                </pic:pic>
              </a:graphicData>
            </a:graphic>
          </wp:inline>
        </w:drawing>
      </w:r>
      <w:bookmarkEnd w:id="0"/>
    </w:p>
    <w:p w14:paraId="067796CF" w14:textId="77777777" w:rsidR="00320819" w:rsidRPr="00320819" w:rsidRDefault="00320819" w:rsidP="00320819">
      <w:pPr>
        <w:spacing w:after="240"/>
        <w:rPr>
          <w:rFonts w:ascii="Times New Roman" w:eastAsia="Times New Roman" w:hAnsi="Times New Roman" w:cs="Times New Roman"/>
          <w:lang w:val="en-IN" w:eastAsia="en-GB"/>
        </w:rPr>
      </w:pPr>
    </w:p>
    <w:p w14:paraId="1D42644A" w14:textId="29F6F8D5" w:rsidR="00320819" w:rsidRDefault="00320819" w:rsidP="00320819">
      <w:pPr>
        <w:spacing w:after="240"/>
        <w:rPr>
          <w:rFonts w:ascii="Times New Roman" w:eastAsia="Times New Roman" w:hAnsi="Times New Roman" w:cs="Times New Roman"/>
          <w:lang w:val="en-IN" w:eastAsia="en-GB"/>
        </w:rPr>
      </w:pPr>
    </w:p>
    <w:sectPr w:rsidR="00320819"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3"/>
  </w:num>
  <w:num w:numId="3">
    <w:abstractNumId w:val="11"/>
  </w:num>
  <w:num w:numId="4">
    <w:abstractNumId w:val="8"/>
  </w:num>
  <w:num w:numId="5">
    <w:abstractNumId w:val="7"/>
  </w:num>
  <w:num w:numId="6">
    <w:abstractNumId w:val="10"/>
  </w:num>
  <w:num w:numId="7">
    <w:abstractNumId w:val="6"/>
  </w:num>
  <w:num w:numId="8">
    <w:abstractNumId w:val="9"/>
  </w:num>
  <w:num w:numId="9">
    <w:abstractNumId w:val="12"/>
  </w:num>
  <w:num w:numId="10">
    <w:abstractNumId w:val="4"/>
  </w:num>
  <w:num w:numId="11">
    <w:abstractNumId w:val="5"/>
  </w:num>
  <w:num w:numId="12">
    <w:abstractNumId w:val="2"/>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478E1"/>
    <w:rsid w:val="00062041"/>
    <w:rsid w:val="0006247B"/>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D59EA"/>
    <w:rsid w:val="001D5FB0"/>
    <w:rsid w:val="001E626E"/>
    <w:rsid w:val="001E6E49"/>
    <w:rsid w:val="001F571A"/>
    <w:rsid w:val="00220DC7"/>
    <w:rsid w:val="00231E83"/>
    <w:rsid w:val="002438D7"/>
    <w:rsid w:val="0025620E"/>
    <w:rsid w:val="002731FE"/>
    <w:rsid w:val="0028002C"/>
    <w:rsid w:val="002817BE"/>
    <w:rsid w:val="00286BCA"/>
    <w:rsid w:val="002872E9"/>
    <w:rsid w:val="002B30AC"/>
    <w:rsid w:val="002C7580"/>
    <w:rsid w:val="00320819"/>
    <w:rsid w:val="00351204"/>
    <w:rsid w:val="00351F42"/>
    <w:rsid w:val="00361767"/>
    <w:rsid w:val="003A1A5A"/>
    <w:rsid w:val="003A72E0"/>
    <w:rsid w:val="003B7C45"/>
    <w:rsid w:val="003D25E6"/>
    <w:rsid w:val="003D2DC4"/>
    <w:rsid w:val="003D3F6F"/>
    <w:rsid w:val="003F2EC7"/>
    <w:rsid w:val="00422CD2"/>
    <w:rsid w:val="004572B2"/>
    <w:rsid w:val="0046039D"/>
    <w:rsid w:val="00475698"/>
    <w:rsid w:val="00494DC4"/>
    <w:rsid w:val="004A1015"/>
    <w:rsid w:val="004A16E1"/>
    <w:rsid w:val="004A717E"/>
    <w:rsid w:val="004C33A7"/>
    <w:rsid w:val="004D2EF0"/>
    <w:rsid w:val="004D3F45"/>
    <w:rsid w:val="004E0F9D"/>
    <w:rsid w:val="004F435A"/>
    <w:rsid w:val="004F71CB"/>
    <w:rsid w:val="0055700A"/>
    <w:rsid w:val="005740B9"/>
    <w:rsid w:val="005C4C3A"/>
    <w:rsid w:val="005D3855"/>
    <w:rsid w:val="005E232C"/>
    <w:rsid w:val="005E741D"/>
    <w:rsid w:val="005F15E5"/>
    <w:rsid w:val="005F17E6"/>
    <w:rsid w:val="00614410"/>
    <w:rsid w:val="006474C7"/>
    <w:rsid w:val="00677FDC"/>
    <w:rsid w:val="00684B43"/>
    <w:rsid w:val="00692505"/>
    <w:rsid w:val="00694862"/>
    <w:rsid w:val="006F02B9"/>
    <w:rsid w:val="006F13DD"/>
    <w:rsid w:val="006F7CE3"/>
    <w:rsid w:val="0070685B"/>
    <w:rsid w:val="00707659"/>
    <w:rsid w:val="00723CBA"/>
    <w:rsid w:val="00773866"/>
    <w:rsid w:val="007763FF"/>
    <w:rsid w:val="007814FC"/>
    <w:rsid w:val="00794FEF"/>
    <w:rsid w:val="007A3187"/>
    <w:rsid w:val="007A7ADB"/>
    <w:rsid w:val="007B546D"/>
    <w:rsid w:val="007D13D1"/>
    <w:rsid w:val="007E43D5"/>
    <w:rsid w:val="007E5B5E"/>
    <w:rsid w:val="0080273E"/>
    <w:rsid w:val="008053BD"/>
    <w:rsid w:val="00813CB8"/>
    <w:rsid w:val="0083382C"/>
    <w:rsid w:val="008545EB"/>
    <w:rsid w:val="0086691A"/>
    <w:rsid w:val="0088271E"/>
    <w:rsid w:val="00897475"/>
    <w:rsid w:val="008A4D60"/>
    <w:rsid w:val="008A5363"/>
    <w:rsid w:val="008B3A99"/>
    <w:rsid w:val="008D474C"/>
    <w:rsid w:val="008D6BEE"/>
    <w:rsid w:val="00901617"/>
    <w:rsid w:val="00931E8D"/>
    <w:rsid w:val="00962867"/>
    <w:rsid w:val="00980EC8"/>
    <w:rsid w:val="009F51BB"/>
    <w:rsid w:val="00A01701"/>
    <w:rsid w:val="00A14331"/>
    <w:rsid w:val="00A155D7"/>
    <w:rsid w:val="00A424BF"/>
    <w:rsid w:val="00A43C40"/>
    <w:rsid w:val="00A659D3"/>
    <w:rsid w:val="00AA397E"/>
    <w:rsid w:val="00AC29CD"/>
    <w:rsid w:val="00AC792C"/>
    <w:rsid w:val="00B223B6"/>
    <w:rsid w:val="00B36B1D"/>
    <w:rsid w:val="00B619E8"/>
    <w:rsid w:val="00B82CFB"/>
    <w:rsid w:val="00B92B27"/>
    <w:rsid w:val="00BA7C77"/>
    <w:rsid w:val="00BB3815"/>
    <w:rsid w:val="00BC4875"/>
    <w:rsid w:val="00BE5383"/>
    <w:rsid w:val="00BE68E8"/>
    <w:rsid w:val="00C1606F"/>
    <w:rsid w:val="00C161DD"/>
    <w:rsid w:val="00C40E77"/>
    <w:rsid w:val="00C4364D"/>
    <w:rsid w:val="00C60AC1"/>
    <w:rsid w:val="00C7646D"/>
    <w:rsid w:val="00C86142"/>
    <w:rsid w:val="00C95A5A"/>
    <w:rsid w:val="00C96D8C"/>
    <w:rsid w:val="00CD7696"/>
    <w:rsid w:val="00CE3364"/>
    <w:rsid w:val="00D120BE"/>
    <w:rsid w:val="00D206DF"/>
    <w:rsid w:val="00D47F34"/>
    <w:rsid w:val="00D8574C"/>
    <w:rsid w:val="00D85886"/>
    <w:rsid w:val="00D87E27"/>
    <w:rsid w:val="00D923BF"/>
    <w:rsid w:val="00DA706C"/>
    <w:rsid w:val="00DA7487"/>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371">
      <w:bodyDiv w:val="1"/>
      <w:marLeft w:val="0"/>
      <w:marRight w:val="0"/>
      <w:marTop w:val="0"/>
      <w:marBottom w:val="0"/>
      <w:divBdr>
        <w:top w:val="none" w:sz="0" w:space="0" w:color="auto"/>
        <w:left w:val="none" w:sz="0" w:space="0" w:color="auto"/>
        <w:bottom w:val="none" w:sz="0" w:space="0" w:color="auto"/>
        <w:right w:val="none" w:sz="0" w:space="0" w:color="auto"/>
      </w:divBdr>
    </w:div>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46610-B963-4E09-86A0-E0589CBD0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19</cp:revision>
  <dcterms:created xsi:type="dcterms:W3CDTF">2019-10-10T08:16:00Z</dcterms:created>
  <dcterms:modified xsi:type="dcterms:W3CDTF">2019-11-04T10:40:00Z</dcterms:modified>
</cp:coreProperties>
</file>