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bookmarkStart w:id="0" w:name="_GoBack"/>
    </w:p>
    <w:bookmarkEnd w:id="0"/>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tblGrid>
      <w:tr w:rsidR="0070685B" w:rsidRPr="0070685B" w14:paraId="6F75B7E0" w14:textId="77777777" w:rsidTr="0070685B">
        <w:trPr>
          <w:jc w:val="center"/>
        </w:trPr>
        <w:tc>
          <w:tcPr>
            <w:tcW w:w="0" w:type="auto"/>
            <w:gridSpan w:val="5"/>
            <w:tcMar>
              <w:top w:w="90" w:type="dxa"/>
              <w:left w:w="115" w:type="dxa"/>
              <w:bottom w:w="90" w:type="dxa"/>
              <w:right w:w="115" w:type="dxa"/>
            </w:tcMar>
            <w:vAlign w:val="bottom"/>
            <w:hideMark/>
          </w:tcPr>
          <w:p w14:paraId="22AA045A"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778210AE" w14:textId="77777777" w:rsidTr="0070685B">
        <w:trPr>
          <w:trHeight w:val="220"/>
          <w:jc w:val="center"/>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21BFBA6"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691B8BD" w14:textId="77777777" w:rsidR="0070685B" w:rsidRPr="0070685B" w:rsidRDefault="0070685B" w:rsidP="0070685B">
            <w:pPr>
              <w:jc w:val="cente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F6915A9"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70B68E"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8184E57"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Credit</w:t>
            </w:r>
          </w:p>
        </w:tc>
      </w:tr>
      <w:tr w:rsidR="0070685B" w:rsidRPr="0070685B" w14:paraId="579A9F17"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C6E27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E9CD04"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6ABC44"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C53DD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E14ED8"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62BE40B5"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D6216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CC4368"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42E89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E0B8D8"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204330"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3ED70BFC"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C54967"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9DD29B"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A54427"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234365A"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15FEA7"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04FA9423"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F388AE"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CF55A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15A45C"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4F3C3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C58E8E" w14:textId="77777777" w:rsidR="0070685B" w:rsidRPr="0070685B" w:rsidRDefault="0070685B" w:rsidP="0070685B">
            <w:pPr>
              <w:rPr>
                <w:rFonts w:ascii="Times New Roman" w:eastAsia="Times New Roman" w:hAnsi="Times New Roman" w:cs="Times New Roman"/>
                <w:lang w:val="en-IN" w:eastAsia="en-GB"/>
              </w:rPr>
            </w:pPr>
          </w:p>
        </w:tc>
      </w:tr>
    </w:tbl>
    <w:p w14:paraId="1CA1D56E" w14:textId="6C1C2A57" w:rsidR="001E6E49" w:rsidRPr="001E6E49" w:rsidRDefault="0070685B" w:rsidP="001E6E49">
      <w:pPr>
        <w:rPr>
          <w:rFonts w:ascii="Arial" w:eastAsia="Times New Roman" w:hAnsi="Arial" w:cs="Arial"/>
          <w:color w:val="000000"/>
          <w:sz w:val="20"/>
          <w:szCs w:val="20"/>
          <w:lang w:val="en-IN" w:eastAsia="en-GB"/>
        </w:rPr>
      </w:pPr>
      <w:r w:rsidRPr="0070685B">
        <w:rPr>
          <w:rFonts w:ascii="Times New Roman" w:eastAsia="Times New Roman" w:hAnsi="Times New Roman" w:cs="Times New Roman"/>
          <w:lang w:val="en-IN" w:eastAsia="en-GB"/>
        </w:rPr>
        <w:br/>
      </w:r>
      <w:r w:rsidR="001E6E49" w:rsidRPr="001E6E49">
        <w:rPr>
          <w:rFonts w:ascii="Arial" w:eastAsia="Times New Roman" w:hAnsi="Arial" w:cs="Arial"/>
          <w:color w:val="000000"/>
          <w:sz w:val="20"/>
          <w:szCs w:val="20"/>
          <w:highlight w:val="yellow"/>
          <w:lang w:val="en-IN" w:eastAsia="en-GB"/>
        </w:rPr>
        <w:t>[</w:t>
      </w:r>
      <w:r w:rsidR="001F571A" w:rsidRPr="001E6E49">
        <w:rPr>
          <w:rFonts w:ascii="Arial" w:eastAsia="Times New Roman" w:hAnsi="Arial" w:cs="Arial"/>
          <w:color w:val="000000"/>
          <w:sz w:val="20"/>
          <w:szCs w:val="20"/>
          <w:highlight w:val="yellow"/>
          <w:lang w:val="en-IN" w:eastAsia="en-GB"/>
        </w:rPr>
        <w:t>Notes Box</w:t>
      </w:r>
      <w:r w:rsidR="001E6E49" w:rsidRPr="001E6E49">
        <w:rPr>
          <w:rFonts w:ascii="Arial" w:eastAsia="Times New Roman" w:hAnsi="Arial" w:cs="Arial"/>
          <w:color w:val="000000"/>
          <w:sz w:val="20"/>
          <w:szCs w:val="20"/>
          <w:highlight w:val="yellow"/>
          <w:lang w:val="en-IN" w:eastAsia="en-GB"/>
        </w:rPr>
        <w:t>]</w:t>
      </w:r>
    </w:p>
    <w:p w14:paraId="5C5CB831" w14:textId="6B2F9CDE" w:rsidR="001E6E49" w:rsidRPr="001E6E49" w:rsidRDefault="001E6E49" w:rsidP="001E6E49">
      <w:pPr>
        <w:rPr>
          <w:rFonts w:ascii="Arial" w:eastAsia="Times New Roman" w:hAnsi="Arial" w:cs="Arial"/>
          <w:i/>
          <w:iCs/>
          <w:color w:val="000000"/>
          <w:sz w:val="20"/>
          <w:szCs w:val="20"/>
        </w:rPr>
      </w:pPr>
      <w:r w:rsidRPr="001E6E49">
        <w:rPr>
          <w:i/>
          <w:iCs/>
        </w:rPr>
        <w:t>“</w:t>
      </w:r>
      <w:r w:rsidRPr="001E6E49">
        <w:rPr>
          <w:rFonts w:ascii="Arial" w:eastAsia="Times New Roman" w:hAnsi="Arial" w:cs="Arial"/>
          <w:i/>
          <w:iCs/>
          <w:color w:val="000000"/>
          <w:sz w:val="20"/>
          <w:szCs w:val="20"/>
          <w:lang w:val="en-IN" w:eastAsia="en-GB"/>
        </w:rPr>
        <w:t xml:space="preserve">In the journal, the column heading </w:t>
      </w:r>
      <w:r w:rsidRPr="001E6E49">
        <w:rPr>
          <w:rFonts w:ascii="Arial" w:eastAsia="Times New Roman" w:hAnsi="Arial" w:cs="Arial"/>
          <w:b/>
          <w:bCs/>
          <w:i/>
          <w:iCs/>
          <w:color w:val="000000"/>
          <w:sz w:val="20"/>
          <w:szCs w:val="20"/>
          <w:lang w:val="en-IN" w:eastAsia="en-GB"/>
        </w:rPr>
        <w:t>Debit</w:t>
      </w:r>
      <w:r w:rsidRPr="001E6E49">
        <w:rPr>
          <w:rFonts w:ascii="Arial" w:eastAsia="Times New Roman" w:hAnsi="Arial" w:cs="Arial"/>
          <w:i/>
          <w:iCs/>
          <w:color w:val="000000"/>
          <w:sz w:val="20"/>
          <w:szCs w:val="20"/>
          <w:lang w:val="en-IN" w:eastAsia="en-GB"/>
        </w:rPr>
        <w:t xml:space="preserve"> means “left” and </w:t>
      </w:r>
      <w:r w:rsidRPr="001E6E49">
        <w:rPr>
          <w:rFonts w:ascii="Arial" w:eastAsia="Times New Roman" w:hAnsi="Arial" w:cs="Arial"/>
          <w:b/>
          <w:bCs/>
          <w:i/>
          <w:iCs/>
          <w:color w:val="000000"/>
          <w:sz w:val="20"/>
          <w:szCs w:val="20"/>
          <w:lang w:val="en-IN" w:eastAsia="en-GB"/>
        </w:rPr>
        <w:t>Credit</w:t>
      </w:r>
      <w:r w:rsidRPr="001E6E49">
        <w:rPr>
          <w:rFonts w:ascii="Arial" w:eastAsia="Times New Roman" w:hAnsi="Arial" w:cs="Arial"/>
          <w:i/>
          <w:iCs/>
          <w:color w:val="000000"/>
          <w:sz w:val="20"/>
          <w:szCs w:val="20"/>
          <w:lang w:val="en-IN" w:eastAsia="en-GB"/>
        </w:rPr>
        <w:t xml:space="preserve"> means “right” in terms of the column where an account’s dollar amount should be entered.</w:t>
      </w:r>
      <w:r w:rsidRPr="001E6E49">
        <w:rPr>
          <w:rFonts w:ascii="Arial" w:eastAsia="Times New Roman" w:hAnsi="Arial" w:cs="Arial"/>
          <w:i/>
          <w:iCs/>
          <w:color w:val="000000"/>
          <w:sz w:val="20"/>
          <w:szCs w:val="20"/>
          <w:lang w:val="en-IN" w:eastAsia="en-GB"/>
        </w:rPr>
        <w:t>”</w:t>
      </w:r>
      <w:r w:rsidRPr="001E6E49">
        <w:rPr>
          <w:rFonts w:ascii="Arial" w:eastAsia="Times New Roman" w:hAnsi="Arial" w:cs="Arial"/>
          <w:i/>
          <w:iCs/>
          <w:color w:val="000000"/>
          <w:sz w:val="20"/>
          <w:szCs w:val="20"/>
          <w:lang w:val="en-IN" w:eastAsia="en-GB"/>
        </w:rPr>
        <w:t xml:space="preserve"> </w:t>
      </w:r>
    </w:p>
    <w:p w14:paraId="560805E4" w14:textId="6C1326A2"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r w:rsidRPr="00320819">
        <w:rPr>
          <w:rFonts w:ascii="Times New Roman" w:eastAsia="Times New Roman" w:hAnsi="Times New Roman" w:cs="Times New Roman"/>
          <w:lang w:val="en-IN" w:eastAsia="en-GB"/>
        </w:rPr>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p w14:paraId="0C873838" w14:textId="77777777" w:rsidR="00320819" w:rsidRPr="00320819" w:rsidRDefault="00320819" w:rsidP="00320819"/>
    <w:tbl>
      <w:tblPr>
        <w:tblW w:w="8071" w:type="dxa"/>
        <w:jc w:val="center"/>
        <w:tblCellMar>
          <w:top w:w="15" w:type="dxa"/>
          <w:left w:w="15" w:type="dxa"/>
          <w:bottom w:w="15" w:type="dxa"/>
          <w:right w:w="15" w:type="dxa"/>
        </w:tblCellMar>
        <w:tblLook w:val="04A0" w:firstRow="1" w:lastRow="0" w:firstColumn="1" w:lastColumn="0" w:noHBand="0" w:noVBand="1"/>
      </w:tblPr>
      <w:tblGrid>
        <w:gridCol w:w="2769"/>
        <w:gridCol w:w="3399"/>
        <w:gridCol w:w="962"/>
        <w:gridCol w:w="941"/>
      </w:tblGrid>
      <w:tr w:rsidR="00D206DF" w:rsidRPr="00320819" w14:paraId="469BA9C0" w14:textId="77777777" w:rsidTr="00D206DF">
        <w:trPr>
          <w:trHeight w:val="15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6FCAB382" w14:textId="77777777" w:rsidR="00D206DF" w:rsidRPr="00320819" w:rsidRDefault="00D206DF" w:rsidP="001C470B">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lastRenderedPageBreak/>
              <w:t xml:space="preserve">ACCOUNT </w:t>
            </w:r>
            <w:r w:rsidRPr="00320819">
              <w:rPr>
                <w:rFonts w:ascii="Arial" w:eastAsia="Times New Roman" w:hAnsi="Arial" w:cs="Arial"/>
                <w:color w:val="000000"/>
                <w:sz w:val="18"/>
                <w:szCs w:val="18"/>
                <w:lang w:val="en-IN" w:eastAsia="en-GB"/>
              </w:rPr>
              <w:b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4E55856D" w14:textId="77777777" w:rsidR="00D206DF" w:rsidRPr="00320819" w:rsidRDefault="00D206DF" w:rsidP="001C470B">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41EC8289" w14:textId="3E7BA125" w:rsidR="00D206DF" w:rsidRPr="00320819" w:rsidRDefault="00D206DF" w:rsidP="001C470B">
            <w:pPr>
              <w:jc w:val="center"/>
              <w:rPr>
                <w:rFonts w:ascii="Times New Roman" w:eastAsia="Times New Roman" w:hAnsi="Times New Roman" w:cs="Times New Roman"/>
                <w:lang w:val="en-IN" w:eastAsia="en-GB"/>
              </w:rPr>
            </w:pPr>
            <w:r>
              <w:rPr>
                <w:rFonts w:ascii="Arial" w:eastAsia="Times New Roman" w:hAnsi="Arial" w:cs="Arial"/>
                <w:color w:val="000000"/>
                <w:sz w:val="16"/>
                <w:szCs w:val="16"/>
                <w:lang w:val="en-IN" w:eastAsia="en-GB"/>
              </w:rPr>
              <w:t>DEBIT</w:t>
            </w:r>
          </w:p>
        </w:tc>
        <w:tc>
          <w:tcPr>
            <w:tcW w:w="941" w:type="dxa"/>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295896BD" w14:textId="16999483" w:rsidR="00D206DF" w:rsidRPr="00320819" w:rsidRDefault="00D206DF" w:rsidP="001C470B">
            <w:pPr>
              <w:jc w:val="center"/>
              <w:rPr>
                <w:rFonts w:ascii="Times New Roman" w:eastAsia="Times New Roman" w:hAnsi="Times New Roman" w:cs="Times New Roman"/>
                <w:lang w:val="en-IN" w:eastAsia="en-GB"/>
              </w:rPr>
            </w:pPr>
            <w:r>
              <w:rPr>
                <w:rFonts w:ascii="Arial" w:eastAsia="Times New Roman" w:hAnsi="Arial" w:cs="Arial"/>
                <w:color w:val="000000"/>
                <w:sz w:val="16"/>
                <w:szCs w:val="16"/>
                <w:lang w:val="en-IN" w:eastAsia="en-GB"/>
              </w:rPr>
              <w:t>CREDIT</w:t>
            </w:r>
          </w:p>
        </w:tc>
      </w:tr>
      <w:tr w:rsidR="00D206DF" w:rsidRPr="00320819" w14:paraId="1BB03071"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CCC0377" w14:textId="77777777" w:rsidR="00D206DF" w:rsidRPr="00320819" w:rsidRDefault="00D206DF" w:rsidP="001C470B">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9ADC878" w14:textId="77777777" w:rsidR="00D206DF" w:rsidRPr="00320819" w:rsidRDefault="00D206DF" w:rsidP="001C470B">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Cash</w:t>
            </w:r>
            <w:r w:rsidRPr="00320819">
              <w:rPr>
                <w:rFonts w:ascii="Arial" w:eastAsia="Times New Roman" w:hAnsi="Arial" w:cs="Arial"/>
                <w:color w:val="000000"/>
                <w:sz w:val="18"/>
                <w:szCs w:val="18"/>
                <w:lang w:val="en-IN" w:eastAsia="en-GB"/>
              </w:rPr>
              <w:br/>
              <w:t xml:space="preserve">Accounts Receivable </w:t>
            </w:r>
            <w:r w:rsidRPr="00320819">
              <w:rPr>
                <w:rFonts w:ascii="Arial" w:eastAsia="Times New Roman" w:hAnsi="Arial" w:cs="Arial"/>
                <w:color w:val="000000"/>
                <w:sz w:val="18"/>
                <w:szCs w:val="18"/>
                <w:lang w:val="en-IN" w:eastAsia="en-GB"/>
              </w:rPr>
              <w:br/>
              <w:t>Equipment</w:t>
            </w:r>
            <w:r w:rsidRPr="00320819">
              <w:rPr>
                <w:rFonts w:ascii="Arial" w:eastAsia="Times New Roman" w:hAnsi="Arial" w:cs="Arial"/>
                <w:color w:val="000000"/>
                <w:sz w:val="18"/>
                <w:szCs w:val="18"/>
                <w:lang w:val="en-IN" w:eastAsia="en-GB"/>
              </w:rPr>
              <w:br/>
              <w:t>Building</w:t>
            </w:r>
            <w:r w:rsidRPr="00320819">
              <w:rPr>
                <w:rFonts w:ascii="Arial" w:eastAsia="Times New Roman" w:hAnsi="Arial" w:cs="Arial"/>
                <w:color w:val="000000"/>
                <w:sz w:val="18"/>
                <w:szCs w:val="18"/>
                <w:lang w:val="en-IN" w:eastAsia="en-GB"/>
              </w:rPr>
              <w:br/>
              <w:t>Land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AF06E13" w14:textId="50F28479" w:rsidR="00D206DF" w:rsidRPr="00D206DF" w:rsidRDefault="00D206DF" w:rsidP="001C470B">
            <w:pPr>
              <w:jc w:val="center"/>
              <w:rPr>
                <w:rFonts w:ascii="Symbol" w:eastAsia="Times New Roman" w:hAnsi="Symbol" w:cs="Times New Roman"/>
                <w:lang w:val="en-IN" w:eastAsia="en-GB"/>
              </w:rPr>
            </w:pPr>
            <w:r>
              <w:rPr>
                <w:rFonts w:ascii="Symbol" w:eastAsia="Times New Roman" w:hAnsi="Symbol" w:cs="Times New Roman"/>
                <w:lang w:val="en-IN" w:eastAsia="en-GB"/>
              </w:rPr>
              <w:sym w:font="Symbol" w:char="F0AD"/>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4BB9782" w14:textId="1EE7D6D7" w:rsidR="00D206DF" w:rsidRPr="00320819" w:rsidRDefault="00D206DF" w:rsidP="001C470B">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r>
      <w:tr w:rsidR="00D206DF" w:rsidRPr="00320819" w14:paraId="49551F26"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13F2D33" w14:textId="77777777" w:rsidR="00D206DF" w:rsidRPr="00320819" w:rsidRDefault="00D206DF" w:rsidP="001C470B">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Contra 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FB5E8AC" w14:textId="77777777" w:rsidR="00D206DF" w:rsidRPr="00320819" w:rsidRDefault="00D206DF" w:rsidP="001C470B">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Accumulated Depreciation</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0AC04F3" w14:textId="504061BE" w:rsidR="00D206DF" w:rsidRPr="00320819" w:rsidRDefault="00D206DF" w:rsidP="001C470B">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246987F" w14:textId="00DDE40B" w:rsidR="00D206DF" w:rsidRPr="00320819" w:rsidRDefault="00D206DF" w:rsidP="001C470B">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D"/>
            </w:r>
          </w:p>
        </w:tc>
      </w:tr>
      <w:tr w:rsidR="00D206DF" w:rsidRPr="00320819" w14:paraId="5BD55973"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198C008"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Liability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C0BDAD5"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r w:rsidRPr="00320819">
              <w:rPr>
                <w:rFonts w:ascii="Arial" w:eastAsia="Times New Roman" w:hAnsi="Arial" w:cs="Arial"/>
                <w:color w:val="000000"/>
                <w:sz w:val="18"/>
                <w:szCs w:val="18"/>
                <w:lang w:val="en-IN" w:eastAsia="en-GB"/>
              </w:rPr>
              <w:br/>
              <w:t>Note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DD6F4BF" w14:textId="58DEC015"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A781549" w14:textId="4B7E43FB"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D"/>
            </w:r>
          </w:p>
        </w:tc>
      </w:tr>
      <w:tr w:rsidR="00D206DF" w:rsidRPr="00320819" w14:paraId="27984935"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2D57901"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Stockholders’ Equity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28FE83D"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Common Stock </w:t>
            </w:r>
          </w:p>
          <w:p w14:paraId="15CD53F0"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119E7B2" w14:textId="1DAAC2BE"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9DA5268" w14:textId="34A377BA"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D"/>
            </w:r>
          </w:p>
        </w:tc>
      </w:tr>
      <w:tr w:rsidR="00D206DF" w:rsidRPr="00320819" w14:paraId="21E33C34"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83D4B00"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Revenue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2730330"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14E0728" w14:textId="2B3406D0"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753E48" w14:textId="4D78921F"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D"/>
            </w:r>
          </w:p>
        </w:tc>
      </w:tr>
      <w:tr w:rsidR="00D206DF" w:rsidRPr="00320819" w14:paraId="4812F4F2" w14:textId="77777777" w:rsidTr="00D206DF">
        <w:trPr>
          <w:trHeight w:val="417"/>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5896E09"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44F0C43" w14:textId="77777777" w:rsidR="00D206DF" w:rsidRPr="00320819" w:rsidRDefault="00D206DF" w:rsidP="00D206DF">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Wages Expense</w:t>
            </w:r>
            <w:r w:rsidRPr="00320819">
              <w:rPr>
                <w:rFonts w:ascii="Arial" w:eastAsia="Times New Roman" w:hAnsi="Arial" w:cs="Arial"/>
                <w:color w:val="000000"/>
                <w:sz w:val="18"/>
                <w:szCs w:val="18"/>
                <w:lang w:val="en-IN" w:eastAsia="en-GB"/>
              </w:rPr>
              <w:br/>
              <w:t>Rent Expense</w:t>
            </w:r>
            <w:r w:rsidRPr="00320819">
              <w:rPr>
                <w:rFonts w:ascii="Arial" w:eastAsia="Times New Roman" w:hAnsi="Arial" w:cs="Arial"/>
                <w:color w:val="000000"/>
                <w:sz w:val="18"/>
                <w:szCs w:val="18"/>
                <w:lang w:val="en-IN" w:eastAsia="en-GB"/>
              </w:rPr>
              <w:br/>
              <w:t>Utilities Expense</w:t>
            </w:r>
            <w:r w:rsidRPr="00320819">
              <w:rPr>
                <w:rFonts w:ascii="Arial" w:eastAsia="Times New Roman" w:hAnsi="Arial" w:cs="Arial"/>
                <w:color w:val="000000"/>
                <w:sz w:val="18"/>
                <w:szCs w:val="18"/>
                <w:lang w:val="en-IN" w:eastAsia="en-GB"/>
              </w:rPr>
              <w:br/>
              <w:t xml:space="preserve">Supplies Expense </w:t>
            </w:r>
            <w:r w:rsidRPr="00320819">
              <w:rPr>
                <w:rFonts w:ascii="Arial" w:eastAsia="Times New Roman" w:hAnsi="Arial" w:cs="Arial"/>
                <w:color w:val="000000"/>
                <w:sz w:val="18"/>
                <w:szCs w:val="18"/>
                <w:lang w:val="en-IN" w:eastAsia="en-GB"/>
              </w:rPr>
              <w:br/>
              <w:t>Insurance Expense</w:t>
            </w:r>
            <w:r w:rsidRPr="00320819">
              <w:rPr>
                <w:rFonts w:ascii="Arial" w:eastAsia="Times New Roman" w:hAnsi="Arial" w:cs="Arial"/>
                <w:color w:val="000000"/>
                <w:sz w:val="18"/>
                <w:szCs w:val="18"/>
                <w:lang w:val="en-IN" w:eastAsia="en-GB"/>
              </w:rPr>
              <w:br/>
              <w:t>Advertising Expense</w:t>
            </w:r>
            <w:r w:rsidRPr="00320819">
              <w:rPr>
                <w:rFonts w:ascii="Arial" w:eastAsia="Times New Roman" w:hAnsi="Arial" w:cs="Arial"/>
                <w:color w:val="000000"/>
                <w:sz w:val="18"/>
                <w:szCs w:val="18"/>
                <w:lang w:val="en-IN" w:eastAsia="en-GB"/>
              </w:rPr>
              <w:br/>
              <w:t>Maintenance Expense</w:t>
            </w:r>
            <w:r w:rsidRPr="00320819">
              <w:rPr>
                <w:rFonts w:ascii="Arial" w:eastAsia="Times New Roman" w:hAnsi="Arial" w:cs="Arial"/>
                <w:color w:val="000000"/>
                <w:sz w:val="18"/>
                <w:szCs w:val="18"/>
                <w:lang w:val="en-IN" w:eastAsia="en-GB"/>
              </w:rPr>
              <w:br/>
              <w:t>Miscellaneous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7963AA3" w14:textId="69653D1B"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D"/>
            </w:r>
          </w:p>
        </w:tc>
        <w:tc>
          <w:tcPr>
            <w:tcW w:w="941" w:type="dxa"/>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81B3D7E" w14:textId="756215BD" w:rsidR="00D206DF" w:rsidRPr="00320819" w:rsidRDefault="00D206DF" w:rsidP="00D206DF">
            <w:pPr>
              <w:jc w:val="center"/>
              <w:rPr>
                <w:rFonts w:ascii="Times New Roman" w:eastAsia="Times New Roman" w:hAnsi="Times New Roman" w:cs="Times New Roman"/>
                <w:lang w:val="en-IN" w:eastAsia="en-GB"/>
              </w:rPr>
            </w:pPr>
            <w:r>
              <w:rPr>
                <w:rFonts w:ascii="Symbol" w:eastAsia="Times New Roman" w:hAnsi="Symbol" w:cs="Times New Roman"/>
                <w:lang w:val="en-IN" w:eastAsia="en-GB"/>
              </w:rPr>
              <w:sym w:font="Symbol" w:char="F0AF"/>
            </w:r>
          </w:p>
        </w:tc>
      </w:tr>
    </w:tbl>
    <w:p w14:paraId="5F7F4E37" w14:textId="7EB39EDE" w:rsidR="0070685B" w:rsidRDefault="0070685B" w:rsidP="00C60AC1"/>
    <w:p w14:paraId="4BE2A767" w14:textId="513D04E4" w:rsidR="00320819" w:rsidRDefault="00320819" w:rsidP="00C60AC1"/>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4F74AFA6" w:rsidR="00320819" w:rsidRPr="003A72E0" w:rsidRDefault="00320819" w:rsidP="00320819">
      <w:pPr>
        <w:rPr>
          <w:rFonts w:ascii="Times New Roman" w:eastAsia="Times New Roman" w:hAnsi="Times New Roman" w:cs="Times New Roman"/>
          <w:color w:val="000000" w:themeColor="text1"/>
          <w:lang w:val="en-IN" w:eastAsia="en-GB"/>
        </w:rPr>
      </w:pPr>
      <w:r w:rsidRPr="003A72E0">
        <w:rPr>
          <w:rFonts w:ascii="Arial" w:eastAsia="Times New Roman" w:hAnsi="Arial" w:cs="Arial"/>
          <w:b/>
          <w:bCs/>
          <w:i/>
          <w:iCs/>
          <w:color w:val="000000" w:themeColor="text1"/>
          <w:sz w:val="20"/>
          <w:szCs w:val="20"/>
          <w:lang w:val="en-IN" w:eastAsia="en-GB"/>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651"/>
        <w:gridCol w:w="1324"/>
      </w:tblGrid>
      <w:tr w:rsidR="00320819" w:rsidRPr="00320819" w14:paraId="229DE675"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E148F5"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41B8BCF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6736210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46B9DDD6"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9ED2F9"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E106456" w14:textId="39980BF1"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5E614D3"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D2442C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38025E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63AA326"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291C44B"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432E13B3"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224B0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5A4D549"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F971C85"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596E9B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9B69DC1"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DCEEC40"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64A25C0"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EA6BA3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9065A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98612E"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7D4ED76" w14:textId="77777777" w:rsidR="00320819" w:rsidRPr="00320819" w:rsidRDefault="00320819" w:rsidP="00320819">
            <w:pPr>
              <w:rPr>
                <w:rFonts w:ascii="Times New Roman" w:eastAsia="Times New Roman" w:hAnsi="Times New Roman" w:cs="Times New Roman"/>
                <w:lang w:val="en-IN" w:eastAsia="en-GB"/>
              </w:rPr>
            </w:pPr>
          </w:p>
        </w:tc>
      </w:tr>
    </w:tbl>
    <w:p w14:paraId="1D42644A" w14:textId="29F6F8D5" w:rsidR="00320819" w:rsidRDefault="00320819" w:rsidP="00320819">
      <w:pPr>
        <w:spacing w:after="240"/>
        <w:rPr>
          <w:rFonts w:ascii="Times New Roman" w:eastAsia="Times New Roman" w:hAnsi="Times New Roman" w:cs="Times New Roman"/>
          <w:lang w:val="en-IN" w:eastAsia="en-GB"/>
        </w:rPr>
      </w:pPr>
    </w:p>
    <w:p w14:paraId="02B4C03A" w14:textId="12B17DD9" w:rsidR="003A72E0" w:rsidRDefault="003A72E0" w:rsidP="003A72E0">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t xml:space="preserve">[Hint: </w:t>
      </w:r>
      <w:r w:rsidRPr="00320819">
        <w:rPr>
          <w:rFonts w:ascii="Arial" w:eastAsia="Times New Roman" w:hAnsi="Arial" w:cs="Arial"/>
          <w:color w:val="538135"/>
          <w:sz w:val="20"/>
          <w:szCs w:val="20"/>
          <w:lang w:val="en-IN" w:eastAsia="en-GB"/>
        </w:rPr>
        <w:t>Assets are items of value to a business. Liabilities are debts. Stockholders’ equity is the worth of the corporate owners in the business. Revenue represents income, and expenses are costs of generating revenue.</w:t>
      </w:r>
      <w:r w:rsidRPr="00320819">
        <w:rPr>
          <w:rFonts w:ascii="Arial" w:eastAsia="Times New Roman" w:hAnsi="Arial" w:cs="Arial"/>
          <w:i/>
          <w:iCs/>
          <w:color w:val="538135"/>
          <w:sz w:val="20"/>
          <w:szCs w:val="20"/>
          <w:lang w:val="en-IN" w:eastAsia="en-GB"/>
        </w:rPr>
        <w:t>]</w:t>
      </w:r>
    </w:p>
    <w:p w14:paraId="3E359877" w14:textId="77777777" w:rsidR="003A72E0" w:rsidRPr="00320819" w:rsidRDefault="003A72E0" w:rsidP="003A72E0">
      <w:pPr>
        <w:rPr>
          <w:rFonts w:ascii="Times New Roman" w:eastAsia="Times New Roman" w:hAnsi="Times New Roman" w:cs="Times New Roman"/>
          <w:lang w:val="en-IN" w:eastAsia="en-GB"/>
        </w:rPr>
      </w:pPr>
    </w:p>
    <w:p w14:paraId="170E26FA"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t>                                [ANSWER KEY]</w:t>
      </w:r>
    </w:p>
    <w:p w14:paraId="14FA1239" w14:textId="77777777" w:rsidR="00320819" w:rsidRPr="00320819" w:rsidRDefault="00320819" w:rsidP="00320819">
      <w:pPr>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861"/>
        <w:gridCol w:w="1324"/>
      </w:tblGrid>
      <w:tr w:rsidR="00320819" w:rsidRPr="00320819" w14:paraId="1831AE6C"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5899E089"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2247BAB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D2DB3E"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7CBAA24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4FD10FE"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lastRenderedPageBreak/>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81BD1C"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Revenue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B40B70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5C978559"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F00E5B"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63721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Stockholders’ Equity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41C4BDF"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0AE47D0F"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E39148"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4494AD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AC962E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24A3745B"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9E57F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7A10BA0"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Liability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847C6D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70F350D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DB3898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BAF919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70A192"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bl>
    <w:p w14:paraId="2CF17CF1" w14:textId="77777777" w:rsidR="00320819" w:rsidRDefault="00320819" w:rsidP="00C60AC1"/>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pt;height:11.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478E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1E6E49"/>
    <w:rsid w:val="001F571A"/>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F435A"/>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F02B9"/>
    <w:rsid w:val="006F13DD"/>
    <w:rsid w:val="0070685B"/>
    <w:rsid w:val="00707659"/>
    <w:rsid w:val="00773866"/>
    <w:rsid w:val="007763FF"/>
    <w:rsid w:val="007814FC"/>
    <w:rsid w:val="00794FEF"/>
    <w:rsid w:val="007A3187"/>
    <w:rsid w:val="007A7ADB"/>
    <w:rsid w:val="007B546D"/>
    <w:rsid w:val="007D13D1"/>
    <w:rsid w:val="007E43D5"/>
    <w:rsid w:val="007E5B5E"/>
    <w:rsid w:val="0080273E"/>
    <w:rsid w:val="008053BD"/>
    <w:rsid w:val="00813CB8"/>
    <w:rsid w:val="008545EB"/>
    <w:rsid w:val="0086691A"/>
    <w:rsid w:val="0088271E"/>
    <w:rsid w:val="00897475"/>
    <w:rsid w:val="008A4D60"/>
    <w:rsid w:val="008A5363"/>
    <w:rsid w:val="008B3A99"/>
    <w:rsid w:val="008D474C"/>
    <w:rsid w:val="008D6BEE"/>
    <w:rsid w:val="00901617"/>
    <w:rsid w:val="00931E8D"/>
    <w:rsid w:val="00962867"/>
    <w:rsid w:val="00980EC8"/>
    <w:rsid w:val="00A01701"/>
    <w:rsid w:val="00A14331"/>
    <w:rsid w:val="00A424BF"/>
    <w:rsid w:val="00A43C40"/>
    <w:rsid w:val="00A659D3"/>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6D8C"/>
    <w:rsid w:val="00CD7696"/>
    <w:rsid w:val="00CE3364"/>
    <w:rsid w:val="00D120BE"/>
    <w:rsid w:val="00D206DF"/>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7A738-3DB5-2A46-ABBC-A08978F14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9</cp:revision>
  <dcterms:created xsi:type="dcterms:W3CDTF">2019-10-10T08:16:00Z</dcterms:created>
  <dcterms:modified xsi:type="dcterms:W3CDTF">2019-10-25T07:39:00Z</dcterms:modified>
</cp:coreProperties>
</file>