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246B" w14:textId="5DB83166" w:rsidR="00AC31C4" w:rsidRPr="00243338" w:rsidRDefault="00C704A8" w:rsidP="00C704A8">
      <w:pPr>
        <w:rPr>
          <w:b/>
          <w:sz w:val="40"/>
          <w:szCs w:val="40"/>
        </w:rPr>
      </w:pPr>
      <w:r w:rsidRPr="00243338">
        <w:rPr>
          <w:b/>
          <w:sz w:val="40"/>
          <w:szCs w:val="40"/>
        </w:rPr>
        <w:t>In</w:t>
      </w:r>
      <w:r w:rsidR="00421191" w:rsidRPr="00243338">
        <w:rPr>
          <w:b/>
          <w:sz w:val="40"/>
          <w:szCs w:val="40"/>
        </w:rPr>
        <w:t>ternational Competition Analysis</w:t>
      </w:r>
    </w:p>
    <w:p w14:paraId="2994246C" w14:textId="77777777" w:rsidR="00C704A8" w:rsidRPr="00243338" w:rsidRDefault="00C704A8" w:rsidP="00AA1A00">
      <w:pPr>
        <w:pStyle w:val="Heading1"/>
      </w:pPr>
      <w:r w:rsidRPr="00243338">
        <w:t>Rationale</w:t>
      </w:r>
    </w:p>
    <w:p w14:paraId="2994246D" w14:textId="77777777" w:rsidR="005E1F6F" w:rsidRDefault="00C704A8" w:rsidP="00C704A8">
      <w:pPr>
        <w:rPr>
          <w:rFonts w:ascii="Calibri" w:hAnsi="Calibri"/>
          <w:color w:val="000000"/>
        </w:rPr>
      </w:pPr>
      <w:r w:rsidRPr="00C704A8">
        <w:rPr>
          <w:rFonts w:ascii="Calibri" w:hAnsi="Calibri"/>
          <w:color w:val="000000"/>
        </w:rPr>
        <w:t xml:space="preserve">Businesses preparing to compete in the 21st century are increasingly </w:t>
      </w:r>
      <w:r w:rsidR="00F75152">
        <w:rPr>
          <w:rFonts w:ascii="Calibri" w:hAnsi="Calibri"/>
          <w:color w:val="000000"/>
        </w:rPr>
        <w:t>tasked with</w:t>
      </w:r>
      <w:r w:rsidRPr="00C704A8">
        <w:rPr>
          <w:rFonts w:ascii="Calibri" w:hAnsi="Calibri"/>
          <w:color w:val="000000"/>
        </w:rPr>
        <w:t xml:space="preserve"> crafting strategies </w:t>
      </w:r>
      <w:r w:rsidR="005E1F6F">
        <w:rPr>
          <w:rFonts w:ascii="Calibri" w:hAnsi="Calibri"/>
          <w:color w:val="000000"/>
        </w:rPr>
        <w:t xml:space="preserve">which </w:t>
      </w:r>
      <w:r w:rsidRPr="00C704A8">
        <w:rPr>
          <w:rFonts w:ascii="Calibri" w:hAnsi="Calibri"/>
          <w:color w:val="000000"/>
        </w:rPr>
        <w:t xml:space="preserve">anticipate and respond to the rapid change in global markets. As a result, their information needs </w:t>
      </w:r>
      <w:r w:rsidR="00F75152">
        <w:rPr>
          <w:rFonts w:ascii="Calibri" w:hAnsi="Calibri"/>
          <w:color w:val="000000"/>
        </w:rPr>
        <w:t>constantly evolve to become more and more</w:t>
      </w:r>
      <w:r w:rsidRPr="00C704A8">
        <w:rPr>
          <w:rFonts w:ascii="Calibri" w:hAnsi="Calibri"/>
          <w:color w:val="000000"/>
        </w:rPr>
        <w:t xml:space="preserve"> complex and diverse</w:t>
      </w:r>
      <w:sdt>
        <w:sdtPr>
          <w:rPr>
            <w:rFonts w:ascii="Calibri" w:hAnsi="Calibri"/>
            <w:color w:val="000000"/>
          </w:rPr>
          <w:id w:val="142868621"/>
          <w:citation/>
        </w:sdtPr>
        <w:sdtContent>
          <w:r w:rsidR="002748BC">
            <w:rPr>
              <w:rFonts w:ascii="Calibri" w:hAnsi="Calibri"/>
              <w:color w:val="000000"/>
            </w:rPr>
            <w:fldChar w:fldCharType="begin"/>
          </w:r>
          <w:r w:rsidR="002748BC">
            <w:rPr>
              <w:rFonts w:ascii="Calibri" w:hAnsi="Calibri"/>
              <w:color w:val="000000"/>
            </w:rPr>
            <w:instrText xml:space="preserve">CITATION Meg \l 1033 </w:instrText>
          </w:r>
          <w:r w:rsidR="002748BC">
            <w:rPr>
              <w:rFonts w:ascii="Calibri" w:hAnsi="Calibri"/>
              <w:color w:val="000000"/>
            </w:rPr>
            <w:fldChar w:fldCharType="separate"/>
          </w:r>
          <w:r w:rsidR="002748BC">
            <w:rPr>
              <w:rFonts w:ascii="Calibri" w:hAnsi="Calibri"/>
              <w:noProof/>
              <w:color w:val="000000"/>
            </w:rPr>
            <w:t xml:space="preserve"> </w:t>
          </w:r>
          <w:r w:rsidR="002748BC" w:rsidRPr="002748BC">
            <w:rPr>
              <w:rFonts w:ascii="Calibri" w:hAnsi="Calibri"/>
              <w:noProof/>
              <w:color w:val="000000"/>
            </w:rPr>
            <w:t>(Mitchum, 2017)</w:t>
          </w:r>
          <w:r w:rsidR="002748BC">
            <w:rPr>
              <w:rFonts w:ascii="Calibri" w:hAnsi="Calibri"/>
              <w:color w:val="000000"/>
            </w:rPr>
            <w:fldChar w:fldCharType="end"/>
          </w:r>
        </w:sdtContent>
      </w:sdt>
      <w:r w:rsidRPr="00C704A8">
        <w:rPr>
          <w:rFonts w:ascii="Calibri" w:hAnsi="Calibri"/>
          <w:color w:val="000000"/>
        </w:rPr>
        <w:t xml:space="preserve">. </w:t>
      </w:r>
    </w:p>
    <w:p w14:paraId="2994246E" w14:textId="77777777" w:rsidR="005E1F6F" w:rsidRDefault="00C704A8" w:rsidP="00C704A8">
      <w:pPr>
        <w:rPr>
          <w:rFonts w:ascii="Calibri" w:hAnsi="Calibri"/>
          <w:color w:val="000000"/>
        </w:rPr>
      </w:pPr>
      <w:r w:rsidRPr="00C704A8">
        <w:rPr>
          <w:rFonts w:ascii="Calibri" w:hAnsi="Calibri"/>
          <w:color w:val="000000"/>
        </w:rPr>
        <w:t xml:space="preserve">Information needs are changing in both developed and developing countries. Established markets in industrialized countries are becoming more geographically integrated. As a result, there is a growing need to conduct research spanning </w:t>
      </w:r>
      <w:r w:rsidR="007A468B">
        <w:rPr>
          <w:rFonts w:ascii="Calibri" w:hAnsi="Calibri"/>
          <w:color w:val="000000"/>
        </w:rPr>
        <w:t>borders</w:t>
      </w:r>
      <w:r w:rsidRPr="00C704A8">
        <w:rPr>
          <w:rFonts w:ascii="Calibri" w:hAnsi="Calibri"/>
          <w:color w:val="000000"/>
        </w:rPr>
        <w:t>, in order to identify regional or global market segments, or to examine opportunitie</w:t>
      </w:r>
      <w:r>
        <w:rPr>
          <w:rFonts w:ascii="Calibri" w:hAnsi="Calibri"/>
          <w:color w:val="000000"/>
        </w:rPr>
        <w:t>s for integrating and better co</w:t>
      </w:r>
      <w:r w:rsidRPr="00C704A8">
        <w:rPr>
          <w:rFonts w:ascii="Calibri" w:hAnsi="Calibri"/>
          <w:color w:val="000000"/>
        </w:rPr>
        <w:t xml:space="preserve">ordinating strategies across national boundaries. </w:t>
      </w:r>
    </w:p>
    <w:p w14:paraId="2994246F" w14:textId="77777777" w:rsidR="005E1F6F" w:rsidRDefault="00C704A8" w:rsidP="00C704A8">
      <w:pPr>
        <w:rPr>
          <w:rFonts w:ascii="Calibri" w:hAnsi="Calibri"/>
          <w:color w:val="000000"/>
        </w:rPr>
      </w:pPr>
      <w:r w:rsidRPr="00C704A8">
        <w:rPr>
          <w:rFonts w:ascii="Calibri" w:hAnsi="Calibri"/>
          <w:color w:val="000000"/>
        </w:rPr>
        <w:t xml:space="preserve">Advances in technology both facilitate and at the same time </w:t>
      </w:r>
      <w:r w:rsidR="00C13936">
        <w:rPr>
          <w:rFonts w:ascii="Calibri" w:hAnsi="Calibri"/>
          <w:color w:val="000000"/>
        </w:rPr>
        <w:t xml:space="preserve">make </w:t>
      </w:r>
      <w:r w:rsidRPr="00C704A8">
        <w:rPr>
          <w:rFonts w:ascii="Calibri" w:hAnsi="Calibri"/>
          <w:color w:val="000000"/>
        </w:rPr>
        <w:t>the collection of data on a global basis</w:t>
      </w:r>
      <w:r w:rsidR="00C13936">
        <w:rPr>
          <w:rFonts w:ascii="Calibri" w:hAnsi="Calibri"/>
          <w:color w:val="000000"/>
        </w:rPr>
        <w:t xml:space="preserve"> more complex</w:t>
      </w:r>
      <w:sdt>
        <w:sdtPr>
          <w:rPr>
            <w:rFonts w:ascii="Calibri" w:hAnsi="Calibri"/>
            <w:color w:val="000000"/>
          </w:rPr>
          <w:id w:val="-1210805406"/>
          <w:citation/>
        </w:sdtPr>
        <w:sdtContent>
          <w:r w:rsidR="002748BC">
            <w:rPr>
              <w:rFonts w:ascii="Calibri" w:hAnsi="Calibri"/>
              <w:color w:val="000000"/>
            </w:rPr>
            <w:fldChar w:fldCharType="begin"/>
          </w:r>
          <w:r w:rsidR="002748BC">
            <w:rPr>
              <w:rFonts w:ascii="Calibri" w:hAnsi="Calibri"/>
              <w:color w:val="000000"/>
            </w:rPr>
            <w:instrText xml:space="preserve"> CITATION Jef151 \l 1033 </w:instrText>
          </w:r>
          <w:r w:rsidR="002748BC">
            <w:rPr>
              <w:rFonts w:ascii="Calibri" w:hAnsi="Calibri"/>
              <w:color w:val="000000"/>
            </w:rPr>
            <w:fldChar w:fldCharType="separate"/>
          </w:r>
          <w:r w:rsidR="002748BC">
            <w:rPr>
              <w:rFonts w:ascii="Calibri" w:hAnsi="Calibri"/>
              <w:noProof/>
              <w:color w:val="000000"/>
            </w:rPr>
            <w:t xml:space="preserve"> </w:t>
          </w:r>
          <w:r w:rsidR="002748BC" w:rsidRPr="002748BC">
            <w:rPr>
              <w:rFonts w:ascii="Calibri" w:hAnsi="Calibri"/>
              <w:noProof/>
              <w:color w:val="000000"/>
            </w:rPr>
            <w:t>(Davis, 2015)</w:t>
          </w:r>
          <w:r w:rsidR="002748BC">
            <w:rPr>
              <w:rFonts w:ascii="Calibri" w:hAnsi="Calibri"/>
              <w:color w:val="000000"/>
            </w:rPr>
            <w:fldChar w:fldCharType="end"/>
          </w:r>
        </w:sdtContent>
      </w:sdt>
      <w:r w:rsidRPr="00C704A8">
        <w:rPr>
          <w:rFonts w:ascii="Calibri" w:hAnsi="Calibri"/>
          <w:color w:val="000000"/>
        </w:rPr>
        <w:t xml:space="preserve">. The growth and increasing technological sophistication of the communication infrastructure enables data collection on a much broader and diverse geographic scale </w:t>
      </w:r>
      <w:r w:rsidR="007032BF">
        <w:rPr>
          <w:rFonts w:ascii="Calibri" w:hAnsi="Calibri"/>
          <w:color w:val="000000"/>
        </w:rPr>
        <w:t>at a rate which was</w:t>
      </w:r>
      <w:r w:rsidRPr="00C704A8">
        <w:rPr>
          <w:rFonts w:ascii="Calibri" w:hAnsi="Calibri"/>
          <w:color w:val="000000"/>
        </w:rPr>
        <w:t xml:space="preserve"> previously unthinkable. Yet, at the same time, management has to master these tools and understand their inherent limitations and implicit biases.</w:t>
      </w:r>
    </w:p>
    <w:p w14:paraId="29942470" w14:textId="77777777" w:rsidR="005E1F6F" w:rsidRPr="005E1F6F" w:rsidRDefault="005E1F6F" w:rsidP="00C704A8">
      <w:pPr>
        <w:rPr>
          <w:rFonts w:ascii="Calibri" w:hAnsi="Calibri"/>
          <w:color w:val="000000"/>
        </w:rPr>
      </w:pPr>
      <w:r w:rsidRPr="005E1F6F">
        <w:rPr>
          <w:color w:val="000000"/>
        </w:rPr>
        <w:t>Change is occurring in virtually all aspects of business and personal life. These changes are being played out at different rates in different parts of the world. Against this backdrop, marketing researchers are being challenged to conduct research that is of the highest possible quality, as quickly as possible, in multiple diverse settings. The issues marketing researchers face are multifaceted and relate to where and how research will be conducted, who the respondents will be, and the tools and techniques that will be used.</w:t>
      </w:r>
    </w:p>
    <w:p w14:paraId="29942471" w14:textId="77777777" w:rsidR="005E1F6F" w:rsidRDefault="005E1F6F" w:rsidP="00C704A8">
      <w:pPr>
        <w:rPr>
          <w:color w:val="000000"/>
        </w:rPr>
      </w:pPr>
      <w:r w:rsidRPr="005E1F6F">
        <w:rPr>
          <w:color w:val="000000"/>
        </w:rPr>
        <w:t>Marketing researchers must find creative ways to harness the new technologies to facilitate the conduct of research and enhance its value to clients. At the same time research organizations must begin to develop the capability to conduct marketing research simultaneously in the developed and the developing world. Increasingly multi-national marketers are designing and selling global brands and need research to guide their decision making across an increasingly diverse and disparate world. Sound and timely marketing research becomes even more critical for firms as they compete in the 21st century</w:t>
      </w:r>
      <w:sdt>
        <w:sdtPr>
          <w:rPr>
            <w:color w:val="000000"/>
          </w:rPr>
          <w:id w:val="-1221593803"/>
          <w:citation/>
        </w:sdtPr>
        <w:sdtContent>
          <w:r w:rsidR="002748BC">
            <w:rPr>
              <w:color w:val="000000"/>
            </w:rPr>
            <w:fldChar w:fldCharType="begin"/>
          </w:r>
          <w:r w:rsidR="002748BC">
            <w:rPr>
              <w:color w:val="000000"/>
            </w:rPr>
            <w:instrText xml:space="preserve"> CITATION Meg \l 1033 </w:instrText>
          </w:r>
          <w:r w:rsidR="002748BC">
            <w:rPr>
              <w:color w:val="000000"/>
            </w:rPr>
            <w:fldChar w:fldCharType="separate"/>
          </w:r>
          <w:r w:rsidR="002748BC">
            <w:rPr>
              <w:noProof/>
              <w:color w:val="000000"/>
            </w:rPr>
            <w:t xml:space="preserve"> </w:t>
          </w:r>
          <w:r w:rsidR="002748BC" w:rsidRPr="002748BC">
            <w:rPr>
              <w:noProof/>
              <w:color w:val="000000"/>
            </w:rPr>
            <w:t>(Mitchum, 2017)</w:t>
          </w:r>
          <w:r w:rsidR="002748BC">
            <w:rPr>
              <w:color w:val="000000"/>
            </w:rPr>
            <w:fldChar w:fldCharType="end"/>
          </w:r>
        </w:sdtContent>
      </w:sdt>
      <w:r w:rsidRPr="005E1F6F">
        <w:rPr>
          <w:color w:val="000000"/>
        </w:rPr>
        <w:t>.</w:t>
      </w:r>
    </w:p>
    <w:p w14:paraId="749BD322" w14:textId="0AAF6AF3" w:rsidR="00141C25" w:rsidRDefault="00141C25">
      <w:pPr>
        <w:rPr>
          <w:rFonts w:asciiTheme="majorHAnsi" w:eastAsiaTheme="majorEastAsia" w:hAnsiTheme="majorHAnsi" w:cstheme="majorBidi"/>
          <w:color w:val="2E74B5" w:themeColor="accent1" w:themeShade="BF"/>
          <w:sz w:val="32"/>
          <w:szCs w:val="32"/>
        </w:rPr>
      </w:pPr>
    </w:p>
    <w:p w14:paraId="21265C92" w14:textId="77777777" w:rsidR="00141C25" w:rsidRDefault="00141C25" w:rsidP="00AA1A00">
      <w:pPr>
        <w:pStyle w:val="Heading1"/>
        <w:sectPr w:rsidR="00141C25" w:rsidSect="007F108D">
          <w:pgSz w:w="12240" w:h="15840"/>
          <w:pgMar w:top="1440" w:right="1440" w:bottom="1440" w:left="1440" w:header="720" w:footer="720" w:gutter="0"/>
          <w:lnNumType w:countBy="1" w:restart="newSection"/>
          <w:cols w:space="720"/>
          <w:docGrid w:linePitch="360"/>
        </w:sectPr>
      </w:pPr>
    </w:p>
    <w:p w14:paraId="29942476" w14:textId="63B367A3" w:rsidR="005E1F6F" w:rsidRPr="001C7A1E" w:rsidRDefault="00421191" w:rsidP="00AA1A00">
      <w:pPr>
        <w:pStyle w:val="Heading1"/>
      </w:pPr>
      <w:r w:rsidRPr="000341C9">
        <w:lastRenderedPageBreak/>
        <w:t xml:space="preserve">Identified </w:t>
      </w:r>
      <w:r w:rsidR="00883CEE" w:rsidRPr="000341C9">
        <w:t>Market Indicators of Development</w:t>
      </w:r>
    </w:p>
    <w:tbl>
      <w:tblPr>
        <w:tblStyle w:val="ListTable3-Accent6"/>
        <w:tblW w:w="5000" w:type="pct"/>
        <w:tblLook w:val="04A0" w:firstRow="1" w:lastRow="0" w:firstColumn="1" w:lastColumn="0" w:noHBand="0" w:noVBand="1"/>
      </w:tblPr>
      <w:tblGrid>
        <w:gridCol w:w="4188"/>
        <w:gridCol w:w="1612"/>
        <w:gridCol w:w="2222"/>
        <w:gridCol w:w="1328"/>
      </w:tblGrid>
      <w:tr w:rsidR="000341C9" w14:paraId="29942479" w14:textId="77777777" w:rsidTr="00141C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0" w:type="pct"/>
          </w:tcPr>
          <w:p w14:paraId="29942477" w14:textId="77777777" w:rsidR="000341C9" w:rsidRDefault="000341C9" w:rsidP="00C704A8">
            <w:pPr>
              <w:rPr>
                <w:rFonts w:ascii="Calibri" w:hAnsi="Calibri"/>
                <w:color w:val="000000"/>
              </w:rPr>
            </w:pPr>
          </w:p>
        </w:tc>
        <w:tc>
          <w:tcPr>
            <w:tcW w:w="2760" w:type="pct"/>
            <w:gridSpan w:val="3"/>
          </w:tcPr>
          <w:p w14:paraId="29942478" w14:textId="77777777" w:rsidR="000341C9" w:rsidRDefault="000341C9" w:rsidP="000341C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85352C">
              <w:rPr>
                <w:rFonts w:ascii="Calibri" w:hAnsi="Calibri"/>
              </w:rPr>
              <w:t>Level of Technology Development</w:t>
            </w:r>
          </w:p>
        </w:tc>
      </w:tr>
      <w:tr w:rsidR="000341C9" w14:paraId="2994247E" w14:textId="77777777" w:rsidTr="0014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pct"/>
          </w:tcPr>
          <w:p w14:paraId="2994247A" w14:textId="77777777" w:rsidR="000341C9" w:rsidRDefault="000341C9" w:rsidP="00C704A8">
            <w:pPr>
              <w:rPr>
                <w:rFonts w:ascii="Calibri" w:hAnsi="Calibri"/>
                <w:color w:val="000000"/>
              </w:rPr>
            </w:pPr>
          </w:p>
        </w:tc>
        <w:tc>
          <w:tcPr>
            <w:tcW w:w="862" w:type="pct"/>
          </w:tcPr>
          <w:p w14:paraId="2994247B" w14:textId="77777777" w:rsidR="000341C9" w:rsidRPr="00642950" w:rsidRDefault="000341C9"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642950">
              <w:rPr>
                <w:rFonts w:ascii="Calibri" w:hAnsi="Calibri"/>
                <w:b/>
                <w:color w:val="000000"/>
              </w:rPr>
              <w:t>High</w:t>
            </w:r>
          </w:p>
        </w:tc>
        <w:tc>
          <w:tcPr>
            <w:tcW w:w="1188" w:type="pct"/>
          </w:tcPr>
          <w:p w14:paraId="2994247C" w14:textId="77777777" w:rsidR="000341C9" w:rsidRPr="00642950" w:rsidRDefault="000341C9"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642950">
              <w:rPr>
                <w:rFonts w:ascii="Calibri" w:hAnsi="Calibri"/>
                <w:b/>
                <w:color w:val="000000"/>
              </w:rPr>
              <w:t>Medium</w:t>
            </w:r>
          </w:p>
        </w:tc>
        <w:tc>
          <w:tcPr>
            <w:tcW w:w="711" w:type="pct"/>
          </w:tcPr>
          <w:p w14:paraId="2994247D" w14:textId="77777777" w:rsidR="000341C9" w:rsidRPr="00642950" w:rsidRDefault="000341C9"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642950">
              <w:rPr>
                <w:rFonts w:ascii="Calibri" w:hAnsi="Calibri"/>
                <w:b/>
                <w:color w:val="000000"/>
              </w:rPr>
              <w:t>Low</w:t>
            </w:r>
          </w:p>
        </w:tc>
      </w:tr>
      <w:tr w:rsidR="000341C9" w14:paraId="29942483" w14:textId="77777777" w:rsidTr="00141C25">
        <w:tc>
          <w:tcPr>
            <w:cnfStyle w:val="001000000000" w:firstRow="0" w:lastRow="0" w:firstColumn="1" w:lastColumn="0" w:oddVBand="0" w:evenVBand="0" w:oddHBand="0" w:evenHBand="0" w:firstRowFirstColumn="0" w:firstRowLastColumn="0" w:lastRowFirstColumn="0" w:lastRowLastColumn="0"/>
            <w:tcW w:w="2240" w:type="pct"/>
          </w:tcPr>
          <w:p w14:paraId="2994247F" w14:textId="77777777" w:rsidR="000341C9" w:rsidRDefault="000341C9" w:rsidP="0085352C">
            <w:pPr>
              <w:rPr>
                <w:rFonts w:ascii="Calibri" w:hAnsi="Calibri"/>
                <w:color w:val="000000"/>
              </w:rPr>
            </w:pPr>
            <w:r>
              <w:rPr>
                <w:rFonts w:ascii="Calibri" w:hAnsi="Calibri"/>
                <w:color w:val="000000"/>
              </w:rPr>
              <w:t>Population</w:t>
            </w:r>
            <w:r w:rsidR="0085352C">
              <w:rPr>
                <w:rFonts w:ascii="Calibri" w:hAnsi="Calibri"/>
                <w:color w:val="000000"/>
              </w:rPr>
              <w:t xml:space="preserve"> (millions)</w:t>
            </w:r>
          </w:p>
        </w:tc>
        <w:tc>
          <w:tcPr>
            <w:tcW w:w="862" w:type="pct"/>
          </w:tcPr>
          <w:p w14:paraId="29942480" w14:textId="77777777" w:rsidR="000341C9" w:rsidRDefault="0085352C" w:rsidP="000341C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5,000</w:t>
            </w:r>
          </w:p>
        </w:tc>
        <w:tc>
          <w:tcPr>
            <w:tcW w:w="1188" w:type="pct"/>
          </w:tcPr>
          <w:p w14:paraId="29942481" w14:textId="77777777" w:rsidR="000341C9" w:rsidRDefault="0085352C" w:rsidP="000341C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2,000</w:t>
            </w:r>
          </w:p>
        </w:tc>
        <w:tc>
          <w:tcPr>
            <w:tcW w:w="711" w:type="pct"/>
          </w:tcPr>
          <w:p w14:paraId="29942482" w14:textId="77777777" w:rsidR="000341C9" w:rsidRDefault="0085352C" w:rsidP="000341C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500</w:t>
            </w:r>
          </w:p>
        </w:tc>
      </w:tr>
      <w:tr w:rsidR="000341C9" w14:paraId="29942488" w14:textId="77777777" w:rsidTr="0014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pct"/>
          </w:tcPr>
          <w:p w14:paraId="29942484" w14:textId="77777777" w:rsidR="000341C9" w:rsidRDefault="0085352C" w:rsidP="0085352C">
            <w:pPr>
              <w:rPr>
                <w:rFonts w:ascii="Calibri" w:hAnsi="Calibri"/>
                <w:color w:val="000000"/>
              </w:rPr>
            </w:pPr>
            <w:r>
              <w:rPr>
                <w:rFonts w:ascii="Calibri" w:hAnsi="Calibri"/>
                <w:color w:val="000000"/>
              </w:rPr>
              <w:t>Television</w:t>
            </w:r>
            <w:r w:rsidR="000341C9">
              <w:rPr>
                <w:rFonts w:ascii="Calibri" w:hAnsi="Calibri"/>
                <w:color w:val="000000"/>
              </w:rPr>
              <w:t xml:space="preserve"> per 1,000</w:t>
            </w:r>
          </w:p>
        </w:tc>
        <w:tc>
          <w:tcPr>
            <w:tcW w:w="862" w:type="pct"/>
          </w:tcPr>
          <w:p w14:paraId="29942485" w14:textId="77777777" w:rsidR="000341C9" w:rsidRDefault="0085352C"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600</w:t>
            </w:r>
          </w:p>
        </w:tc>
        <w:tc>
          <w:tcPr>
            <w:tcW w:w="1188" w:type="pct"/>
          </w:tcPr>
          <w:p w14:paraId="29942486" w14:textId="77777777" w:rsidR="000341C9" w:rsidRDefault="0085352C"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200</w:t>
            </w:r>
          </w:p>
        </w:tc>
        <w:tc>
          <w:tcPr>
            <w:tcW w:w="711" w:type="pct"/>
          </w:tcPr>
          <w:p w14:paraId="29942487" w14:textId="77777777" w:rsidR="000341C9" w:rsidRDefault="0085352C"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50</w:t>
            </w:r>
          </w:p>
        </w:tc>
      </w:tr>
      <w:tr w:rsidR="000341C9" w14:paraId="2994248D" w14:textId="77777777" w:rsidTr="00141C25">
        <w:tc>
          <w:tcPr>
            <w:cnfStyle w:val="001000000000" w:firstRow="0" w:lastRow="0" w:firstColumn="1" w:lastColumn="0" w:oddVBand="0" w:evenVBand="0" w:oddHBand="0" w:evenHBand="0" w:firstRowFirstColumn="0" w:firstRowLastColumn="0" w:lastRowFirstColumn="0" w:lastRowLastColumn="0"/>
            <w:tcW w:w="2240" w:type="pct"/>
          </w:tcPr>
          <w:p w14:paraId="29942489" w14:textId="77777777" w:rsidR="000341C9" w:rsidRDefault="000341C9" w:rsidP="0085352C">
            <w:pPr>
              <w:rPr>
                <w:rFonts w:ascii="Calibri" w:hAnsi="Calibri"/>
                <w:color w:val="000000"/>
              </w:rPr>
            </w:pPr>
            <w:r>
              <w:rPr>
                <w:rFonts w:ascii="Calibri" w:hAnsi="Calibri"/>
                <w:color w:val="000000"/>
              </w:rPr>
              <w:t>Personal Device per 1,000</w:t>
            </w:r>
          </w:p>
        </w:tc>
        <w:tc>
          <w:tcPr>
            <w:tcW w:w="862" w:type="pct"/>
          </w:tcPr>
          <w:p w14:paraId="2994248A" w14:textId="77777777" w:rsidR="000341C9" w:rsidRDefault="0085352C" w:rsidP="000341C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1,000</w:t>
            </w:r>
          </w:p>
        </w:tc>
        <w:tc>
          <w:tcPr>
            <w:tcW w:w="1188" w:type="pct"/>
          </w:tcPr>
          <w:p w14:paraId="2994248B" w14:textId="77777777" w:rsidR="000341C9" w:rsidRDefault="0085352C" w:rsidP="000341C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w:t>
            </w:r>
          </w:p>
        </w:tc>
        <w:tc>
          <w:tcPr>
            <w:tcW w:w="711" w:type="pct"/>
          </w:tcPr>
          <w:p w14:paraId="2994248C" w14:textId="77777777" w:rsidR="000341C9" w:rsidRDefault="0085352C" w:rsidP="000341C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r>
      <w:tr w:rsidR="000341C9" w14:paraId="29942492" w14:textId="77777777" w:rsidTr="0014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pct"/>
          </w:tcPr>
          <w:p w14:paraId="2994248E" w14:textId="77777777" w:rsidR="000341C9" w:rsidRDefault="000341C9" w:rsidP="0085352C">
            <w:pPr>
              <w:rPr>
                <w:rFonts w:ascii="Calibri" w:hAnsi="Calibri"/>
                <w:color w:val="000000"/>
              </w:rPr>
            </w:pPr>
            <w:r>
              <w:rPr>
                <w:rFonts w:ascii="Calibri" w:hAnsi="Calibri"/>
                <w:color w:val="000000"/>
              </w:rPr>
              <w:t>Internet Access per 1,000</w:t>
            </w:r>
          </w:p>
        </w:tc>
        <w:tc>
          <w:tcPr>
            <w:tcW w:w="862" w:type="pct"/>
          </w:tcPr>
          <w:p w14:paraId="2994248F" w14:textId="77777777" w:rsidR="000341C9" w:rsidRDefault="0085352C"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w:t>
            </w:r>
          </w:p>
        </w:tc>
        <w:tc>
          <w:tcPr>
            <w:tcW w:w="1188" w:type="pct"/>
          </w:tcPr>
          <w:p w14:paraId="29942490" w14:textId="77777777" w:rsidR="000341C9" w:rsidRDefault="0085352C" w:rsidP="000341C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w:t>
            </w:r>
          </w:p>
        </w:tc>
        <w:tc>
          <w:tcPr>
            <w:tcW w:w="711" w:type="pct"/>
          </w:tcPr>
          <w:p w14:paraId="29942491" w14:textId="77777777" w:rsidR="000341C9" w:rsidRDefault="0085352C" w:rsidP="00141C25">
            <w:pPr>
              <w:keepNext/>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r>
    </w:tbl>
    <w:p w14:paraId="29942493" w14:textId="0FC671CC" w:rsidR="005E1F6F" w:rsidRDefault="00141C25" w:rsidP="00141C25">
      <w:pPr>
        <w:pStyle w:val="Caption"/>
        <w:rPr>
          <w:rFonts w:ascii="Calibri" w:hAnsi="Calibri"/>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211D6A">
        <w:t>Mitchum</w:t>
      </w:r>
    </w:p>
    <w:p w14:paraId="29942494" w14:textId="77777777" w:rsidR="00C80E75" w:rsidRPr="000341C9" w:rsidRDefault="00C80E75" w:rsidP="00AA1A00">
      <w:pPr>
        <w:pStyle w:val="Heading1"/>
      </w:pPr>
      <w:r>
        <w:t>Potential Growth</w:t>
      </w:r>
    </w:p>
    <w:p w14:paraId="29942495" w14:textId="77777777" w:rsidR="003218F8" w:rsidRDefault="00C80E75" w:rsidP="003218F8">
      <w:pPr>
        <w:keepNext/>
      </w:pPr>
      <w:r>
        <w:rPr>
          <w:rFonts w:ascii="Calibri" w:hAnsi="Calibri"/>
          <w:noProof/>
          <w:color w:val="000000"/>
        </w:rPr>
        <w:drawing>
          <wp:inline distT="0" distB="0" distL="0" distR="0" wp14:anchorId="2994249F" wp14:editId="299424A0">
            <wp:extent cx="5985164" cy="2054431"/>
            <wp:effectExtent l="0" t="0" r="158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94249B" w14:textId="31ECED81" w:rsidR="008C1976" w:rsidRDefault="003218F8" w:rsidP="00E47662">
      <w:pPr>
        <w:pStyle w:val="Caption"/>
      </w:pPr>
      <w:r>
        <w:t xml:space="preserve">Chart </w:t>
      </w:r>
      <w:r w:rsidR="00E47662">
        <w:fldChar w:fldCharType="begin"/>
      </w:r>
      <w:r w:rsidR="00E47662">
        <w:instrText xml:space="preserve"> SEQ Chart \* ARABIC </w:instrText>
      </w:r>
      <w:r w:rsidR="00E47662">
        <w:fldChar w:fldCharType="separate"/>
      </w:r>
      <w:r>
        <w:rPr>
          <w:noProof/>
        </w:rPr>
        <w:t>1</w:t>
      </w:r>
      <w:r w:rsidR="00E47662">
        <w:rPr>
          <w:noProof/>
        </w:rPr>
        <w:fldChar w:fldCharType="end"/>
      </w:r>
      <w:r>
        <w:rPr>
          <w:rStyle w:val="FootnoteReference"/>
          <w:rFonts w:ascii="Calibri" w:hAnsi="Calibri"/>
          <w:color w:val="000000"/>
        </w:rPr>
        <w:footnoteReference w:id="1"/>
      </w:r>
    </w:p>
    <w:p w14:paraId="2994249C" w14:textId="77777777" w:rsidR="008C1976" w:rsidRPr="008C1976" w:rsidRDefault="008C1976" w:rsidP="008C1976"/>
    <w:sectPr w:rsidR="008C1976" w:rsidRPr="008C1976" w:rsidSect="007F108D">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E2402" w14:textId="77777777" w:rsidR="007F108D" w:rsidRDefault="007F108D" w:rsidP="00AC31C4">
      <w:pPr>
        <w:spacing w:after="0" w:line="240" w:lineRule="auto"/>
      </w:pPr>
      <w:r>
        <w:separator/>
      </w:r>
    </w:p>
  </w:endnote>
  <w:endnote w:type="continuationSeparator" w:id="0">
    <w:p w14:paraId="4C9BFFC5" w14:textId="77777777" w:rsidR="007F108D" w:rsidRDefault="007F108D" w:rsidP="00AC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4F3B7" w14:textId="77777777" w:rsidR="007F108D" w:rsidRDefault="007F108D" w:rsidP="00AC31C4">
      <w:pPr>
        <w:spacing w:after="0" w:line="240" w:lineRule="auto"/>
      </w:pPr>
      <w:r>
        <w:separator/>
      </w:r>
    </w:p>
  </w:footnote>
  <w:footnote w:type="continuationSeparator" w:id="0">
    <w:p w14:paraId="167F5995" w14:textId="77777777" w:rsidR="007F108D" w:rsidRDefault="007F108D" w:rsidP="00AC31C4">
      <w:pPr>
        <w:spacing w:after="0" w:line="240" w:lineRule="auto"/>
      </w:pPr>
      <w:r>
        <w:continuationSeparator/>
      </w:r>
    </w:p>
  </w:footnote>
  <w:footnote w:id="1">
    <w:p w14:paraId="299424A5" w14:textId="77777777" w:rsidR="003218F8" w:rsidRDefault="003218F8">
      <w:pPr>
        <w:pStyle w:val="FootnoteText"/>
      </w:pPr>
      <w:r>
        <w:rPr>
          <w:rStyle w:val="FootnoteReference"/>
        </w:rPr>
        <w:footnoteRef/>
      </w:r>
      <w:r>
        <w:t xml:space="preserve"> Chart 1 uses data from company records for the 2015 and 2016 fiscal years while the data for 2018 is estimated based on projected growth.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0MDA1NbY0NzIzNDBU0lEKTi0uzszPAykwrgUAowRANiwAAAA="/>
  </w:docVars>
  <w:rsids>
    <w:rsidRoot w:val="006D2E2C"/>
    <w:rsid w:val="000301B8"/>
    <w:rsid w:val="000341C9"/>
    <w:rsid w:val="00141C25"/>
    <w:rsid w:val="001A4D5E"/>
    <w:rsid w:val="001C7A1E"/>
    <w:rsid w:val="00243338"/>
    <w:rsid w:val="002748BC"/>
    <w:rsid w:val="002B0C39"/>
    <w:rsid w:val="002C6315"/>
    <w:rsid w:val="002D28AE"/>
    <w:rsid w:val="003218F8"/>
    <w:rsid w:val="00334B2D"/>
    <w:rsid w:val="00346100"/>
    <w:rsid w:val="003A4CD6"/>
    <w:rsid w:val="00421191"/>
    <w:rsid w:val="004951FA"/>
    <w:rsid w:val="00593D9D"/>
    <w:rsid w:val="005E1F6F"/>
    <w:rsid w:val="005E5A72"/>
    <w:rsid w:val="0063698B"/>
    <w:rsid w:val="00642950"/>
    <w:rsid w:val="006D2E2C"/>
    <w:rsid w:val="007032BF"/>
    <w:rsid w:val="00707BB5"/>
    <w:rsid w:val="00712924"/>
    <w:rsid w:val="007A468B"/>
    <w:rsid w:val="007B69BF"/>
    <w:rsid w:val="007F108D"/>
    <w:rsid w:val="0085352C"/>
    <w:rsid w:val="00864594"/>
    <w:rsid w:val="00883CEE"/>
    <w:rsid w:val="008C1976"/>
    <w:rsid w:val="00A81EBC"/>
    <w:rsid w:val="00AA1A00"/>
    <w:rsid w:val="00AC31C4"/>
    <w:rsid w:val="00AD62B5"/>
    <w:rsid w:val="00BA157F"/>
    <w:rsid w:val="00BB3CDB"/>
    <w:rsid w:val="00C13936"/>
    <w:rsid w:val="00C41BF1"/>
    <w:rsid w:val="00C704A8"/>
    <w:rsid w:val="00C80E75"/>
    <w:rsid w:val="00D65B81"/>
    <w:rsid w:val="00DE5734"/>
    <w:rsid w:val="00E47662"/>
    <w:rsid w:val="00E64C5E"/>
    <w:rsid w:val="00E8795E"/>
    <w:rsid w:val="00EB34AB"/>
    <w:rsid w:val="00EE15E4"/>
    <w:rsid w:val="00F75152"/>
    <w:rsid w:val="00F818D9"/>
    <w:rsid w:val="00F9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246B"/>
  <w15:chartTrackingRefBased/>
  <w15:docId w15:val="{07DC108C-0168-4204-9143-B7F76938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E64C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AC31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1C4"/>
    <w:rPr>
      <w:sz w:val="20"/>
      <w:szCs w:val="20"/>
    </w:rPr>
  </w:style>
  <w:style w:type="character" w:styleId="EndnoteReference">
    <w:name w:val="endnote reference"/>
    <w:basedOn w:val="DefaultParagraphFont"/>
    <w:uiPriority w:val="99"/>
    <w:semiHidden/>
    <w:unhideWhenUsed/>
    <w:rsid w:val="00AC31C4"/>
    <w:rPr>
      <w:vertAlign w:val="superscript"/>
    </w:rPr>
  </w:style>
  <w:style w:type="character" w:customStyle="1" w:styleId="apple-converted-space">
    <w:name w:val="apple-converted-space"/>
    <w:basedOn w:val="DefaultParagraphFont"/>
    <w:rsid w:val="00C704A8"/>
  </w:style>
  <w:style w:type="table" w:styleId="TableGrid">
    <w:name w:val="Table Grid"/>
    <w:basedOn w:val="TableNormal"/>
    <w:uiPriority w:val="39"/>
    <w:rsid w:val="00034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85352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Caption">
    <w:name w:val="caption"/>
    <w:basedOn w:val="Normal"/>
    <w:next w:val="Normal"/>
    <w:uiPriority w:val="35"/>
    <w:unhideWhenUsed/>
    <w:qFormat/>
    <w:rsid w:val="003218F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218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18F8"/>
    <w:rPr>
      <w:sz w:val="20"/>
      <w:szCs w:val="20"/>
    </w:rPr>
  </w:style>
  <w:style w:type="character" w:styleId="FootnoteReference">
    <w:name w:val="footnote reference"/>
    <w:basedOn w:val="DefaultParagraphFont"/>
    <w:uiPriority w:val="99"/>
    <w:semiHidden/>
    <w:unhideWhenUsed/>
    <w:rsid w:val="003218F8"/>
    <w:rPr>
      <w:vertAlign w:val="superscript"/>
    </w:rPr>
  </w:style>
  <w:style w:type="character" w:customStyle="1" w:styleId="Heading1Char">
    <w:name w:val="Heading 1 Char"/>
    <w:basedOn w:val="DefaultParagraphFont"/>
    <w:link w:val="Heading1"/>
    <w:uiPriority w:val="9"/>
    <w:rsid w:val="008C197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C1976"/>
  </w:style>
  <w:style w:type="paragraph" w:styleId="NoSpacing">
    <w:name w:val="No Spacing"/>
    <w:link w:val="NoSpacingChar"/>
    <w:uiPriority w:val="1"/>
    <w:qFormat/>
    <w:rsid w:val="00D65B81"/>
    <w:pPr>
      <w:spacing w:after="0" w:line="240" w:lineRule="auto"/>
    </w:pPr>
    <w:rPr>
      <w:rFonts w:eastAsiaTheme="minorEastAsia"/>
    </w:rPr>
  </w:style>
  <w:style w:type="character" w:customStyle="1" w:styleId="NoSpacingChar">
    <w:name w:val="No Spacing Char"/>
    <w:basedOn w:val="DefaultParagraphFont"/>
    <w:link w:val="NoSpacing"/>
    <w:uiPriority w:val="1"/>
    <w:rsid w:val="00D65B81"/>
    <w:rPr>
      <w:rFonts w:eastAsiaTheme="minorEastAsia"/>
    </w:rPr>
  </w:style>
  <w:style w:type="paragraph" w:styleId="BalloonText">
    <w:name w:val="Balloon Text"/>
    <w:basedOn w:val="Normal"/>
    <w:link w:val="BalloonTextChar"/>
    <w:uiPriority w:val="99"/>
    <w:semiHidden/>
    <w:unhideWhenUsed/>
    <w:rsid w:val="00D65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B81"/>
    <w:rPr>
      <w:rFonts w:ascii="Segoe UI" w:hAnsi="Segoe UI" w:cs="Segoe UI"/>
      <w:sz w:val="18"/>
      <w:szCs w:val="18"/>
    </w:rPr>
  </w:style>
  <w:style w:type="character" w:styleId="LineNumber">
    <w:name w:val="line number"/>
    <w:basedOn w:val="DefaultParagraphFont"/>
    <w:uiPriority w:val="99"/>
    <w:semiHidden/>
    <w:unhideWhenUsed/>
    <w:rsid w:val="00141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91558">
      <w:bodyDiv w:val="1"/>
      <w:marLeft w:val="0"/>
      <w:marRight w:val="0"/>
      <w:marTop w:val="0"/>
      <w:marBottom w:val="0"/>
      <w:divBdr>
        <w:top w:val="none" w:sz="0" w:space="0" w:color="auto"/>
        <w:left w:val="none" w:sz="0" w:space="0" w:color="auto"/>
        <w:bottom w:val="none" w:sz="0" w:space="0" w:color="auto"/>
        <w:right w:val="none" w:sz="0" w:space="0" w:color="auto"/>
      </w:divBdr>
    </w:div>
    <w:div w:id="796068506">
      <w:bodyDiv w:val="1"/>
      <w:marLeft w:val="0"/>
      <w:marRight w:val="0"/>
      <w:marTop w:val="0"/>
      <w:marBottom w:val="0"/>
      <w:divBdr>
        <w:top w:val="none" w:sz="0" w:space="0" w:color="auto"/>
        <w:left w:val="none" w:sz="0" w:space="0" w:color="auto"/>
        <w:bottom w:val="none" w:sz="0" w:space="0" w:color="auto"/>
        <w:right w:val="none" w:sz="0" w:space="0" w:color="auto"/>
      </w:divBdr>
    </w:div>
    <w:div w:id="883519391">
      <w:bodyDiv w:val="1"/>
      <w:marLeft w:val="0"/>
      <w:marRight w:val="0"/>
      <w:marTop w:val="0"/>
      <w:marBottom w:val="0"/>
      <w:divBdr>
        <w:top w:val="none" w:sz="0" w:space="0" w:color="auto"/>
        <w:left w:val="none" w:sz="0" w:space="0" w:color="auto"/>
        <w:bottom w:val="none" w:sz="0" w:space="0" w:color="auto"/>
        <w:right w:val="none" w:sz="0" w:space="0" w:color="auto"/>
      </w:divBdr>
    </w:div>
    <w:div w:id="1028919126">
      <w:bodyDiv w:val="1"/>
      <w:marLeft w:val="0"/>
      <w:marRight w:val="0"/>
      <w:marTop w:val="0"/>
      <w:marBottom w:val="0"/>
      <w:divBdr>
        <w:top w:val="none" w:sz="0" w:space="0" w:color="auto"/>
        <w:left w:val="none" w:sz="0" w:space="0" w:color="auto"/>
        <w:bottom w:val="none" w:sz="0" w:space="0" w:color="auto"/>
        <w:right w:val="none" w:sz="0" w:space="0" w:color="auto"/>
      </w:divBdr>
    </w:div>
    <w:div w:id="1233656203">
      <w:bodyDiv w:val="1"/>
      <w:marLeft w:val="0"/>
      <w:marRight w:val="0"/>
      <w:marTop w:val="0"/>
      <w:marBottom w:val="0"/>
      <w:divBdr>
        <w:top w:val="none" w:sz="0" w:space="0" w:color="auto"/>
        <w:left w:val="none" w:sz="0" w:space="0" w:color="auto"/>
        <w:bottom w:val="none" w:sz="0" w:space="0" w:color="auto"/>
        <w:right w:val="none" w:sz="0" w:space="0" w:color="auto"/>
      </w:divBdr>
    </w:div>
    <w:div w:id="1431972985">
      <w:bodyDiv w:val="1"/>
      <w:marLeft w:val="0"/>
      <w:marRight w:val="0"/>
      <w:marTop w:val="0"/>
      <w:marBottom w:val="0"/>
      <w:divBdr>
        <w:top w:val="none" w:sz="0" w:space="0" w:color="auto"/>
        <w:left w:val="none" w:sz="0" w:space="0" w:color="auto"/>
        <w:bottom w:val="none" w:sz="0" w:space="0" w:color="auto"/>
        <w:right w:val="none" w:sz="0" w:space="0" w:color="auto"/>
      </w:divBdr>
    </w:div>
    <w:div w:id="17279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2016</c:v>
                </c:pt>
              </c:strCache>
            </c:strRef>
          </c:tx>
          <c:spPr>
            <a:solidFill>
              <a:schemeClr val="accent1">
                <a:shade val="65000"/>
              </a:schemeClr>
            </a:solidFill>
            <a:ln>
              <a:noFill/>
            </a:ln>
            <a:effectLst/>
          </c:spPr>
          <c:invertIfNegative val="0"/>
          <c:cat>
            <c:strRef>
              <c:f>Sheet1!$A$2:$A$5</c:f>
              <c:strCache>
                <c:ptCount val="4"/>
                <c:pt idx="0">
                  <c:v>First Quarter</c:v>
                </c:pt>
                <c:pt idx="1">
                  <c:v>Second Quarter</c:v>
                </c:pt>
                <c:pt idx="2">
                  <c:v>Third Quarter</c:v>
                </c:pt>
                <c:pt idx="3">
                  <c:v>Fourth Quarter</c:v>
                </c:pt>
              </c:strCache>
            </c:strRef>
          </c:cat>
          <c:val>
            <c:numRef>
              <c:f>Sheet1!$B$2:$B$5</c:f>
              <c:numCache>
                <c:formatCode>General</c:formatCode>
                <c:ptCount val="4"/>
                <c:pt idx="0">
                  <c:v>1</c:v>
                </c:pt>
                <c:pt idx="1">
                  <c:v>1.5</c:v>
                </c:pt>
                <c:pt idx="2">
                  <c:v>4</c:v>
                </c:pt>
                <c:pt idx="3">
                  <c:v>3</c:v>
                </c:pt>
              </c:numCache>
            </c:numRef>
          </c:val>
          <c:extLst>
            <c:ext xmlns:c16="http://schemas.microsoft.com/office/drawing/2014/chart" uri="{C3380CC4-5D6E-409C-BE32-E72D297353CC}">
              <c16:uniqueId val="{00000000-A8F9-406E-A218-3767E424C134}"/>
            </c:ext>
          </c:extLst>
        </c:ser>
        <c:ser>
          <c:idx val="1"/>
          <c:order val="1"/>
          <c:tx>
            <c:strRef>
              <c:f>Sheet1!$C$1</c:f>
              <c:strCache>
                <c:ptCount val="1"/>
                <c:pt idx="0">
                  <c:v>2017</c:v>
                </c:pt>
              </c:strCache>
            </c:strRef>
          </c:tx>
          <c:spPr>
            <a:solidFill>
              <a:schemeClr val="accent1"/>
            </a:solidFill>
            <a:ln>
              <a:noFill/>
            </a:ln>
            <a:effectLst/>
          </c:spPr>
          <c:invertIfNegative val="0"/>
          <c:cat>
            <c:strRef>
              <c:f>Sheet1!$A$2:$A$5</c:f>
              <c:strCache>
                <c:ptCount val="4"/>
                <c:pt idx="0">
                  <c:v>First Quarter</c:v>
                </c:pt>
                <c:pt idx="1">
                  <c:v>Second Quarter</c:v>
                </c:pt>
                <c:pt idx="2">
                  <c:v>Third Quarter</c:v>
                </c:pt>
                <c:pt idx="3">
                  <c:v>Fourth Quarter</c:v>
                </c:pt>
              </c:strCache>
            </c:strRef>
          </c:cat>
          <c:val>
            <c:numRef>
              <c:f>Sheet1!$C$2:$C$5</c:f>
              <c:numCache>
                <c:formatCode>General</c:formatCode>
                <c:ptCount val="4"/>
                <c:pt idx="0">
                  <c:v>1.25</c:v>
                </c:pt>
                <c:pt idx="1">
                  <c:v>2</c:v>
                </c:pt>
                <c:pt idx="2">
                  <c:v>5</c:v>
                </c:pt>
                <c:pt idx="3">
                  <c:v>4</c:v>
                </c:pt>
              </c:numCache>
            </c:numRef>
          </c:val>
          <c:extLst>
            <c:ext xmlns:c16="http://schemas.microsoft.com/office/drawing/2014/chart" uri="{C3380CC4-5D6E-409C-BE32-E72D297353CC}">
              <c16:uniqueId val="{00000001-A8F9-406E-A218-3767E424C134}"/>
            </c:ext>
          </c:extLst>
        </c:ser>
        <c:ser>
          <c:idx val="2"/>
          <c:order val="2"/>
          <c:tx>
            <c:strRef>
              <c:f>Sheet1!$D$1</c:f>
              <c:strCache>
                <c:ptCount val="1"/>
                <c:pt idx="0">
                  <c:v>2018 (est)</c:v>
                </c:pt>
              </c:strCache>
            </c:strRef>
          </c:tx>
          <c:spPr>
            <a:solidFill>
              <a:schemeClr val="accent1">
                <a:tint val="65000"/>
              </a:schemeClr>
            </a:solidFill>
            <a:ln>
              <a:noFill/>
            </a:ln>
            <a:effectLst/>
          </c:spPr>
          <c:invertIfNegative val="0"/>
          <c:cat>
            <c:strRef>
              <c:f>Sheet1!$A$2:$A$5</c:f>
              <c:strCache>
                <c:ptCount val="4"/>
                <c:pt idx="0">
                  <c:v>First Quarter</c:v>
                </c:pt>
                <c:pt idx="1">
                  <c:v>Second Quarter</c:v>
                </c:pt>
                <c:pt idx="2">
                  <c:v>Third Quarter</c:v>
                </c:pt>
                <c:pt idx="3">
                  <c:v>Fourth Quarter</c:v>
                </c:pt>
              </c:strCache>
            </c:strRef>
          </c:cat>
          <c:val>
            <c:numRef>
              <c:f>Sheet1!$D$2:$D$5</c:f>
              <c:numCache>
                <c:formatCode>General</c:formatCode>
                <c:ptCount val="4"/>
                <c:pt idx="0">
                  <c:v>3</c:v>
                </c:pt>
                <c:pt idx="1">
                  <c:v>3.5</c:v>
                </c:pt>
                <c:pt idx="2">
                  <c:v>7</c:v>
                </c:pt>
                <c:pt idx="3">
                  <c:v>6</c:v>
                </c:pt>
              </c:numCache>
            </c:numRef>
          </c:val>
          <c:extLst>
            <c:ext xmlns:c16="http://schemas.microsoft.com/office/drawing/2014/chart" uri="{C3380CC4-5D6E-409C-BE32-E72D297353CC}">
              <c16:uniqueId val="{00000002-A8F9-406E-A218-3767E424C134}"/>
            </c:ext>
          </c:extLst>
        </c:ser>
        <c:dLbls>
          <c:showLegendKey val="0"/>
          <c:showVal val="0"/>
          <c:showCatName val="0"/>
          <c:showSerName val="0"/>
          <c:showPercent val="0"/>
          <c:showBubbleSize val="0"/>
        </c:dLbls>
        <c:gapWidth val="219"/>
        <c:overlap val="-27"/>
        <c:axId val="407483968"/>
        <c:axId val="407485536"/>
      </c:barChart>
      <c:catAx>
        <c:axId val="40748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85536"/>
        <c:crosses val="autoZero"/>
        <c:auto val="1"/>
        <c:lblAlgn val="ctr"/>
        <c:lblOffset val="100"/>
        <c:noMultiLvlLbl val="0"/>
      </c:catAx>
      <c:valAx>
        <c:axId val="40748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8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Meg</b:Tag>
    <b:SourceType>JournalArticle</b:SourceType>
    <b:Guid>{B0D1A548-7707-498B-9B1B-E9AB702E17BF}</b:Guid>
    <b:Title>International Marketing Methods</b:Title>
    <b:Author>
      <b:Author>
        <b:NameList>
          <b:Person>
            <b:Last>Mitchum</b:Last>
            <b:First>Meggie</b:First>
          </b:Person>
        </b:NameList>
      </b:Author>
    </b:Author>
    <b:JournalName>Universal Marketing Journal</b:JournalName>
    <b:Year>2017</b:Year>
    <b:Pages>1-2</b:Pages>
    <b:RefOrder>1</b:RefOrder>
  </b:Source>
  <b:Source>
    <b:Tag>Jef151</b:Tag>
    <b:SourceType>Book</b:SourceType>
    <b:Guid>{657F2F35-F522-41E1-82BE-4848C0BF0BF2}</b:Guid>
    <b:Title>Technology &amp; Marketing</b:Title>
    <b:Year>2015</b:Year>
    <b:Author>
      <b:Author>
        <b:NameList>
          <b:Person>
            <b:Last>Davis</b:Last>
            <b:First>Jeff</b:First>
          </b:Person>
        </b:NameList>
      </b:Author>
    </b:Author>
    <b:City>Atomsville</b:City>
    <b:Publisher>CMYK</b:Publisher>
    <b:RefOrder>2</b:RefOrder>
  </b:Source>
</b:Sources>
</file>

<file path=customXml/itemProps1.xml><?xml version="1.0" encoding="utf-8"?>
<ds:datastoreItem xmlns:ds="http://schemas.openxmlformats.org/officeDocument/2006/customXml" ds:itemID="{FD809A53-5C01-4A66-A057-3C23F378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Meggie Mitchum</dc:creator>
  <cp:keywords/>
  <dc:description/>
  <cp:lastModifiedBy>Babanpreet Singh</cp:lastModifiedBy>
  <cp:revision>4</cp:revision>
  <dcterms:created xsi:type="dcterms:W3CDTF">2024-04-10T05:26:00Z</dcterms:created>
  <dcterms:modified xsi:type="dcterms:W3CDTF">2024-04-10T05:33:00Z</dcterms:modified>
</cp:coreProperties>
</file>