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4"/>
        </w:rPr>
        <w:t>RELATÓRIO ANALÍTICO</w:t>
      </w:r>
    </w:p>
    <w:p>
      <w:pPr>
        <w:jc w:val="center"/>
      </w:pPr>
      <w:r>
        <w:rPr>
          <w:color w:val="2F75B5"/>
          <w:sz w:val="32"/>
        </w:rPr>
        <w:t>Cross-sell e upsell por cluster de clientes</w:t>
      </w:r>
    </w:p>
    <w:p>
      <w:pPr>
        <w:jc w:val="center"/>
      </w:pPr>
      <w:r>
        <w:rPr>
          <w:i/>
        </w:rPr>
        <w:t>Base processada automaticamente a partir da planilha enviada.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jc w:val="center"/>
            </w:pPr>
            <w:r/>
            <w:r>
              <w:rPr>
                <w:b/>
                <w:color w:val="17365D"/>
                <w:sz w:val="36"/>
              </w:rPr>
              <w:t>2.984</w:t>
              <w:br/>
            </w:r>
            <w:r>
              <w:rPr>
                <w:color w:val="1F7A8C"/>
                <w:sz w:val="18"/>
              </w:rPr>
              <w:t>Clientes</w:t>
            </w:r>
          </w:p>
        </w:tc>
        <w:tc>
          <w:tcPr>
            <w:tcW w:type="dxa" w:w="2556"/>
            <w:shd w:fill="D9EAF7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jc w:val="center"/>
            </w:pPr>
            <w:r/>
            <w:r>
              <w:rPr>
                <w:b/>
                <w:color w:val="17365D"/>
                <w:sz w:val="36"/>
              </w:rPr>
              <w:t>10</w:t>
              <w:br/>
            </w:r>
            <w:r>
              <w:rPr>
                <w:color w:val="1F7A8C"/>
                <w:sz w:val="18"/>
              </w:rPr>
              <w:t>Produtos</w:t>
            </w:r>
          </w:p>
        </w:tc>
        <w:tc>
          <w:tcPr>
            <w:tcW w:type="dxa" w:w="2556"/>
            <w:shd w:fill="D9EAF7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jc w:val="center"/>
            </w:pPr>
            <w:r/>
            <w:r>
              <w:rPr>
                <w:b/>
                <w:color w:val="17365D"/>
                <w:sz w:val="36"/>
              </w:rPr>
              <w:t>3</w:t>
              <w:br/>
            </w:r>
            <w:r>
              <w:rPr>
                <w:color w:val="1F7A8C"/>
                <w:sz w:val="18"/>
              </w:rPr>
              <w:t>Clusters</w:t>
            </w:r>
          </w:p>
        </w:tc>
        <w:tc>
          <w:tcPr>
            <w:tcW w:type="dxa" w:w="2556"/>
            <w:shd w:fill="D9EAF7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jc w:val="center"/>
            </w:pPr>
            <w:r/>
            <w:r>
              <w:rPr>
                <w:b/>
                <w:color w:val="17365D"/>
                <w:sz w:val="36"/>
              </w:rPr>
              <w:t>0.331</w:t>
              <w:br/>
            </w:r>
            <w:r>
              <w:rPr>
                <w:color w:val="1F7A8C"/>
                <w:sz w:val="18"/>
              </w:rPr>
              <w:t>Silhouette</w:t>
            </w:r>
          </w:p>
        </w:tc>
      </w:tr>
    </w:tbl>
    <w:p>
      <w:r>
        <w:rPr>
          <w:b/>
        </w:rPr>
        <w:t xml:space="preserve">Síntese executiva. </w:t>
      </w:r>
      <w:r>
        <w:t>A carteira foi segmentada em 3 clusters. O maior é o Cluster 3, com 2173 clientes (72.8%). Os produtos mais recomendados são Pincel_sint, TintaOleo_sint, Solvente, Esfumador.</w:t>
      </w:r>
    </w:p>
    <w:p>
      <w:pPr>
        <w:pStyle w:val="Heading1"/>
      </w:pPr>
      <w:r>
        <w:t>1. Principais sinais da carteira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icao_clust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concentração em um cluster dominante indica um padrão de compra relativamente homogêneo. O menor cluster reúne perfis raros e deve receber abordagem mais personalizada.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tos_recomenda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Leitura executiva dos clusters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Cluster</w:t>
            </w:r>
          </w:p>
        </w:tc>
        <w:tc>
          <w:tcPr>
            <w:tcW w:type="dxa" w:w="2045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Clientes</w:t>
            </w:r>
          </w:p>
        </w:tc>
        <w:tc>
          <w:tcPr>
            <w:tcW w:type="dxa" w:w="2045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da base</w:t>
            </w:r>
          </w:p>
        </w:tc>
        <w:tc>
          <w:tcPr>
            <w:tcW w:type="dxa" w:w="2045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Produtos predominantes</w:t>
            </w:r>
          </w:p>
        </w:tc>
        <w:tc>
          <w:tcPr>
            <w:tcW w:type="dxa" w:w="2045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Melhor oportunidade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2173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72.8%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Esfumador, TintaOleo_Nat, Pincel_sint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TintaOleo_Nat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806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27.0%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TintaOleo_sint, TintaOleo_Nat, Esfumador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TintaOleo_sint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0.2%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Pincel_sint, Solvente, PalhetaMax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Removedor</w:t>
            </w:r>
          </w:p>
        </w:tc>
      </w:tr>
    </w:tbl>
    <w:p>
      <w:pPr>
        <w:pStyle w:val="Heading1"/>
      </w:pPr>
      <w:r>
        <w:t>3. Produtos com maior potencial de cross-sell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Produto</w:t>
            </w:r>
          </w:p>
        </w:tc>
        <w:tc>
          <w:tcPr>
            <w:tcW w:type="dxa" w:w="340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Qtd. recomendações</w:t>
            </w:r>
          </w:p>
        </w:tc>
        <w:tc>
          <w:tcPr>
            <w:tcW w:type="dxa" w:w="340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Leitura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Pincel_sint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1950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Complemento recorrente em cestas com tintas e acessórios.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TintaOleo_sint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1895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Amplia a variedade para clientes concentrados em outras tintas.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Solvente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1451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Item operacional complementar para compradores de tintas.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Esfumador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1002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Extensão natural para perfis de pintura e acabamento.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Pincel_Nat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981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Alternativa de variedade e aplicação.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TintaOleo_Nat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709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Oportunidade identificada pela aderência do cluster.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PalhetaMax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523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Complemento de preparação e uso de tintas.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TintaOleo_longo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278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Oportunidade identificada pela aderência do cluster.</w:t>
            </w:r>
          </w:p>
        </w:tc>
      </w:tr>
    </w:tbl>
    <w:p>
      <w:pPr>
        <w:pStyle w:val="Heading1"/>
      </w:pPr>
      <w:r>
        <w:t>4. Bundles mais promissores</w:t>
      </w:r>
    </w:p>
    <w:p>
      <w:r>
        <w:t>Os pares abaixo combinam adoção conjunta, lift e quantidade de clientes que já compram apenas um dos itens. São candidatos para kits, campanhas e rotinas de pós-venda.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Cluster</w:t>
            </w:r>
          </w:p>
        </w:tc>
        <w:tc>
          <w:tcPr>
            <w:tcW w:type="dxa" w:w="2045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Bundle</w:t>
            </w:r>
          </w:p>
        </w:tc>
        <w:tc>
          <w:tcPr>
            <w:tcW w:type="dxa" w:w="2045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Clientes alvo</w:t>
            </w:r>
          </w:p>
        </w:tc>
        <w:tc>
          <w:tcPr>
            <w:tcW w:type="dxa" w:w="2045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Lift</w:t>
            </w:r>
          </w:p>
        </w:tc>
        <w:tc>
          <w:tcPr>
            <w:tcW w:type="dxa" w:w="2045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Score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Misturador + Removedor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27397.71x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21918.17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PalhetaMax + Removedor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6248.60x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4998.88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Solvente + Removedor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1465.72x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1758.87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TintaOleo_sint + Removedor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1389.93x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1111.95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Pincel_sint + Removedor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1377.83x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1102.27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Solvente + TintaOleo_sint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498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5.41x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815.79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TintaOleo_sint + Pincel_sint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312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4.67x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809.83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TintaOleo_sint + PalhetaMax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544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6.57x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616.45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Solvente + Pincel_sint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408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5.08x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593.82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Solvente + TintaOleo_Nat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485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3.14x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593.06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Esfumador + Removedor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719.90x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575.92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TintaOleo_Nat + Removedor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626.51x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501.21</w:t>
            </w:r>
          </w:p>
        </w:tc>
      </w:tr>
    </w:tbl>
    <w:p>
      <w:pPr>
        <w:pStyle w:val="Heading1"/>
      </w:pPr>
      <w:r>
        <w:t>5. Como usar a planilha entregue</w:t>
      </w:r>
    </w:p>
    <w:p>
      <w:pPr>
        <w:pStyle w:val="ListBullet"/>
      </w:pPr>
      <w:r>
        <w:t>Na aba Clientes_Recomendacoes, cada cliente recebeu um cluster e três sugestões ordenadas por prioridade.</w:t>
      </w:r>
    </w:p>
    <w:p>
      <w:pPr>
        <w:pStyle w:val="ListBullet"/>
      </w:pPr>
      <w:r>
        <w:t>A Recomendação 1 deve ser tratada como oferta prioritária.</w:t>
      </w:r>
    </w:p>
    <w:p>
      <w:pPr>
        <w:pStyle w:val="ListBullet"/>
      </w:pPr>
      <w:r>
        <w:t>Na aba Oportunidades, priorize combinações com maior score e base-alvo suficiente.</w:t>
      </w:r>
    </w:p>
    <w:p>
      <w:pPr>
        <w:pStyle w:val="ListBullet"/>
      </w:pPr>
      <w:r>
        <w:t>Na aba Bundles, use os pares com maior lift para estruturar kits e argumentos comerciais.</w:t>
      </w:r>
    </w:p>
    <w:p>
      <w:pPr>
        <w:pStyle w:val="ListBullet"/>
      </w:pPr>
      <w:r>
        <w:t>O menor cluster contém perfis raros; valide comercialmente antes de campanhas em escala.</w:t>
      </w:r>
    </w:p>
    <w:p>
      <w:pPr>
        <w:pStyle w:val="Heading1"/>
      </w:pPr>
      <w:r>
        <w:t>6. Nota metodológica</w:t>
      </w:r>
    </w:p>
    <w:p>
      <w:r>
        <w:t>Os valores foram transformados por log(1 + valor) e padronizados. Foram testados modelos K-Means com 3 a 6 clusters, escolhendo-se o maior silhouette. As recomendações priorizam itens ainda não comprados, combinando penetração no cluster, lift e volume médio. Quando o cliente já possui grande parte do portfólio, a recomendação assume caráter de upsell.</w:t>
      </w:r>
    </w:p>
    <w:p>
      <w:pPr>
        <w:jc w:val="center"/>
      </w:pPr>
      <w:r>
        <w:rPr>
          <w:b/>
          <w:color w:val="17365D"/>
          <w:sz w:val="28"/>
        </w:rPr>
        <w:t>CONVITE</w:t>
        <w:br/>
      </w:r>
      <w:r>
        <w:t>Para transformar estes clusters em campanhas comerciais e jornadas de pós-venda, entre em contato com a Fractals Ventures.</w:t>
        <w:br/>
      </w:r>
      <w:r>
        <w:rPr>
          <w:b/>
          <w:color w:val="2F75B5"/>
        </w:rPr>
        <w:t>www.fractalsventures.com.br  |  +55 19 99817-2324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