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FBCA58">
      <w:pPr>
        <w:pStyle w:val="42"/>
        <w:rPr>
          <w:lang w:val="pt-BR"/>
        </w:rPr>
      </w:pPr>
      <w:r>
        <w:rPr>
          <w:lang w:val="pt-BR"/>
        </w:rPr>
        <w:t>CENTRO ESTADUAL DE EDUCAÇÃO TECNOLÓGICA PAULA SOUZA</w:t>
      </w:r>
    </w:p>
    <w:p w14:paraId="138E8E34">
      <w:pPr>
        <w:pStyle w:val="42"/>
        <w:rPr>
          <w:lang w:val="pt-BR"/>
        </w:rPr>
      </w:pPr>
      <w:r>
        <w:rPr>
          <w:lang w:val="pt-BR"/>
        </w:rPr>
        <w:t>FACULDADE DE TECNOLOGIA DE INDAIATUBA</w:t>
      </w:r>
    </w:p>
    <w:p w14:paraId="5EF21A82">
      <w:pPr>
        <w:pStyle w:val="42"/>
        <w:rPr>
          <w:lang w:val="pt-BR"/>
        </w:rPr>
      </w:pPr>
      <w:r>
        <w:rPr>
          <w:lang w:val="pt-BR"/>
        </w:rPr>
        <w:t>DR. ARCHIMEDES LAMMOGLIA</w:t>
      </w:r>
    </w:p>
    <w:p w14:paraId="08EFE138">
      <w:pPr>
        <w:pStyle w:val="42"/>
        <w:rPr>
          <w:sz w:val="20"/>
          <w:szCs w:val="20"/>
          <w:lang w:val="pt-BR"/>
        </w:rPr>
      </w:pPr>
    </w:p>
    <w:p w14:paraId="759FDBB6">
      <w:pPr>
        <w:pStyle w:val="42"/>
        <w:rPr>
          <w:sz w:val="20"/>
          <w:szCs w:val="20"/>
          <w:lang w:val="pt-BR"/>
        </w:rPr>
      </w:pPr>
    </w:p>
    <w:p w14:paraId="10BCC211">
      <w:pPr>
        <w:pStyle w:val="42"/>
        <w:rPr>
          <w:sz w:val="20"/>
          <w:szCs w:val="20"/>
          <w:lang w:val="pt-BR"/>
        </w:rPr>
      </w:pPr>
    </w:p>
    <w:p w14:paraId="346DBDD9">
      <w:pPr>
        <w:pStyle w:val="42"/>
        <w:rPr>
          <w:sz w:val="20"/>
          <w:szCs w:val="20"/>
          <w:lang w:val="pt-BR"/>
        </w:rPr>
      </w:pPr>
    </w:p>
    <w:p w14:paraId="71190618">
      <w:pPr>
        <w:pStyle w:val="42"/>
        <w:rPr>
          <w:sz w:val="20"/>
          <w:szCs w:val="20"/>
          <w:lang w:val="pt-BR"/>
        </w:rPr>
      </w:pPr>
    </w:p>
    <w:p w14:paraId="680BC5DF">
      <w:pPr>
        <w:pStyle w:val="42"/>
        <w:rPr>
          <w:sz w:val="20"/>
          <w:szCs w:val="20"/>
          <w:lang w:val="pt-BR"/>
        </w:rPr>
      </w:pPr>
    </w:p>
    <w:p w14:paraId="26B2DF4B">
      <w:pPr>
        <w:pStyle w:val="42"/>
        <w:rPr>
          <w:sz w:val="20"/>
          <w:szCs w:val="20"/>
          <w:lang w:val="pt-BR"/>
        </w:rPr>
      </w:pPr>
    </w:p>
    <w:p w14:paraId="372D0D93">
      <w:pPr>
        <w:pStyle w:val="42"/>
        <w:rPr>
          <w:sz w:val="20"/>
          <w:szCs w:val="20"/>
          <w:lang w:val="pt-BR"/>
        </w:rPr>
      </w:pPr>
    </w:p>
    <w:p w14:paraId="566E8543">
      <w:pPr>
        <w:pStyle w:val="42"/>
        <w:rPr>
          <w:lang w:val="pt-BR"/>
        </w:rPr>
      </w:pPr>
      <w:r>
        <w:rPr>
          <w:lang w:val="pt-BR"/>
        </w:rPr>
        <w:t xml:space="preserve">LEONARDO MACHADO BAPTISTA </w:t>
      </w:r>
    </w:p>
    <w:p w14:paraId="68FB3268">
      <w:pPr>
        <w:pStyle w:val="42"/>
        <w:rPr>
          <w:lang w:val="pt-BR"/>
        </w:rPr>
      </w:pPr>
      <w:r>
        <w:rPr>
          <w:lang w:val="pt-BR"/>
        </w:rPr>
        <w:t>RICARDO LUCIANO FERREIRA</w:t>
      </w:r>
    </w:p>
    <w:p w14:paraId="07C99C2C">
      <w:pPr>
        <w:pStyle w:val="42"/>
        <w:rPr>
          <w:sz w:val="32"/>
          <w:szCs w:val="32"/>
          <w:lang w:val="pt-BR"/>
        </w:rPr>
      </w:pPr>
    </w:p>
    <w:p w14:paraId="5C78F609">
      <w:pPr>
        <w:pStyle w:val="42"/>
        <w:rPr>
          <w:sz w:val="32"/>
          <w:szCs w:val="32"/>
          <w:lang w:val="pt-BR"/>
        </w:rPr>
      </w:pPr>
    </w:p>
    <w:p w14:paraId="27839DFF">
      <w:pPr>
        <w:pStyle w:val="42"/>
        <w:rPr>
          <w:sz w:val="32"/>
          <w:szCs w:val="32"/>
          <w:lang w:val="pt-BR"/>
        </w:rPr>
      </w:pPr>
    </w:p>
    <w:p w14:paraId="7F511A99">
      <w:pPr>
        <w:pStyle w:val="42"/>
        <w:rPr>
          <w:sz w:val="32"/>
          <w:szCs w:val="32"/>
          <w:lang w:val="pt-BR"/>
        </w:rPr>
      </w:pPr>
    </w:p>
    <w:p w14:paraId="65764D0D">
      <w:pPr>
        <w:pStyle w:val="42"/>
        <w:rPr>
          <w:sz w:val="32"/>
          <w:szCs w:val="32"/>
          <w:lang w:val="pt-BR"/>
        </w:rPr>
      </w:pPr>
    </w:p>
    <w:p w14:paraId="0676D41A">
      <w:pPr>
        <w:pStyle w:val="42"/>
        <w:rPr>
          <w:sz w:val="32"/>
          <w:szCs w:val="32"/>
          <w:lang w:val="pt-BR"/>
        </w:rPr>
      </w:pPr>
    </w:p>
    <w:p w14:paraId="17B39DE6">
      <w:pPr>
        <w:pStyle w:val="42"/>
        <w:rPr>
          <w:sz w:val="32"/>
          <w:szCs w:val="32"/>
          <w:lang w:val="pt-BR"/>
        </w:rPr>
      </w:pPr>
    </w:p>
    <w:p w14:paraId="60BD39B9">
      <w:pPr>
        <w:pStyle w:val="42"/>
        <w:rPr>
          <w:sz w:val="31"/>
          <w:szCs w:val="31"/>
          <w:lang w:val="pt-BR"/>
        </w:rPr>
      </w:pPr>
      <w:r>
        <w:rPr>
          <w:b/>
          <w:bCs/>
          <w:sz w:val="31"/>
          <w:szCs w:val="31"/>
          <w:lang w:val="pt-BR"/>
        </w:rPr>
        <w:t xml:space="preserve">A Transformação Digital na Segurança do Trabalho: </w:t>
      </w:r>
      <w:r>
        <w:rPr>
          <w:sz w:val="31"/>
          <w:szCs w:val="31"/>
          <w:lang w:val="pt-BR"/>
        </w:rPr>
        <w:t>Aplicação da IOT na segurança do trabalho</w:t>
      </w:r>
    </w:p>
    <w:p w14:paraId="565C5EC0">
      <w:pPr>
        <w:pStyle w:val="42"/>
        <w:rPr>
          <w:sz w:val="34"/>
          <w:szCs w:val="34"/>
          <w:lang w:val="pt-BR"/>
        </w:rPr>
      </w:pPr>
    </w:p>
    <w:p w14:paraId="30ABBED9">
      <w:pPr>
        <w:pStyle w:val="42"/>
        <w:rPr>
          <w:sz w:val="34"/>
          <w:szCs w:val="34"/>
          <w:lang w:val="pt-BR"/>
        </w:rPr>
      </w:pPr>
    </w:p>
    <w:p w14:paraId="47C54F2B">
      <w:pPr>
        <w:pStyle w:val="42"/>
        <w:rPr>
          <w:sz w:val="34"/>
          <w:szCs w:val="34"/>
          <w:lang w:val="pt-BR"/>
        </w:rPr>
      </w:pPr>
    </w:p>
    <w:p w14:paraId="777AF145">
      <w:pPr>
        <w:pStyle w:val="42"/>
        <w:rPr>
          <w:sz w:val="34"/>
          <w:szCs w:val="34"/>
          <w:lang w:val="pt-BR"/>
        </w:rPr>
      </w:pPr>
    </w:p>
    <w:p w14:paraId="4286DD4D">
      <w:pPr>
        <w:pStyle w:val="42"/>
        <w:rPr>
          <w:sz w:val="34"/>
          <w:szCs w:val="34"/>
          <w:lang w:val="pt-BR"/>
        </w:rPr>
      </w:pPr>
    </w:p>
    <w:p w14:paraId="4AE4A8EA">
      <w:pPr>
        <w:pStyle w:val="42"/>
        <w:rPr>
          <w:sz w:val="34"/>
          <w:szCs w:val="34"/>
          <w:lang w:val="pt-BR"/>
        </w:rPr>
      </w:pPr>
    </w:p>
    <w:p w14:paraId="4130FFF6">
      <w:pPr>
        <w:pStyle w:val="42"/>
        <w:rPr>
          <w:sz w:val="34"/>
          <w:szCs w:val="34"/>
          <w:lang w:val="pt-BR"/>
        </w:rPr>
      </w:pPr>
    </w:p>
    <w:p w14:paraId="0FD849E0">
      <w:pPr>
        <w:pStyle w:val="42"/>
        <w:rPr>
          <w:sz w:val="34"/>
          <w:szCs w:val="34"/>
          <w:lang w:val="pt-BR"/>
        </w:rPr>
      </w:pPr>
    </w:p>
    <w:p w14:paraId="7796D11E">
      <w:pPr>
        <w:pStyle w:val="42"/>
        <w:rPr>
          <w:sz w:val="34"/>
          <w:szCs w:val="34"/>
          <w:lang w:val="pt-BR"/>
        </w:rPr>
      </w:pPr>
    </w:p>
    <w:p w14:paraId="6FE15552">
      <w:pPr>
        <w:pStyle w:val="42"/>
        <w:rPr>
          <w:sz w:val="34"/>
          <w:szCs w:val="34"/>
          <w:lang w:val="pt-BR"/>
        </w:rPr>
      </w:pPr>
    </w:p>
    <w:p w14:paraId="32931A82">
      <w:pPr>
        <w:pStyle w:val="42"/>
        <w:rPr>
          <w:sz w:val="34"/>
          <w:szCs w:val="34"/>
          <w:lang w:val="pt-BR"/>
        </w:rPr>
      </w:pPr>
    </w:p>
    <w:p w14:paraId="506CC079">
      <w:pPr>
        <w:pStyle w:val="42"/>
        <w:rPr>
          <w:sz w:val="34"/>
          <w:szCs w:val="34"/>
          <w:lang w:val="pt-BR"/>
        </w:rPr>
      </w:pPr>
    </w:p>
    <w:p w14:paraId="7720B43A">
      <w:pPr>
        <w:pStyle w:val="42"/>
        <w:rPr>
          <w:sz w:val="29"/>
          <w:szCs w:val="29"/>
          <w:lang w:val="pt-BR"/>
        </w:rPr>
      </w:pPr>
    </w:p>
    <w:p w14:paraId="5AA1784F">
      <w:pPr>
        <w:pStyle w:val="42"/>
        <w:rPr>
          <w:sz w:val="29"/>
          <w:szCs w:val="29"/>
          <w:lang w:val="pt-BR"/>
        </w:rPr>
      </w:pPr>
    </w:p>
    <w:p w14:paraId="2099D52A">
      <w:pPr>
        <w:pStyle w:val="42"/>
        <w:rPr>
          <w:lang w:val="pt-BR"/>
        </w:rPr>
      </w:pPr>
      <w:r>
        <w:rPr>
          <w:lang w:val="pt-BR"/>
        </w:rPr>
        <w:t>Indaiatuba,</w:t>
      </w:r>
    </w:p>
    <w:p w14:paraId="489381FA">
      <w:pPr>
        <w:pStyle w:val="42"/>
        <w:rPr>
          <w:szCs w:val="28"/>
          <w:lang w:val="pt-BR"/>
        </w:rPr>
        <w:sectPr>
          <w:headerReference r:id="rId7" w:type="first"/>
          <w:footerReference r:id="rId10" w:type="first"/>
          <w:headerReference r:id="rId5" w:type="default"/>
          <w:footerReference r:id="rId8" w:type="default"/>
          <w:headerReference r:id="rId6" w:type="even"/>
          <w:footerReference r:id="rId9" w:type="even"/>
          <w:pgSz w:w="11910" w:h="16850"/>
          <w:pgMar w:top="1701" w:right="1134" w:bottom="1134" w:left="1701" w:header="1682" w:footer="0" w:gutter="0"/>
          <w:pgNumType w:start="1"/>
          <w:cols w:space="0" w:num="1"/>
        </w:sectPr>
      </w:pPr>
      <w:r>
        <w:rPr>
          <w:szCs w:val="28"/>
          <w:lang w:val="pt-BR"/>
        </w:rPr>
        <w:t>2025</w:t>
      </w:r>
    </w:p>
    <w:p w14:paraId="5DEE25DE">
      <w:pPr>
        <w:pStyle w:val="42"/>
        <w:rPr>
          <w:lang w:val="pt-BR"/>
        </w:rPr>
      </w:pPr>
      <w:r>
        <w:rPr>
          <w:lang w:val="pt-BR"/>
        </w:rPr>
        <w:t>CENTRO ESTADUAL DE EDUCAÇÃO TECNOLÓGICA PAULA SOUZA</w:t>
      </w:r>
    </w:p>
    <w:p w14:paraId="142F8B85">
      <w:pPr>
        <w:pStyle w:val="42"/>
        <w:rPr>
          <w:lang w:val="pt-BR"/>
        </w:rPr>
      </w:pPr>
      <w:r>
        <w:rPr>
          <w:lang w:val="pt-BR"/>
        </w:rPr>
        <w:t>FACULDADE DE TECNOLOGIA DE INDAIATUBA</w:t>
      </w:r>
    </w:p>
    <w:p w14:paraId="7F0826EF">
      <w:pPr>
        <w:pStyle w:val="42"/>
        <w:rPr>
          <w:lang w:val="pt-BR"/>
        </w:rPr>
      </w:pPr>
      <w:r>
        <w:rPr>
          <w:lang w:val="pt-BR"/>
        </w:rPr>
        <w:t>DR. ARCHIMEDES LAMMOGLIA</w:t>
      </w:r>
    </w:p>
    <w:p w14:paraId="76CA92CF">
      <w:pPr>
        <w:pStyle w:val="42"/>
        <w:rPr>
          <w:sz w:val="20"/>
          <w:szCs w:val="20"/>
          <w:lang w:val="pt-BR"/>
        </w:rPr>
      </w:pPr>
    </w:p>
    <w:p w14:paraId="546F164B">
      <w:pPr>
        <w:pStyle w:val="42"/>
        <w:rPr>
          <w:sz w:val="20"/>
          <w:szCs w:val="20"/>
          <w:lang w:val="pt-BR"/>
        </w:rPr>
      </w:pPr>
    </w:p>
    <w:p w14:paraId="44B72844">
      <w:pPr>
        <w:pStyle w:val="42"/>
        <w:rPr>
          <w:sz w:val="20"/>
          <w:szCs w:val="20"/>
          <w:lang w:val="pt-BR"/>
        </w:rPr>
      </w:pPr>
    </w:p>
    <w:p w14:paraId="41909D8F">
      <w:pPr>
        <w:pStyle w:val="42"/>
        <w:rPr>
          <w:sz w:val="20"/>
          <w:szCs w:val="20"/>
          <w:lang w:val="pt-BR"/>
        </w:rPr>
      </w:pPr>
    </w:p>
    <w:p w14:paraId="63F93D28">
      <w:pPr>
        <w:pStyle w:val="42"/>
        <w:rPr>
          <w:sz w:val="20"/>
          <w:szCs w:val="20"/>
          <w:lang w:val="pt-BR"/>
        </w:rPr>
      </w:pPr>
    </w:p>
    <w:p w14:paraId="41DFBE1F">
      <w:pPr>
        <w:pStyle w:val="42"/>
        <w:rPr>
          <w:sz w:val="20"/>
          <w:szCs w:val="20"/>
          <w:lang w:val="pt-BR"/>
        </w:rPr>
      </w:pPr>
    </w:p>
    <w:p w14:paraId="3F8D8A7F">
      <w:pPr>
        <w:pStyle w:val="42"/>
        <w:rPr>
          <w:sz w:val="20"/>
          <w:szCs w:val="20"/>
          <w:lang w:val="pt-BR"/>
        </w:rPr>
      </w:pPr>
    </w:p>
    <w:p w14:paraId="3406FECF">
      <w:pPr>
        <w:pStyle w:val="42"/>
        <w:rPr>
          <w:szCs w:val="28"/>
          <w:lang w:val="pt-BR"/>
        </w:rPr>
      </w:pPr>
      <w:r>
        <w:rPr>
          <w:szCs w:val="28"/>
          <w:lang w:val="pt-BR"/>
        </w:rPr>
        <w:t xml:space="preserve">LEONARDO MACHADO BAPTISTA </w:t>
      </w:r>
    </w:p>
    <w:p w14:paraId="0B6A086B">
      <w:pPr>
        <w:pStyle w:val="42"/>
        <w:rPr>
          <w:szCs w:val="28"/>
          <w:lang w:val="pt-BR"/>
        </w:rPr>
      </w:pPr>
      <w:r>
        <w:rPr>
          <w:szCs w:val="28"/>
          <w:lang w:val="pt-BR"/>
        </w:rPr>
        <w:t>RICARDO LUCIANO FERREIRA</w:t>
      </w:r>
    </w:p>
    <w:p w14:paraId="7DD1B3B4">
      <w:pPr>
        <w:pStyle w:val="42"/>
        <w:rPr>
          <w:sz w:val="32"/>
          <w:szCs w:val="32"/>
          <w:lang w:val="pt-BR"/>
        </w:rPr>
      </w:pPr>
    </w:p>
    <w:p w14:paraId="70E8017D">
      <w:pPr>
        <w:pStyle w:val="42"/>
        <w:rPr>
          <w:sz w:val="32"/>
          <w:szCs w:val="32"/>
          <w:lang w:val="pt-BR"/>
        </w:rPr>
      </w:pPr>
    </w:p>
    <w:p w14:paraId="0F8E176B">
      <w:pPr>
        <w:pStyle w:val="42"/>
        <w:rPr>
          <w:sz w:val="32"/>
          <w:szCs w:val="32"/>
          <w:lang w:val="pt-BR"/>
        </w:rPr>
      </w:pPr>
    </w:p>
    <w:p w14:paraId="592512DA">
      <w:pPr>
        <w:pStyle w:val="42"/>
        <w:rPr>
          <w:sz w:val="32"/>
          <w:szCs w:val="32"/>
          <w:lang w:val="pt-BR"/>
        </w:rPr>
      </w:pPr>
    </w:p>
    <w:p w14:paraId="7E510AC3">
      <w:pPr>
        <w:pStyle w:val="42"/>
        <w:rPr>
          <w:sz w:val="32"/>
          <w:szCs w:val="32"/>
          <w:lang w:val="pt-BR"/>
        </w:rPr>
      </w:pPr>
    </w:p>
    <w:p w14:paraId="0616C551">
      <w:pPr>
        <w:pStyle w:val="42"/>
        <w:rPr>
          <w:sz w:val="32"/>
          <w:szCs w:val="32"/>
          <w:lang w:val="pt-BR"/>
        </w:rPr>
      </w:pPr>
    </w:p>
    <w:p w14:paraId="329C6C40">
      <w:pPr>
        <w:pStyle w:val="42"/>
        <w:rPr>
          <w:sz w:val="32"/>
          <w:szCs w:val="32"/>
          <w:lang w:val="pt-BR"/>
        </w:rPr>
      </w:pPr>
    </w:p>
    <w:p w14:paraId="35F19317">
      <w:pPr>
        <w:pStyle w:val="42"/>
        <w:rPr>
          <w:sz w:val="31"/>
          <w:szCs w:val="31"/>
          <w:lang w:val="pt-BR"/>
        </w:rPr>
      </w:pPr>
      <w:r>
        <w:rPr>
          <w:b/>
          <w:bCs/>
          <w:sz w:val="31"/>
          <w:szCs w:val="31"/>
          <w:lang w:val="pt-BR"/>
        </w:rPr>
        <w:t xml:space="preserve">A Transformação Digital na Segurança do Trabalho: </w:t>
      </w:r>
      <w:r>
        <w:rPr>
          <w:sz w:val="31"/>
          <w:szCs w:val="31"/>
          <w:lang w:val="pt-BR"/>
        </w:rPr>
        <w:t>Aplicação da IOT na segurança do trabalho</w:t>
      </w:r>
    </w:p>
    <w:p w14:paraId="0FA4A9E8">
      <w:pPr>
        <w:pStyle w:val="42"/>
        <w:rPr>
          <w:sz w:val="34"/>
          <w:szCs w:val="34"/>
          <w:lang w:val="pt-BR"/>
        </w:rPr>
      </w:pPr>
    </w:p>
    <w:p w14:paraId="3B16E6DF">
      <w:pPr>
        <w:spacing w:before="204"/>
        <w:ind w:left="4217" w:right="410"/>
        <w:rPr>
          <w:color w:val="000000"/>
          <w:lang w:val="pt-BR"/>
        </w:rPr>
      </w:pPr>
      <w:r>
        <w:rPr>
          <w:color w:val="000000" w:themeColor="text1"/>
          <w:lang w:val="pt-BR"/>
          <w14:textFill>
            <w14:solidFill>
              <w14:schemeClr w14:val="tx1"/>
            </w14:solidFill>
          </w14:textFill>
        </w:rPr>
        <w:t>Projeto de Trabalho de Graduação apresentado por Leonardo Machado Baptista e Ricardo Luciano Ferreira como pré-requisito para a conclusão do Curso Superior de Análise e Desenvolvimento de Sistemas, da Faculdade de Tecnologia de Indaiatuba, elaborado sob a orientação do Prof. Michel Munhoz</w:t>
      </w:r>
    </w:p>
    <w:p w14:paraId="38E229E5">
      <w:pPr>
        <w:pStyle w:val="42"/>
        <w:rPr>
          <w:sz w:val="26"/>
          <w:szCs w:val="26"/>
          <w:lang w:val="pt-BR"/>
        </w:rPr>
      </w:pPr>
    </w:p>
    <w:p w14:paraId="576E14F9">
      <w:pPr>
        <w:pStyle w:val="42"/>
        <w:rPr>
          <w:sz w:val="26"/>
          <w:szCs w:val="26"/>
          <w:lang w:val="pt-BR"/>
        </w:rPr>
      </w:pPr>
    </w:p>
    <w:p w14:paraId="35278C0B">
      <w:pPr>
        <w:pStyle w:val="42"/>
        <w:rPr>
          <w:sz w:val="26"/>
          <w:szCs w:val="26"/>
          <w:lang w:val="pt-BR"/>
        </w:rPr>
      </w:pPr>
    </w:p>
    <w:p w14:paraId="493457F0">
      <w:pPr>
        <w:pStyle w:val="42"/>
        <w:rPr>
          <w:sz w:val="26"/>
          <w:szCs w:val="26"/>
          <w:lang w:val="pt-BR"/>
        </w:rPr>
      </w:pPr>
    </w:p>
    <w:p w14:paraId="781E7923">
      <w:pPr>
        <w:pStyle w:val="42"/>
        <w:rPr>
          <w:sz w:val="26"/>
          <w:szCs w:val="26"/>
          <w:lang w:val="pt-BR"/>
        </w:rPr>
      </w:pPr>
    </w:p>
    <w:p w14:paraId="2C9084DA">
      <w:pPr>
        <w:pStyle w:val="42"/>
        <w:rPr>
          <w:sz w:val="26"/>
          <w:szCs w:val="26"/>
          <w:lang w:val="pt-BR"/>
        </w:rPr>
      </w:pPr>
    </w:p>
    <w:p w14:paraId="121D8318">
      <w:pPr>
        <w:pStyle w:val="42"/>
        <w:rPr>
          <w:sz w:val="26"/>
          <w:szCs w:val="26"/>
          <w:lang w:val="pt-BR"/>
        </w:rPr>
      </w:pPr>
    </w:p>
    <w:p w14:paraId="030919FE">
      <w:pPr>
        <w:pStyle w:val="42"/>
        <w:rPr>
          <w:lang w:val="pt-BR"/>
        </w:rPr>
      </w:pPr>
      <w:r>
        <w:rPr>
          <w:lang w:val="pt-BR"/>
        </w:rPr>
        <w:t>Indaiatuba,</w:t>
      </w:r>
      <w:bookmarkStart w:id="0" w:name="_30j0zll"/>
      <w:bookmarkEnd w:id="0"/>
    </w:p>
    <w:p w14:paraId="1DD12851">
      <w:pPr>
        <w:pStyle w:val="42"/>
        <w:rPr>
          <w:lang w:val="pt-BR"/>
        </w:rPr>
      </w:pPr>
      <w:r>
        <w:rPr>
          <w:lang w:val="pt-BR"/>
        </w:rPr>
        <w:t>2025</w:t>
      </w:r>
    </w:p>
    <w:p w14:paraId="02C3366A">
      <w:pPr>
        <w:pStyle w:val="42"/>
        <w:rPr>
          <w:lang w:val="pt-BR"/>
        </w:rPr>
      </w:pPr>
      <w:bookmarkStart w:id="10" w:name="_GoBack"/>
      <w:bookmarkEnd w:id="10"/>
    </w:p>
    <w:p w14:paraId="03C91234">
      <w:pPr>
        <w:jc w:val="center"/>
        <w:rPr>
          <w:b/>
          <w:bCs/>
          <w:sz w:val="28"/>
          <w:szCs w:val="28"/>
          <w:lang w:val="pt-BR"/>
        </w:rPr>
      </w:pPr>
      <w:r>
        <w:rPr>
          <w:b/>
          <w:bCs/>
          <w:sz w:val="28"/>
          <w:szCs w:val="28"/>
          <w:lang w:val="pt-BR"/>
        </w:rPr>
        <w:t>SUMÁRIO</w:t>
      </w:r>
    </w:p>
    <w:p w14:paraId="673C7970">
      <w:pPr>
        <w:jc w:val="center"/>
        <w:rPr>
          <w:b/>
          <w:bCs/>
          <w:sz w:val="28"/>
          <w:szCs w:val="28"/>
          <w:lang w:val="pt-BR"/>
        </w:rPr>
      </w:pPr>
    </w:p>
    <w:sdt>
      <w:sdtPr>
        <w:id w:val="711961111"/>
        <w:docPartObj>
          <w:docPartGallery w:val="Table of Contents"/>
          <w:docPartUnique/>
        </w:docPartObj>
      </w:sdtPr>
      <w:sdtContent>
        <w:p w14:paraId="67A5E00C">
          <w:pPr>
            <w:pStyle w:val="20"/>
            <w:tabs>
              <w:tab w:val="right" w:leader="dot" w:pos="9075"/>
            </w:tabs>
            <w:rPr>
              <w:rStyle w:val="12"/>
            </w:rPr>
          </w:pPr>
          <w:r>
            <w:fldChar w:fldCharType="begin"/>
          </w:r>
          <w:r>
            <w:instrText xml:space="preserve">TOC \o "1-9" \z \u \h</w:instrText>
          </w:r>
          <w:r>
            <w:fldChar w:fldCharType="separate"/>
          </w:r>
          <w:r>
            <w:fldChar w:fldCharType="begin"/>
          </w:r>
          <w:r>
            <w:instrText xml:space="preserve"> HYPERLINK \l "_Toc132865396" \h </w:instrText>
          </w:r>
          <w:r>
            <w:fldChar w:fldCharType="separate"/>
          </w:r>
          <w:r>
            <w:rPr>
              <w:rStyle w:val="12"/>
            </w:rPr>
            <w:t>INTRODUÇÃO</w:t>
          </w:r>
          <w:r>
            <w:tab/>
          </w:r>
          <w:r>
            <w:fldChar w:fldCharType="begin"/>
          </w:r>
          <w:r>
            <w:instrText xml:space="preserve">PAGEREF _Toc132865396 \h</w:instrText>
          </w:r>
          <w:r>
            <w:fldChar w:fldCharType="separate"/>
          </w:r>
          <w:r>
            <w:rPr>
              <w:rStyle w:val="12"/>
            </w:rPr>
            <w:t>3</w:t>
          </w:r>
          <w:r>
            <w:fldChar w:fldCharType="end"/>
          </w:r>
          <w:r>
            <w:fldChar w:fldCharType="end"/>
          </w:r>
        </w:p>
        <w:p w14:paraId="46A4AA04">
          <w:pPr>
            <w:pStyle w:val="20"/>
            <w:tabs>
              <w:tab w:val="right" w:leader="dot" w:pos="9075"/>
            </w:tabs>
            <w:rPr>
              <w:rStyle w:val="12"/>
            </w:rPr>
          </w:pPr>
          <w:r>
            <w:fldChar w:fldCharType="begin"/>
          </w:r>
          <w:r>
            <w:instrText xml:space="preserve"> HYPERLINK \l "_Toc295244122" \h </w:instrText>
          </w:r>
          <w:r>
            <w:fldChar w:fldCharType="separate"/>
          </w:r>
          <w:r>
            <w:rPr>
              <w:rStyle w:val="12"/>
            </w:rPr>
            <w:t>REFERÊNCIA</w:t>
          </w:r>
          <w:r>
            <w:tab/>
          </w:r>
          <w:r>
            <w:fldChar w:fldCharType="begin"/>
          </w:r>
          <w:r>
            <w:instrText xml:space="preserve">PAGEREF _Toc295244122 \h</w:instrText>
          </w:r>
          <w:r>
            <w:fldChar w:fldCharType="separate"/>
          </w:r>
          <w:r>
            <w:rPr>
              <w:rStyle w:val="12"/>
            </w:rPr>
            <w:t>7</w:t>
          </w:r>
          <w:r>
            <w:fldChar w:fldCharType="end"/>
          </w:r>
          <w:r>
            <w:fldChar w:fldCharType="end"/>
          </w:r>
        </w:p>
        <w:p w14:paraId="71E27DFD">
          <w:pPr>
            <w:pStyle w:val="20"/>
            <w:tabs>
              <w:tab w:val="right" w:leader="dot" w:pos="9075"/>
            </w:tabs>
            <w:rPr>
              <w:rStyle w:val="12"/>
            </w:rPr>
          </w:pPr>
          <w:r>
            <w:fldChar w:fldCharType="begin"/>
          </w:r>
          <w:r>
            <w:instrText xml:space="preserve"> HYPERLINK \l "_Toc1144449547" \h </w:instrText>
          </w:r>
          <w:r>
            <w:fldChar w:fldCharType="separate"/>
          </w:r>
          <w:r>
            <w:rPr>
              <w:rStyle w:val="12"/>
            </w:rPr>
            <w:t>JUSTIFICATIVA</w:t>
          </w:r>
          <w:r>
            <w:tab/>
          </w:r>
          <w:r>
            <w:fldChar w:fldCharType="begin"/>
          </w:r>
          <w:r>
            <w:instrText xml:space="preserve">PAGEREF _Toc1144449547 \h</w:instrText>
          </w:r>
          <w:r>
            <w:fldChar w:fldCharType="separate"/>
          </w:r>
          <w:r>
            <w:rPr>
              <w:rStyle w:val="12"/>
            </w:rPr>
            <w:t>13</w:t>
          </w:r>
          <w:r>
            <w:fldChar w:fldCharType="end"/>
          </w:r>
          <w:r>
            <w:fldChar w:fldCharType="end"/>
          </w:r>
        </w:p>
        <w:p w14:paraId="420180F2">
          <w:pPr>
            <w:pStyle w:val="20"/>
            <w:tabs>
              <w:tab w:val="right" w:leader="dot" w:pos="9075"/>
            </w:tabs>
            <w:rPr>
              <w:rStyle w:val="12"/>
            </w:rPr>
          </w:pPr>
          <w:r>
            <w:fldChar w:fldCharType="begin"/>
          </w:r>
          <w:r>
            <w:instrText xml:space="preserve"> HYPERLINK \l "_Toc1098258790" \h </w:instrText>
          </w:r>
          <w:r>
            <w:fldChar w:fldCharType="separate"/>
          </w:r>
          <w:r>
            <w:rPr>
              <w:rStyle w:val="12"/>
            </w:rPr>
            <w:t>PROBLEMÁTICA</w:t>
          </w:r>
          <w:r>
            <w:tab/>
          </w:r>
          <w:r>
            <w:fldChar w:fldCharType="begin"/>
          </w:r>
          <w:r>
            <w:instrText xml:space="preserve">PAGEREF _Toc1098258790 \h</w:instrText>
          </w:r>
          <w:r>
            <w:fldChar w:fldCharType="separate"/>
          </w:r>
          <w:r>
            <w:rPr>
              <w:rStyle w:val="12"/>
            </w:rPr>
            <w:t>14</w:t>
          </w:r>
          <w:r>
            <w:fldChar w:fldCharType="end"/>
          </w:r>
          <w:r>
            <w:fldChar w:fldCharType="end"/>
          </w:r>
        </w:p>
        <w:p w14:paraId="64EE88F5">
          <w:pPr>
            <w:pStyle w:val="20"/>
            <w:tabs>
              <w:tab w:val="right" w:leader="dot" w:pos="9075"/>
            </w:tabs>
            <w:rPr>
              <w:rStyle w:val="12"/>
            </w:rPr>
          </w:pPr>
          <w:r>
            <w:fldChar w:fldCharType="begin"/>
          </w:r>
          <w:r>
            <w:instrText xml:space="preserve"> HYPERLINK \l "_Toc617289388" \h </w:instrText>
          </w:r>
          <w:r>
            <w:fldChar w:fldCharType="separate"/>
          </w:r>
          <w:r>
            <w:rPr>
              <w:rStyle w:val="12"/>
            </w:rPr>
            <w:t>HIPÓTESE</w:t>
          </w:r>
          <w:r>
            <w:tab/>
          </w:r>
          <w:r>
            <w:fldChar w:fldCharType="begin"/>
          </w:r>
          <w:r>
            <w:instrText xml:space="preserve">PAGEREF _Toc617289388 \h</w:instrText>
          </w:r>
          <w:r>
            <w:fldChar w:fldCharType="separate"/>
          </w:r>
          <w:r>
            <w:rPr>
              <w:rStyle w:val="12"/>
            </w:rPr>
            <w:t>15</w:t>
          </w:r>
          <w:r>
            <w:fldChar w:fldCharType="end"/>
          </w:r>
          <w:r>
            <w:fldChar w:fldCharType="end"/>
          </w:r>
        </w:p>
        <w:p w14:paraId="5560331C">
          <w:pPr>
            <w:pStyle w:val="20"/>
            <w:tabs>
              <w:tab w:val="right" w:leader="dot" w:pos="9075"/>
            </w:tabs>
            <w:rPr>
              <w:rStyle w:val="12"/>
            </w:rPr>
          </w:pPr>
          <w:r>
            <w:fldChar w:fldCharType="begin"/>
          </w:r>
          <w:r>
            <w:instrText xml:space="preserve"> HYPERLINK \l "_Toc734089005" \h </w:instrText>
          </w:r>
          <w:r>
            <w:fldChar w:fldCharType="separate"/>
          </w:r>
          <w:r>
            <w:rPr>
              <w:rStyle w:val="12"/>
            </w:rPr>
            <w:t>OBJETIVO</w:t>
          </w:r>
          <w:r>
            <w:tab/>
          </w:r>
          <w:r>
            <w:fldChar w:fldCharType="begin"/>
          </w:r>
          <w:r>
            <w:instrText xml:space="preserve">PAGEREF _Toc734089005 \h</w:instrText>
          </w:r>
          <w:r>
            <w:fldChar w:fldCharType="separate"/>
          </w:r>
          <w:r>
            <w:rPr>
              <w:rStyle w:val="12"/>
            </w:rPr>
            <w:t>15</w:t>
          </w:r>
          <w:r>
            <w:fldChar w:fldCharType="end"/>
          </w:r>
          <w:r>
            <w:fldChar w:fldCharType="end"/>
          </w:r>
        </w:p>
        <w:p w14:paraId="612D94E3">
          <w:pPr>
            <w:pStyle w:val="20"/>
            <w:tabs>
              <w:tab w:val="right" w:leader="dot" w:pos="9075"/>
            </w:tabs>
            <w:rPr>
              <w:rStyle w:val="12"/>
            </w:rPr>
          </w:pPr>
          <w:r>
            <w:fldChar w:fldCharType="begin"/>
          </w:r>
          <w:r>
            <w:instrText xml:space="preserve"> HYPERLINK \l "_Toc1683252875" \h </w:instrText>
          </w:r>
          <w:r>
            <w:fldChar w:fldCharType="separate"/>
          </w:r>
          <w:r>
            <w:rPr>
              <w:rStyle w:val="12"/>
            </w:rPr>
            <w:t>METODOLOGIA</w:t>
          </w:r>
          <w:r>
            <w:tab/>
          </w:r>
          <w:r>
            <w:fldChar w:fldCharType="begin"/>
          </w:r>
          <w:r>
            <w:instrText xml:space="preserve">PAGEREF _Toc1683252875 \h</w:instrText>
          </w:r>
          <w:r>
            <w:fldChar w:fldCharType="separate"/>
          </w:r>
          <w:r>
            <w:rPr>
              <w:rStyle w:val="12"/>
            </w:rPr>
            <w:t>16</w:t>
          </w:r>
          <w:r>
            <w:fldChar w:fldCharType="end"/>
          </w:r>
          <w:r>
            <w:fldChar w:fldCharType="end"/>
          </w:r>
        </w:p>
        <w:p w14:paraId="505ADF73">
          <w:pPr>
            <w:pStyle w:val="20"/>
            <w:tabs>
              <w:tab w:val="right" w:leader="dot" w:pos="9075"/>
            </w:tabs>
            <w:rPr>
              <w:rStyle w:val="12"/>
            </w:rPr>
          </w:pPr>
          <w:r>
            <w:fldChar w:fldCharType="begin"/>
          </w:r>
          <w:r>
            <w:instrText xml:space="preserve"> HYPERLINK \l "_Toc1122910161" \h </w:instrText>
          </w:r>
          <w:r>
            <w:fldChar w:fldCharType="separate"/>
          </w:r>
          <w:r>
            <w:rPr>
              <w:rStyle w:val="12"/>
            </w:rPr>
            <w:t>REFERÊNCIAS</w:t>
          </w:r>
          <w:r>
            <w:tab/>
          </w:r>
          <w:r>
            <w:fldChar w:fldCharType="begin"/>
          </w:r>
          <w:r>
            <w:instrText xml:space="preserve">PAGEREF _Toc1122910161 \h</w:instrText>
          </w:r>
          <w:r>
            <w:fldChar w:fldCharType="separate"/>
          </w:r>
          <w:r>
            <w:rPr>
              <w:rStyle w:val="12"/>
            </w:rPr>
            <w:t>23</w:t>
          </w:r>
          <w:r>
            <w:fldChar w:fldCharType="end"/>
          </w:r>
          <w:r>
            <w:fldChar w:fldCharType="end"/>
          </w:r>
          <w:r>
            <w:fldChar w:fldCharType="end"/>
          </w:r>
        </w:p>
      </w:sdtContent>
    </w:sdt>
    <w:p w14:paraId="0A626298">
      <w:pPr>
        <w:pStyle w:val="37"/>
        <w:spacing w:line="259" w:lineRule="auto"/>
        <w:rPr>
          <w:lang w:val="pt-BR"/>
        </w:rPr>
      </w:pPr>
    </w:p>
    <w:p w14:paraId="12DE7003">
      <w:pPr>
        <w:pStyle w:val="42"/>
        <w:rPr>
          <w:lang w:val="pt-BR"/>
        </w:rPr>
        <w:sectPr>
          <w:headerReference r:id="rId11" w:type="first"/>
          <w:footerReference r:id="rId13" w:type="first"/>
          <w:footerReference r:id="rId12" w:type="default"/>
          <w:pgSz w:w="11910" w:h="16850"/>
          <w:pgMar w:top="1701" w:right="1134" w:bottom="1134" w:left="1701" w:header="1682" w:footer="0" w:gutter="0"/>
          <w:cols w:space="0" w:num="1"/>
        </w:sectPr>
      </w:pPr>
    </w:p>
    <w:p w14:paraId="17608902">
      <w:pPr>
        <w:pStyle w:val="37"/>
        <w:rPr>
          <w:lang w:val="pt-BR"/>
        </w:rPr>
      </w:pPr>
      <w:bookmarkStart w:id="1" w:name="_Toc132865396"/>
      <w:r>
        <w:rPr>
          <w:lang w:val="pt-BR"/>
        </w:rPr>
        <w:t>INTRODUÇÃO</w:t>
      </w:r>
      <w:bookmarkEnd w:id="1"/>
    </w:p>
    <w:p w14:paraId="3E09BBB7">
      <w:pPr>
        <w:rPr>
          <w:lang w:val="pt-BR"/>
        </w:rPr>
      </w:pPr>
      <w:r>
        <w:rPr>
          <w:lang w:val="pt-BR"/>
        </w:rPr>
        <w:t xml:space="preserve">A saúde e a segurança são uma parte essencial de qualquer organização, espera-se que as empresas contem com um departamento responsável que garanta um ambiente seguro para que os colaboradores possam desempenhar suas funções, apesar disto, o número de acidentes de trabalho vem aumentando nos últimos anos. </w:t>
      </w:r>
      <w:sdt>
        <w:sdtPr>
          <w:rPr>
            <w:lang w:val="pt-BR"/>
          </w:rPr>
          <w:id w:val="-1503426991"/>
        </w:sdtPr>
        <w:sdtEndPr>
          <w:rPr>
            <w:lang w:val="pt-BR"/>
          </w:rPr>
        </w:sdtEndPr>
        <w:sdtContent>
          <w:r>
            <w:rPr>
              <w:lang w:val="pt-BR"/>
            </w:rPr>
            <w:fldChar w:fldCharType="begin"/>
          </w:r>
          <w:r>
            <w:rPr>
              <w:lang w:val="pt-BR"/>
            </w:rPr>
            <w:instrText xml:space="preserve"> CITATION Ade20 \l 1046 </w:instrText>
          </w:r>
          <w:r>
            <w:rPr>
              <w:lang w:val="pt-BR"/>
            </w:rPr>
            <w:fldChar w:fldCharType="separate"/>
          </w:r>
          <w:r>
            <w:rPr>
              <w:lang w:val="pt-BR"/>
            </w:rPr>
            <w:t>(Bamidele &amp; Charles, 2020)</w:t>
          </w:r>
          <w:r>
            <w:rPr>
              <w:lang w:val="pt-BR"/>
            </w:rPr>
            <w:fldChar w:fldCharType="end"/>
          </w:r>
        </w:sdtContent>
      </w:sdt>
      <w:r>
        <w:rPr>
          <w:lang w:val="pt-BR"/>
        </w:rPr>
        <w:t>.</w:t>
      </w:r>
    </w:p>
    <w:p w14:paraId="1673231D">
      <w:pPr>
        <w:rPr>
          <w:szCs w:val="24"/>
          <w:lang w:val="pt-BR"/>
        </w:rPr>
      </w:pPr>
      <w:r>
        <w:rPr>
          <w:lang w:val="pt-BR"/>
        </w:rPr>
        <w:t xml:space="preserve">O sucesso das indústrias e organizações está intrinsecamente ligado ao desempenho de seus colaboradores, e nisto a sua segurança é essencial, sendo sua negligência um potencial fonte de problemas e gastos à empresa. Em 2016 a Organização Internacional do Trabalho (OIT) reportou que cento e cinquenta e um acidentes de trabalho acontecem a cada quinze segundos, e estimava-se que há uma perda de mais de US$ 170 bi por ano em gastos relacionados a estes acidentes </w:t>
      </w:r>
      <w:sdt>
        <w:sdtPr>
          <w:rPr>
            <w:lang w:val="pt-BR"/>
          </w:rPr>
          <w:id w:val="-1309942963"/>
        </w:sdtPr>
        <w:sdtEndPr>
          <w:rPr>
            <w:lang w:val="pt-BR"/>
          </w:rPr>
        </w:sdtEndPr>
        <w:sdtContent>
          <w:r>
            <w:rPr>
              <w:lang w:val="pt-BR"/>
            </w:rPr>
            <w:fldChar w:fldCharType="begin"/>
          </w:r>
          <w:r>
            <w:rPr>
              <w:lang w:val="pt-BR"/>
            </w:rPr>
            <w:instrText xml:space="preserve"> CITATION Org16 \l 1046 </w:instrText>
          </w:r>
          <w:r>
            <w:rPr>
              <w:lang w:val="pt-BR"/>
            </w:rPr>
            <w:fldChar w:fldCharType="separate"/>
          </w:r>
          <w:r>
            <w:rPr>
              <w:lang w:val="pt-BR"/>
            </w:rPr>
            <w:t>(OIT, 2016)</w:t>
          </w:r>
          <w:r>
            <w:rPr>
              <w:lang w:val="pt-BR"/>
            </w:rPr>
            <w:fldChar w:fldCharType="end"/>
          </w:r>
        </w:sdtContent>
      </w:sdt>
      <w:r>
        <w:rPr>
          <w:lang w:val="pt-BR"/>
        </w:rPr>
        <w:t>. A OIT também revelou que cerca de 3 milhões de pessoas morreram de acidentes de trabalho e doenças, sendo cerca de 11% desse número devido a acidentes de trabalho (ILOSAT, 2024). No Brasil, entre os períodos de 2012 e 2021, mais de 22,9 mil pessoas morreram em acidentes de trabalho, segundo outro levantamento feito pela OIT. Neste período o gasto previdenciário ultrapassou os R$120 bilhões somente com despesas acidentárias. (ONU,2021). Dados oficiais recentes e atualizados são escassos. Há lacunas de tempo e valores numéricos. Isso se deve pela falta agilidade de alguns países em atualizar os números e pela falta de transparência, contudo os números disponíveis realçam a importância da área da segurança ocupacional. (ILOSAT, 2024; MUNDO</w:t>
      </w:r>
      <w:r>
        <w:rPr>
          <w:szCs w:val="24"/>
          <w:lang w:val="pt-BR"/>
        </w:rPr>
        <w:t>, 2024)</w:t>
      </w:r>
    </w:p>
    <w:p w14:paraId="5A16DBE3">
      <w:pPr>
        <w:rPr>
          <w:szCs w:val="24"/>
          <w:lang w:val="pt-BR"/>
        </w:rPr>
      </w:pPr>
      <w:r>
        <w:rPr>
          <w:lang w:val="pt-BR"/>
        </w:rPr>
        <w:t xml:space="preserve">Os acidentes de trabalho, ainda, se demonstram mais presentes em países que estão em desenvolvimento, e que não possuem infraestrutura que possa facilitar empresas a garantir a segurança do colaborador. A Coreia do Sul, um país em desenvolvimento, possui uma taxa de mortalidade no setor de construção civil duas vezes maior que a dos Estados Unidos </w:t>
      </w:r>
      <w:sdt>
        <w:sdtPr>
          <w:rPr>
            <w:lang w:val="pt-BR"/>
          </w:rPr>
          <w:id w:val="2000158947"/>
        </w:sdtPr>
        <w:sdtEndPr>
          <w:rPr>
            <w:lang w:val="pt-BR"/>
          </w:rPr>
        </w:sdtEndPr>
        <w:sdtContent>
          <w:r>
            <w:rPr>
              <w:lang w:val="pt-BR"/>
            </w:rPr>
            <w:fldChar w:fldCharType="begin"/>
          </w:r>
          <w:r>
            <w:rPr>
              <w:lang w:val="pt-BR"/>
            </w:rPr>
            <w:instrText xml:space="preserve"> CITATION Aha22 \l 1046 </w:instrText>
          </w:r>
          <w:r>
            <w:rPr>
              <w:lang w:val="pt-BR"/>
            </w:rPr>
            <w:fldChar w:fldCharType="separate"/>
          </w:r>
          <w:r>
            <w:rPr>
              <w:lang w:val="pt-BR"/>
            </w:rPr>
            <w:t>(Hayat &amp; Morgado-Dias, 2022)</w:t>
          </w:r>
          <w:r>
            <w:rPr>
              <w:lang w:val="pt-BR"/>
            </w:rPr>
            <w:fldChar w:fldCharType="end"/>
          </w:r>
        </w:sdtContent>
      </w:sdt>
      <w:r>
        <w:rPr>
          <w:rFonts w:ascii="Georgia" w:hAnsi="Georgia" w:eastAsia="Georgia" w:cs="Georgia"/>
          <w:color w:val="0F172A"/>
          <w:sz w:val="27"/>
          <w:szCs w:val="27"/>
          <w:lang w:val="pt-BR"/>
        </w:rPr>
        <w:t xml:space="preserve">; </w:t>
      </w:r>
      <w:r>
        <w:rPr>
          <w:szCs w:val="24"/>
          <w:lang w:val="pt-BR"/>
        </w:rPr>
        <w:t>segundo a Associação Nacional de Medicina do Trabalho, a taxa de mortalidade no trabalho no Brasil é de 5,21 óbitos para cada 100 mil vínculos. Mas na construção civil, este índice sobe para 11,76 casos para cada grupo de 100 mil pessoas. (Migalhas, 2024).</w:t>
      </w:r>
    </w:p>
    <w:p w14:paraId="39FE70D4">
      <w:pPr>
        <w:rPr>
          <w:lang w:val="pt-BR"/>
        </w:rPr>
      </w:pPr>
      <w:r>
        <w:rPr>
          <w:szCs w:val="24"/>
          <w:lang w:val="pt-BR"/>
        </w:rPr>
        <w:t>Desta forma, para garantir a segurança d</w:t>
      </w:r>
      <w:r>
        <w:rPr>
          <w:lang w:val="pt-BR"/>
        </w:rPr>
        <w:t>os colaboradores nos diversos ambientes de trabalho, observa-se que os governos estão a implementar regulamentações e leis que garantem, ou forçam as empresas a garantir, a segurança do trabalho para o colaborador, isto se observa ao redor do mundo</w:t>
      </w:r>
      <w:sdt>
        <w:sdtPr>
          <w:rPr>
            <w:lang w:val="pt-BR"/>
          </w:rPr>
          <w:id w:val="-2032409919"/>
        </w:sdtPr>
        <w:sdtEndPr>
          <w:rPr>
            <w:lang w:val="pt-BR"/>
          </w:rPr>
        </w:sdtEndPr>
        <w:sdtContent>
          <w:r>
            <w:rPr>
              <w:lang w:val="pt-BR"/>
            </w:rPr>
            <w:fldChar w:fldCharType="begin"/>
          </w:r>
          <w:r>
            <w:rPr>
              <w:lang w:val="pt-BR"/>
            </w:rPr>
            <w:instrText xml:space="preserve"> CITATION Aha22 \l 1046 </w:instrText>
          </w:r>
          <w:r>
            <w:rPr>
              <w:lang w:val="pt-BR"/>
            </w:rPr>
            <w:fldChar w:fldCharType="separate"/>
          </w:r>
          <w:r>
            <w:rPr>
              <w:lang w:val="pt-BR"/>
            </w:rPr>
            <w:t xml:space="preserve"> (Hayat &amp; Morgado-Dias, 2022)</w:t>
          </w:r>
          <w:r>
            <w:rPr>
              <w:lang w:val="pt-BR"/>
            </w:rPr>
            <w:fldChar w:fldCharType="end"/>
          </w:r>
        </w:sdtContent>
      </w:sdt>
      <w:r>
        <w:rPr>
          <w:lang w:val="pt-BR"/>
        </w:rPr>
        <w:t xml:space="preserve">, apesar disso, em diversos cenários, um profissional pode estar exposto aos mais diversos perigos, e o monitoramento e prevenção destes acontecimentos não é algo que possa ser controlado e mantido com simples controle manual, devendo ter alguma automação e tecnologia necessária para que uma garantia de segurança seja válida </w:t>
      </w:r>
      <w:sdt>
        <w:sdtPr>
          <w:rPr>
            <w:lang w:val="pt-BR"/>
          </w:rPr>
          <w:id w:val="1613790121"/>
        </w:sdtPr>
        <w:sdtEndPr>
          <w:rPr>
            <w:lang w:val="pt-BR"/>
          </w:rPr>
        </w:sdtEndPr>
        <w:sdtContent>
          <w:r>
            <w:rPr>
              <w:lang w:val="pt-BR"/>
            </w:rPr>
            <w:fldChar w:fldCharType="begin"/>
          </w:r>
          <w:r>
            <w:rPr>
              <w:lang w:val="pt-BR"/>
            </w:rPr>
            <w:instrText xml:space="preserve"> CITATION Aha22 \l 1046 </w:instrText>
          </w:r>
          <w:r>
            <w:rPr>
              <w:lang w:val="pt-BR"/>
            </w:rPr>
            <w:fldChar w:fldCharType="separate"/>
          </w:r>
          <w:r>
            <w:rPr>
              <w:lang w:val="pt-BR"/>
            </w:rPr>
            <w:t>(Hayat &amp; Morgado-Dias, 2022)</w:t>
          </w:r>
          <w:r>
            <w:rPr>
              <w:lang w:val="pt-BR"/>
            </w:rPr>
            <w:fldChar w:fldCharType="end"/>
          </w:r>
        </w:sdtContent>
      </w:sdt>
      <w:r>
        <w:rPr>
          <w:lang w:val="pt-BR"/>
        </w:rPr>
        <w:t>.</w:t>
      </w:r>
    </w:p>
    <w:p w14:paraId="713B34ED">
      <w:pPr>
        <w:rPr>
          <w:lang w:val="pt-BR"/>
        </w:rPr>
      </w:pPr>
      <w:r>
        <w:rPr>
          <w:lang w:val="pt-BR"/>
        </w:rPr>
        <w:t xml:space="preserve">Os avanços tecnológicos trazem consigo várias mudanças em várias áreas da indústria, e sua aplicação oferece a possibilidade de criar um ecossistema capaz de melhor entender as necessidades dos usuários finais. O advento da indústria 4.0, traz consigo o conceito de aplicação de tecnologias baseadas em controle e decisão distribuídas, capaz de processar informação e otimizar processos na ponta </w:t>
      </w:r>
      <w:sdt>
        <w:sdtPr>
          <w:rPr>
            <w:lang w:val="pt-BR"/>
          </w:rPr>
          <w:id w:val="1797335776"/>
        </w:sdtPr>
        <w:sdtEndPr>
          <w:rPr>
            <w:lang w:val="pt-BR"/>
          </w:rPr>
        </w:sdtEndPr>
        <w:sdtContent>
          <w:r>
            <w:rPr>
              <w:lang w:val="pt-BR"/>
            </w:rPr>
            <w:fldChar w:fldCharType="begin"/>
          </w:r>
          <w:r>
            <w:rPr>
              <w:lang w:val="pt-BR"/>
            </w:rPr>
            <w:instrText xml:space="preserve"> CITATION Len20 \l 1046 </w:instrText>
          </w:r>
          <w:r>
            <w:rPr>
              <w:lang w:val="pt-BR"/>
            </w:rPr>
            <w:fldChar w:fldCharType="separate"/>
          </w:r>
          <w:r>
            <w:rPr>
              <w:lang w:val="pt-BR"/>
            </w:rPr>
            <w:t>(LHOTSKA, 2020)</w:t>
          </w:r>
          <w:r>
            <w:rPr>
              <w:lang w:val="pt-BR"/>
            </w:rPr>
            <w:fldChar w:fldCharType="end"/>
          </w:r>
        </w:sdtContent>
      </w:sdt>
      <w:r>
        <w:rPr>
          <w:lang w:val="pt-BR"/>
        </w:rPr>
        <w:t>.</w:t>
      </w:r>
    </w:p>
    <w:p w14:paraId="076A65FB">
      <w:pPr>
        <w:rPr>
          <w:lang w:val="pt-BR"/>
        </w:rPr>
      </w:pPr>
      <w:r>
        <w:rPr>
          <w:lang w:val="pt-BR"/>
        </w:rPr>
        <w:t xml:space="preserve">A internet das coisas (IOT – </w:t>
      </w:r>
      <w:r>
        <w:rPr>
          <w:i/>
          <w:iCs/>
          <w:lang w:val="pt-BR"/>
        </w:rPr>
        <w:t>Internet of Things</w:t>
      </w:r>
      <w:r>
        <w:rPr>
          <w:lang w:val="pt-BR"/>
        </w:rPr>
        <w:t xml:space="preserve">) apresenta-se como vários possíveis dispositivos que possuem a capacidade de conectar-se a outros dispositivos em uma rede e entre si, podendo ter sensores, LEDs e até mesmo pequenas unidades de processamento, o que possibilita sua aplicação como plataformas baratas para automação e monitoramento </w:t>
      </w:r>
      <w:sdt>
        <w:sdtPr>
          <w:rPr>
            <w:lang w:val="pt-BR"/>
          </w:rPr>
          <w:id w:val="-269397521"/>
        </w:sdtPr>
        <w:sdtEndPr>
          <w:rPr>
            <w:lang w:val="pt-BR"/>
          </w:rPr>
        </w:sdtEndPr>
        <w:sdtContent>
          <w:r>
            <w:rPr>
              <w:lang w:val="pt-BR"/>
            </w:rPr>
            <w:fldChar w:fldCharType="begin"/>
          </w:r>
          <w:r>
            <w:rPr>
              <w:lang w:val="pt-BR"/>
            </w:rPr>
            <w:instrText xml:space="preserve"> CITATION Ibr20 \l 1046 </w:instrText>
          </w:r>
          <w:r>
            <w:rPr>
              <w:lang w:val="pt-BR"/>
            </w:rPr>
            <w:fldChar w:fldCharType="separate"/>
          </w:r>
          <w:r>
            <w:rPr>
              <w:lang w:val="pt-BR"/>
            </w:rPr>
            <w:t>(Khan &amp; Javaid, 2020)</w:t>
          </w:r>
          <w:r>
            <w:rPr>
              <w:lang w:val="pt-BR"/>
            </w:rPr>
            <w:fldChar w:fldCharType="end"/>
          </w:r>
        </w:sdtContent>
      </w:sdt>
      <w:r>
        <w:rPr>
          <w:lang w:val="pt-BR"/>
        </w:rPr>
        <w:t xml:space="preserve">. </w:t>
      </w:r>
    </w:p>
    <w:p w14:paraId="17D707A8">
      <w:pPr>
        <w:rPr>
          <w:lang w:val="pt-BR"/>
        </w:rPr>
      </w:pPr>
      <w:r>
        <w:rPr>
          <w:lang w:val="pt-BR"/>
        </w:rPr>
        <w:t xml:space="preserve">A evolução dos dispositivos de inteligência, monitoramento e a suas integrações abriram portas para as mais diversas possibilidades de análise e verificação do ambiente de trabalho, além das condições ao redor. Essa evolução ocorre conforme a necessidade das empresas de tornarem-se cada vez mais competitivas e atualizadas com as tecnologias </w:t>
      </w:r>
      <w:sdt>
        <w:sdtPr>
          <w:rPr>
            <w:lang w:val="pt-BR"/>
          </w:rPr>
          <w:id w:val="-175121551"/>
        </w:sdtPr>
        <w:sdtEndPr>
          <w:rPr>
            <w:lang w:val="pt-BR"/>
          </w:rPr>
        </w:sdtEndPr>
        <w:sdtContent>
          <w:r>
            <w:rPr>
              <w:lang w:val="pt-BR"/>
            </w:rPr>
            <w:fldChar w:fldCharType="begin"/>
          </w:r>
          <w:r>
            <w:rPr>
              <w:lang w:val="pt-BR"/>
            </w:rPr>
            <w:instrText xml:space="preserve"> CITATION VER20 \l 1046 </w:instrText>
          </w:r>
          <w:r>
            <w:rPr>
              <w:lang w:val="pt-BR"/>
            </w:rPr>
            <w:fldChar w:fldCharType="separate"/>
          </w:r>
          <w:r>
            <w:rPr>
              <w:lang w:val="pt-BR"/>
            </w:rPr>
            <w:t>(KUSMA, 2020)</w:t>
          </w:r>
          <w:r>
            <w:rPr>
              <w:lang w:val="pt-BR"/>
            </w:rPr>
            <w:fldChar w:fldCharType="end"/>
          </w:r>
        </w:sdtContent>
      </w:sdt>
      <w:r>
        <w:rPr>
          <w:lang w:val="pt-BR"/>
        </w:rPr>
        <w:t>.</w:t>
      </w:r>
    </w:p>
    <w:p w14:paraId="2F4D77B9">
      <w:pPr>
        <w:rPr>
          <w:lang w:val="pt-BR"/>
        </w:rPr>
      </w:pPr>
      <w:r>
        <w:rPr>
          <w:lang w:val="pt-BR"/>
        </w:rPr>
        <w:t xml:space="preserve">O uso de sensores, leitores de códigos de barras, placas programáveis, entre outros dispositivos, que se comunicam uns com os outros trazem uma grande quantidade de dados, este montante é chamado de </w:t>
      </w:r>
      <w:r>
        <w:rPr>
          <w:i/>
          <w:iCs/>
          <w:lang w:val="pt-BR"/>
        </w:rPr>
        <w:t>Big Data</w:t>
      </w:r>
      <w:r>
        <w:rPr>
          <w:lang w:val="pt-BR"/>
        </w:rPr>
        <w:t xml:space="preserve">. Esses dados são usados tanto no meio produtivo, para o controle de máquinas e monitoramento de produção, quanto para a tomada de decisões estratégicas, como em gestão de pessoas </w:t>
      </w:r>
      <w:sdt>
        <w:sdtPr>
          <w:rPr>
            <w:lang w:val="pt-BR"/>
          </w:rPr>
          <w:id w:val="-1192918176"/>
        </w:sdtPr>
        <w:sdtEndPr>
          <w:rPr>
            <w:lang w:val="pt-BR"/>
          </w:rPr>
        </w:sdtEndPr>
        <w:sdtContent>
          <w:r>
            <w:rPr>
              <w:lang w:val="pt-BR"/>
            </w:rPr>
            <w:fldChar w:fldCharType="begin"/>
          </w:r>
          <w:r>
            <w:rPr>
              <w:lang w:val="pt-BR"/>
            </w:rPr>
            <w:instrText xml:space="preserve">CITATION Cru20 \l 1046 </w:instrText>
          </w:r>
          <w:r>
            <w:rPr>
              <w:lang w:val="pt-BR"/>
            </w:rPr>
            <w:fldChar w:fldCharType="separate"/>
          </w:r>
          <w:r>
            <w:rPr>
              <w:lang w:val="pt-BR"/>
            </w:rPr>
            <w:t>(Cruz, 2020)</w:t>
          </w:r>
          <w:r>
            <w:rPr>
              <w:lang w:val="pt-BR"/>
            </w:rPr>
            <w:fldChar w:fldCharType="end"/>
          </w:r>
        </w:sdtContent>
      </w:sdt>
      <w:r>
        <w:rPr>
          <w:lang w:val="pt-BR"/>
        </w:rPr>
        <w:t xml:space="preserve">. Entretanto o conceito e aplicação da IoT ganhou maturidade com o tempo e desenvolveu-se nas mais diversas áreas e setores, saindo do ambiente fabril e suportando também os departamentos de RH, logística, trânsito, saúde, navegação, entre muitos outros. </w:t>
      </w:r>
    </w:p>
    <w:p w14:paraId="49F6B6D1">
      <w:pPr>
        <w:rPr>
          <w:lang w:val="pt-BR"/>
        </w:rPr>
      </w:pPr>
      <w:r>
        <w:rPr>
          <w:lang w:val="pt-BR"/>
        </w:rPr>
        <w:t xml:space="preserve">O uso do IOT vem-se discutido e colocado em prática em várias indústrias, abrindo portas para conceitos como indústrias smart, e agora tem sido utilizado para garantir a segurança e bem-estar em um ambiente de trabalho smart, utilizando-o para conectar pessoas, serviços e as mais diversas coisas </w:t>
      </w:r>
      <w:sdt>
        <w:sdtPr>
          <w:rPr>
            <w:lang w:val="pt-BR"/>
          </w:rPr>
          <w:id w:val="370728273"/>
        </w:sdtPr>
        <w:sdtEndPr>
          <w:rPr>
            <w:lang w:val="pt-BR"/>
          </w:rPr>
        </w:sdtEndPr>
        <w:sdtContent>
          <w:r>
            <w:rPr>
              <w:lang w:val="pt-BR"/>
            </w:rPr>
            <w:fldChar w:fldCharType="begin"/>
          </w:r>
          <w:r>
            <w:rPr>
              <w:lang w:val="pt-BR"/>
            </w:rPr>
            <w:instrText xml:space="preserve"> CITATION Ade20 \l 1046 </w:instrText>
          </w:r>
          <w:r>
            <w:rPr>
              <w:lang w:val="pt-BR"/>
            </w:rPr>
            <w:fldChar w:fldCharType="separate"/>
          </w:r>
          <w:r>
            <w:rPr>
              <w:lang w:val="pt-BR"/>
            </w:rPr>
            <w:t>(Bamidele &amp; Charles, 2020)</w:t>
          </w:r>
          <w:r>
            <w:rPr>
              <w:lang w:val="pt-BR"/>
            </w:rPr>
            <w:fldChar w:fldCharType="end"/>
          </w:r>
        </w:sdtContent>
      </w:sdt>
      <w:r>
        <w:rPr>
          <w:lang w:val="pt-BR"/>
        </w:rPr>
        <w:t>. Isto pode ser observado na integração da IoT com as áreas de sustentabilidade e meio ambiente. Um cenário prático a ser citado é o uso desta tecnologia por empresas para monitorar o consumo de recursos, como energia e água.</w:t>
      </w:r>
    </w:p>
    <w:p w14:paraId="18D05C20">
      <w:pPr>
        <w:rPr>
          <w:lang w:val="pt-BR"/>
        </w:rPr>
      </w:pPr>
      <w:r>
        <w:rPr>
          <w:lang w:val="pt-BR"/>
        </w:rPr>
        <w:t>A utilização de tecnologias de automação e conectividade na segurança do trabalho não elimina a necessidade de intervenção humana, muito pelo contrário, os treinamentos e a conscientização dos colaboradores são a base para que qualquer trabalho seja feito de forma segura. É ineficaz tentar aplicar um processo digital onde não há um processo analógico ou manual já bem definido e estruturado. Assim, a IoT torna-se uma ferramenta poderosa, mas só é capaz de atingir seu potencial quando somada ao compromisso corporativo e ao engajamento humano com a segurança individual e coletiva de todos os seus funcionários.</w:t>
      </w:r>
    </w:p>
    <w:p w14:paraId="5278DD9E">
      <w:r>
        <w:br w:type="page"/>
      </w:r>
    </w:p>
    <w:p w14:paraId="4014CB05">
      <w:pPr>
        <w:ind w:firstLine="0"/>
      </w:pPr>
    </w:p>
    <w:p w14:paraId="7EA83A0D">
      <w:pPr>
        <w:pStyle w:val="37"/>
        <w:spacing w:line="259" w:lineRule="auto"/>
        <w:rPr>
          <w:lang w:val="pt-BR"/>
        </w:rPr>
      </w:pPr>
      <w:bookmarkStart w:id="2" w:name="_Toc295244122"/>
      <w:r>
        <w:rPr>
          <w:lang w:val="pt-BR"/>
        </w:rPr>
        <w:t>REFERÊNCIAS</w:t>
      </w:r>
      <w:bookmarkEnd w:id="2"/>
    </w:p>
    <w:p w14:paraId="462034C8">
      <w:pPr>
        <w:rPr>
          <w:lang w:val="pt-BR"/>
        </w:rPr>
      </w:pPr>
      <w:r>
        <w:rPr>
          <w:lang w:val="pt-BR"/>
        </w:rPr>
        <w:br w:type="page"/>
      </w:r>
    </w:p>
    <w:p w14:paraId="0269A62C">
      <w:pPr>
        <w:pStyle w:val="18"/>
        <w:ind w:firstLine="0"/>
        <w:jc w:val="center"/>
        <w:rPr>
          <w:i w:val="0"/>
          <w:iCs w:val="0"/>
          <w:color w:val="000000" w:themeColor="text1"/>
          <w:sz w:val="24"/>
          <w:szCs w:val="24"/>
          <w:lang w:val="pt-BR"/>
          <w14:textFill>
            <w14:solidFill>
              <w14:schemeClr w14:val="tx1"/>
            </w14:solidFill>
          </w14:textFill>
        </w:rPr>
      </w:pPr>
      <w:r>
        <w:rPr>
          <w:i w:val="0"/>
          <w:iCs w:val="0"/>
          <w:color w:val="000000" w:themeColor="text1"/>
          <w:sz w:val="24"/>
          <w:szCs w:val="24"/>
          <w14:textFill>
            <w14:solidFill>
              <w14:schemeClr w14:val="tx1"/>
            </w14:solidFill>
          </w14:textFill>
        </w:rPr>
        <w:t xml:space="preserve">Tabela </w:t>
      </w:r>
      <w:r>
        <w:rPr>
          <w:i w:val="0"/>
          <w:iCs w:val="0"/>
          <w:color w:val="000000" w:themeColor="text1"/>
          <w:sz w:val="24"/>
          <w:szCs w:val="24"/>
          <w14:textFill>
            <w14:solidFill>
              <w14:schemeClr w14:val="tx1"/>
            </w14:solidFill>
          </w14:textFill>
        </w:rPr>
        <w:fldChar w:fldCharType="begin"/>
      </w:r>
      <w:r>
        <w:rPr>
          <w:i w:val="0"/>
          <w:iCs w:val="0"/>
          <w:color w:val="000000" w:themeColor="text1"/>
          <w:sz w:val="24"/>
          <w:szCs w:val="24"/>
          <w14:textFill>
            <w14:solidFill>
              <w14:schemeClr w14:val="tx1"/>
            </w14:solidFill>
          </w14:textFill>
        </w:rPr>
        <w:instrText xml:space="preserve"> SEQ Tabela \* ARABIC </w:instrText>
      </w:r>
      <w:r>
        <w:rPr>
          <w:i w:val="0"/>
          <w:iCs w:val="0"/>
          <w:color w:val="000000" w:themeColor="text1"/>
          <w:sz w:val="24"/>
          <w:szCs w:val="24"/>
          <w14:textFill>
            <w14:solidFill>
              <w14:schemeClr w14:val="tx1"/>
            </w14:solidFill>
          </w14:textFill>
        </w:rPr>
        <w:fldChar w:fldCharType="separate"/>
      </w:r>
      <w:r>
        <w:rPr>
          <w:i w:val="0"/>
          <w:iCs w:val="0"/>
          <w:color w:val="000000" w:themeColor="text1"/>
          <w:sz w:val="24"/>
          <w:szCs w:val="24"/>
          <w14:textFill>
            <w14:solidFill>
              <w14:schemeClr w14:val="tx1"/>
            </w14:solidFill>
          </w14:textFill>
        </w:rPr>
        <w:t>1</w:t>
      </w:r>
      <w:r>
        <w:rPr>
          <w:i w:val="0"/>
          <w:iCs w:val="0"/>
          <w:color w:val="000000" w:themeColor="text1"/>
          <w:sz w:val="24"/>
          <w:szCs w:val="24"/>
          <w14:textFill>
            <w14:solidFill>
              <w14:schemeClr w14:val="tx1"/>
            </w14:solidFill>
          </w14:textFill>
        </w:rPr>
        <w:fldChar w:fldCharType="end"/>
      </w:r>
      <w:r>
        <w:rPr>
          <w:i w:val="0"/>
          <w:iCs w:val="0"/>
          <w:color w:val="000000" w:themeColor="text1"/>
          <w:sz w:val="24"/>
          <w:szCs w:val="24"/>
          <w14:textFill>
            <w14:solidFill>
              <w14:schemeClr w14:val="tx1"/>
            </w14:solidFill>
          </w14:textFill>
        </w:rPr>
        <w:t>: Comparativa de Referências de Mercado</w:t>
      </w:r>
    </w:p>
    <w:p w14:paraId="6FE10396">
      <w:pPr>
        <w:spacing w:line="259" w:lineRule="auto"/>
        <w:rPr>
          <w:sz w:val="20"/>
          <w:szCs w:val="18"/>
          <w:lang w:val="pt-BR"/>
        </w:rPr>
      </w:pP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129"/>
        <w:gridCol w:w="1134"/>
        <w:gridCol w:w="907"/>
        <w:gridCol w:w="1600"/>
        <w:gridCol w:w="1259"/>
        <w:gridCol w:w="956"/>
        <w:gridCol w:w="1864"/>
      </w:tblGrid>
      <w:tr w14:paraId="4A7FC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134" w:hRule="atLeast"/>
        </w:trPr>
        <w:tc>
          <w:tcPr>
            <w:tcW w:w="1129" w:type="dxa"/>
            <w:textDirection w:val="tbRlV"/>
            <w:vAlign w:val="center"/>
          </w:tcPr>
          <w:p w14:paraId="736D1B6E">
            <w:pPr>
              <w:keepNext w:val="0"/>
              <w:keepLines w:val="0"/>
              <w:widowControl/>
              <w:suppressLineNumbers w:val="0"/>
              <w:ind w:left="113" w:leftChars="0" w:right="113" w:firstLine="0" w:firstLineChars="0"/>
              <w:jc w:val="both"/>
              <w:textAlignment w:val="center"/>
              <w:rPr>
                <w:rFonts w:hint="default" w:ascii="Calibri" w:hAnsi="Calibri" w:eastAsia="SimSun" w:cs="Calibri"/>
                <w:b/>
                <w:bCs/>
                <w:i w:val="0"/>
                <w:iCs w:val="0"/>
                <w:color w:val="000000"/>
                <w:kern w:val="0"/>
                <w:sz w:val="16"/>
                <w:szCs w:val="16"/>
                <w:u w:val="none"/>
                <w:lang w:val="en-US" w:eastAsia="zh-CN" w:bidi="ar"/>
              </w:rPr>
            </w:pPr>
            <w:r>
              <w:rPr>
                <w:rFonts w:hint="default" w:ascii="Calibri" w:hAnsi="Calibri" w:eastAsia="SimSun" w:cs="Calibri"/>
                <w:b/>
                <w:bCs/>
                <w:i w:val="0"/>
                <w:iCs w:val="0"/>
                <w:color w:val="000000"/>
                <w:kern w:val="0"/>
                <w:sz w:val="16"/>
                <w:szCs w:val="16"/>
                <w:u w:val="none"/>
                <w:lang w:val="pt-BR" w:eastAsia="zh-CN" w:bidi="ar"/>
              </w:rPr>
              <w:t>Aplicação da IOT na segurança do trabalho</w:t>
            </w:r>
          </w:p>
        </w:tc>
        <w:tc>
          <w:tcPr>
            <w:tcW w:w="1134" w:type="dxa"/>
            <w:shd w:val="clear" w:color="auto" w:fill="FFFFFF"/>
            <w:textDirection w:val="tbRlV"/>
            <w:vAlign w:val="center"/>
          </w:tcPr>
          <w:p w14:paraId="7176A022">
            <w:pPr>
              <w:keepNext w:val="0"/>
              <w:keepLines w:val="0"/>
              <w:widowControl/>
              <w:suppressLineNumbers w:val="0"/>
              <w:ind w:left="113" w:right="113"/>
              <w:jc w:val="center"/>
              <w:textAlignment w:val="center"/>
              <w:rPr>
                <w:rFonts w:ascii="Calibri" w:hAnsi="Calibri" w:cs="Calibri"/>
                <w:b/>
                <w:bCs/>
                <w:i w:val="0"/>
                <w:iCs w:val="0"/>
                <w:color w:val="000000"/>
                <w:sz w:val="15"/>
                <w:szCs w:val="15"/>
                <w:u w:val="none"/>
              </w:rPr>
            </w:pPr>
            <w:r>
              <w:rPr>
                <w:rFonts w:hint="default" w:ascii="Calibri" w:hAnsi="Calibri" w:eastAsia="SimSun" w:cs="Calibri"/>
                <w:b/>
                <w:bCs/>
                <w:i w:val="0"/>
                <w:iCs w:val="0"/>
                <w:color w:val="000000"/>
                <w:kern w:val="0"/>
                <w:sz w:val="20"/>
                <w:szCs w:val="20"/>
                <w:u w:val="none"/>
                <w:lang w:val="en-US" w:eastAsia="zh-CN" w:bidi="ar"/>
              </w:rPr>
              <w:t>Plataforma Trackfy</w:t>
            </w:r>
          </w:p>
        </w:tc>
        <w:tc>
          <w:tcPr>
            <w:tcW w:w="907" w:type="dxa"/>
            <w:shd w:val="clear" w:color="auto" w:fill="FFFFFF"/>
            <w:textDirection w:val="tbRlV"/>
            <w:vAlign w:val="center"/>
          </w:tcPr>
          <w:p w14:paraId="11D0C4E1">
            <w:pPr>
              <w:keepNext w:val="0"/>
              <w:keepLines w:val="0"/>
              <w:widowControl/>
              <w:suppressLineNumbers w:val="0"/>
              <w:ind w:left="113" w:right="113"/>
              <w:jc w:val="center"/>
              <w:textAlignment w:val="center"/>
              <w:rPr>
                <w:rFonts w:ascii="Calibri" w:hAnsi="Calibri" w:cs="Calibri"/>
                <w:b/>
                <w:bCs/>
                <w:i w:val="0"/>
                <w:iCs w:val="0"/>
                <w:color w:val="000000"/>
                <w:sz w:val="15"/>
                <w:szCs w:val="15"/>
                <w:u w:val="none"/>
              </w:rPr>
            </w:pPr>
            <w:r>
              <w:rPr>
                <w:rFonts w:hint="default" w:ascii="Calibri" w:hAnsi="Calibri" w:eastAsia="SimSun" w:cs="Calibri"/>
                <w:b/>
                <w:bCs/>
                <w:i w:val="0"/>
                <w:iCs w:val="0"/>
                <w:color w:val="000000"/>
                <w:kern w:val="0"/>
                <w:sz w:val="20"/>
                <w:szCs w:val="20"/>
                <w:u w:val="none"/>
                <w:lang w:val="en-US" w:eastAsia="zh-CN" w:bidi="ar"/>
              </w:rPr>
              <w:t>People Safety Badge</w:t>
            </w:r>
          </w:p>
        </w:tc>
        <w:tc>
          <w:tcPr>
            <w:tcW w:w="1600" w:type="dxa"/>
            <w:shd w:val="clear" w:color="auto" w:fill="FFFFFF"/>
            <w:textDirection w:val="tbRlV"/>
            <w:vAlign w:val="center"/>
          </w:tcPr>
          <w:p w14:paraId="7005BA71">
            <w:pPr>
              <w:keepNext w:val="0"/>
              <w:keepLines w:val="0"/>
              <w:widowControl/>
              <w:suppressLineNumbers w:val="0"/>
              <w:ind w:left="113" w:right="113"/>
              <w:jc w:val="center"/>
              <w:textAlignment w:val="center"/>
              <w:rPr>
                <w:rFonts w:ascii="Calibri" w:hAnsi="Calibri" w:cs="Calibri"/>
                <w:b/>
                <w:bCs/>
                <w:i w:val="0"/>
                <w:iCs w:val="0"/>
                <w:color w:val="000000"/>
                <w:sz w:val="15"/>
                <w:szCs w:val="15"/>
                <w:u w:val="none"/>
              </w:rPr>
            </w:pPr>
            <w:r>
              <w:rPr>
                <w:rFonts w:hint="default" w:ascii="Calibri" w:hAnsi="Calibri" w:eastAsia="SimSun" w:cs="Calibri"/>
                <w:b/>
                <w:bCs/>
                <w:i w:val="0"/>
                <w:iCs w:val="0"/>
                <w:color w:val="000000"/>
                <w:kern w:val="0"/>
                <w:sz w:val="20"/>
                <w:szCs w:val="20"/>
                <w:u w:val="none"/>
                <w:lang w:val="en-US" w:eastAsia="zh-CN" w:bidi="ar"/>
              </w:rPr>
              <w:t xml:space="preserve"> (Sistemas com YOLO + Câmeras de Monitoramento)</w:t>
            </w:r>
          </w:p>
        </w:tc>
        <w:tc>
          <w:tcPr>
            <w:tcW w:w="1259" w:type="dxa"/>
            <w:shd w:val="clear" w:color="auto" w:fill="FFFFFF"/>
            <w:textDirection w:val="tbRlV"/>
            <w:vAlign w:val="center"/>
          </w:tcPr>
          <w:p w14:paraId="06ACCC3D">
            <w:pPr>
              <w:keepNext w:val="0"/>
              <w:keepLines w:val="0"/>
              <w:widowControl/>
              <w:suppressLineNumbers w:val="0"/>
              <w:ind w:left="113" w:right="113"/>
              <w:jc w:val="center"/>
              <w:textAlignment w:val="center"/>
              <w:rPr>
                <w:rFonts w:ascii="Calibri" w:hAnsi="Calibri" w:cs="Calibri"/>
                <w:b/>
                <w:bCs/>
                <w:i w:val="0"/>
                <w:iCs w:val="0"/>
                <w:color w:val="000000"/>
                <w:sz w:val="15"/>
                <w:szCs w:val="15"/>
                <w:u w:val="none"/>
              </w:rPr>
            </w:pPr>
            <w:r>
              <w:rPr>
                <w:rFonts w:hint="default" w:ascii="Calibri" w:hAnsi="Calibri" w:eastAsia="SimSun" w:cs="Calibri"/>
                <w:b/>
                <w:bCs/>
                <w:i w:val="0"/>
                <w:iCs w:val="0"/>
                <w:color w:val="000000"/>
                <w:kern w:val="0"/>
                <w:sz w:val="20"/>
                <w:szCs w:val="20"/>
                <w:u w:val="none"/>
                <w:lang w:val="en-US" w:eastAsia="zh-CN" w:bidi="ar"/>
              </w:rPr>
              <w:t>Easy Acess</w:t>
            </w:r>
          </w:p>
        </w:tc>
        <w:tc>
          <w:tcPr>
            <w:tcW w:w="956" w:type="dxa"/>
            <w:shd w:val="clear" w:color="auto" w:fill="FFFFFF"/>
            <w:textDirection w:val="tbRlV"/>
            <w:vAlign w:val="center"/>
          </w:tcPr>
          <w:p w14:paraId="768E67D0">
            <w:pPr>
              <w:keepNext w:val="0"/>
              <w:keepLines w:val="0"/>
              <w:widowControl/>
              <w:suppressLineNumbers w:val="0"/>
              <w:ind w:left="113" w:right="113"/>
              <w:jc w:val="center"/>
              <w:textAlignment w:val="center"/>
              <w:rPr>
                <w:rFonts w:ascii="Calibri" w:hAnsi="Calibri" w:cs="Calibri"/>
                <w:b/>
                <w:bCs/>
                <w:i w:val="0"/>
                <w:iCs w:val="0"/>
                <w:color w:val="000000"/>
                <w:sz w:val="15"/>
                <w:szCs w:val="15"/>
                <w:u w:val="none"/>
              </w:rPr>
            </w:pPr>
            <w:r>
              <w:rPr>
                <w:rFonts w:hint="default" w:ascii="Calibri" w:hAnsi="Calibri" w:eastAsia="SimSun" w:cs="Calibri"/>
                <w:b/>
                <w:bCs/>
                <w:i w:val="0"/>
                <w:iCs w:val="0"/>
                <w:color w:val="000000"/>
                <w:kern w:val="0"/>
                <w:sz w:val="20"/>
                <w:szCs w:val="20"/>
                <w:u w:val="none"/>
                <w:lang w:val="en-US" w:eastAsia="zh-CN" w:bidi="ar"/>
              </w:rPr>
              <w:t>Fleet Manager 4.X</w:t>
            </w:r>
          </w:p>
        </w:tc>
        <w:tc>
          <w:tcPr>
            <w:tcW w:w="1864" w:type="dxa"/>
            <w:shd w:val="clear" w:color="auto" w:fill="FFFFFF"/>
            <w:textDirection w:val="tbRlV"/>
            <w:vAlign w:val="center"/>
          </w:tcPr>
          <w:p w14:paraId="4AB45547">
            <w:pPr>
              <w:keepNext w:val="0"/>
              <w:keepLines w:val="0"/>
              <w:widowControl/>
              <w:suppressLineNumbers w:val="0"/>
              <w:ind w:left="113" w:right="113"/>
              <w:jc w:val="center"/>
              <w:textAlignment w:val="center"/>
              <w:rPr>
                <w:rFonts w:ascii="Calibri" w:hAnsi="Calibri" w:cs="Calibri"/>
                <w:b/>
                <w:bCs/>
                <w:i w:val="0"/>
                <w:iCs w:val="0"/>
                <w:color w:val="000000"/>
                <w:sz w:val="15"/>
                <w:szCs w:val="15"/>
                <w:u w:val="none"/>
              </w:rPr>
            </w:pPr>
            <w:r>
              <w:rPr>
                <w:rFonts w:hint="default" w:ascii="Calibri" w:hAnsi="Calibri" w:eastAsia="SimSun" w:cs="Calibri"/>
                <w:b/>
                <w:bCs/>
                <w:i w:val="0"/>
                <w:iCs w:val="0"/>
                <w:color w:val="000000"/>
                <w:kern w:val="0"/>
                <w:sz w:val="20"/>
                <w:szCs w:val="20"/>
                <w:u w:val="none"/>
                <w:lang w:val="en-US" w:eastAsia="zh-CN" w:bidi="ar"/>
              </w:rPr>
              <w:t>Projetos/Aplicações de Mercado</w:t>
            </w:r>
          </w:p>
        </w:tc>
      </w:tr>
      <w:tr w14:paraId="76E55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134" w:hRule="atLeast"/>
        </w:trPr>
        <w:tc>
          <w:tcPr>
            <w:tcW w:w="1129" w:type="dxa"/>
            <w:shd w:val="clear" w:color="auto" w:fill="FFFFFF"/>
            <w:textDirection w:val="tbRlV"/>
            <w:vAlign w:val="center"/>
          </w:tcPr>
          <w:p w14:paraId="7AAEB86F">
            <w:pPr>
              <w:keepNext w:val="0"/>
              <w:keepLines w:val="0"/>
              <w:widowControl/>
              <w:suppressLineNumbers w:val="0"/>
              <w:ind w:left="113" w:right="113"/>
              <w:jc w:val="center"/>
              <w:textAlignment w:val="center"/>
              <w:rPr>
                <w:rFonts w:ascii="Calibri" w:hAnsi="Calibri" w:cs="Calibri"/>
                <w:b/>
                <w:bCs/>
                <w:i w:val="0"/>
                <w:iCs w:val="0"/>
                <w:color w:val="000000"/>
                <w:u w:val="none"/>
              </w:rPr>
            </w:pPr>
            <w:r>
              <w:rPr>
                <w:rFonts w:hint="default" w:ascii="Calibri" w:hAnsi="Calibri" w:eastAsia="SimSun" w:cs="Calibri"/>
                <w:b/>
                <w:bCs/>
                <w:i w:val="0"/>
                <w:iCs w:val="0"/>
                <w:color w:val="000000"/>
                <w:kern w:val="0"/>
                <w:sz w:val="24"/>
                <w:szCs w:val="24"/>
                <w:u w:val="none"/>
                <w:lang w:val="en-US" w:eastAsia="zh-CN" w:bidi="ar"/>
              </w:rPr>
              <w:t xml:space="preserve"> (BAPTISTA, Leonardo e FERREIRA, Ricardo)</w:t>
            </w:r>
          </w:p>
        </w:tc>
        <w:tc>
          <w:tcPr>
            <w:tcW w:w="1134" w:type="dxa"/>
            <w:shd w:val="clear" w:color="auto" w:fill="FFFFFF"/>
            <w:textDirection w:val="tbRlV"/>
            <w:vAlign w:val="center"/>
          </w:tcPr>
          <w:p w14:paraId="4A3F7C72">
            <w:pPr>
              <w:keepNext w:val="0"/>
              <w:keepLines w:val="0"/>
              <w:widowControl/>
              <w:suppressLineNumbers w:val="0"/>
              <w:ind w:left="113" w:right="113"/>
              <w:jc w:val="center"/>
              <w:textAlignment w:val="center"/>
              <w:rPr>
                <w:rFonts w:ascii="Calibri" w:hAnsi="Calibri" w:cs="Calibri"/>
                <w:b/>
                <w:bCs/>
                <w:i w:val="0"/>
                <w:iCs w:val="0"/>
                <w:color w:val="000000"/>
                <w:u w:val="none"/>
              </w:rPr>
            </w:pPr>
            <w:r>
              <w:rPr>
                <w:rFonts w:hint="default" w:ascii="Calibri" w:hAnsi="Calibri" w:eastAsia="SimSun" w:cs="Calibri"/>
                <w:b/>
                <w:bCs/>
                <w:i w:val="0"/>
                <w:iCs w:val="0"/>
                <w:color w:val="000000"/>
                <w:kern w:val="0"/>
                <w:sz w:val="24"/>
                <w:szCs w:val="24"/>
                <w:u w:val="none"/>
                <w:lang w:val="en-US" w:eastAsia="zh-CN" w:bidi="ar"/>
              </w:rPr>
              <w:t>Trackfy</w:t>
            </w:r>
          </w:p>
        </w:tc>
        <w:tc>
          <w:tcPr>
            <w:tcW w:w="907" w:type="dxa"/>
            <w:shd w:val="clear" w:color="auto" w:fill="FFFFFF"/>
            <w:textDirection w:val="tbRlV"/>
            <w:vAlign w:val="center"/>
          </w:tcPr>
          <w:p w14:paraId="7C9F1E46">
            <w:pPr>
              <w:keepNext w:val="0"/>
              <w:keepLines w:val="0"/>
              <w:widowControl/>
              <w:suppressLineNumbers w:val="0"/>
              <w:ind w:left="113" w:right="113"/>
              <w:jc w:val="center"/>
              <w:textAlignment w:val="center"/>
              <w:rPr>
                <w:rFonts w:ascii="Calibri" w:hAnsi="Calibri" w:cs="Calibri"/>
                <w:b/>
                <w:bCs/>
                <w:i w:val="0"/>
                <w:iCs w:val="0"/>
                <w:color w:val="000000"/>
                <w:u w:val="none"/>
              </w:rPr>
            </w:pPr>
            <w:r>
              <w:rPr>
                <w:rFonts w:hint="default" w:ascii="Calibri" w:hAnsi="Calibri" w:eastAsia="SimSun" w:cs="Calibri"/>
                <w:b/>
                <w:bCs/>
                <w:i w:val="0"/>
                <w:iCs w:val="0"/>
                <w:color w:val="000000"/>
                <w:kern w:val="0"/>
                <w:sz w:val="24"/>
                <w:szCs w:val="24"/>
                <w:u w:val="none"/>
                <w:lang w:val="en-US" w:eastAsia="zh-CN" w:bidi="ar"/>
              </w:rPr>
              <w:t>Logicalis</w:t>
            </w:r>
          </w:p>
        </w:tc>
        <w:tc>
          <w:tcPr>
            <w:tcW w:w="1600" w:type="dxa"/>
            <w:shd w:val="clear" w:color="auto" w:fill="FFFFFF"/>
            <w:textDirection w:val="tbRlV"/>
            <w:vAlign w:val="center"/>
          </w:tcPr>
          <w:p w14:paraId="6C85289E">
            <w:pPr>
              <w:keepNext w:val="0"/>
              <w:keepLines w:val="0"/>
              <w:widowControl/>
              <w:suppressLineNumbers w:val="0"/>
              <w:ind w:left="113" w:right="113"/>
              <w:jc w:val="center"/>
              <w:textAlignment w:val="center"/>
              <w:rPr>
                <w:rFonts w:ascii="Calibri" w:hAnsi="Calibri" w:cs="Calibri"/>
                <w:b/>
                <w:bCs/>
                <w:i w:val="0"/>
                <w:iCs w:val="0"/>
                <w:color w:val="000000"/>
                <w:sz w:val="16"/>
                <w:szCs w:val="16"/>
                <w:u w:val="none"/>
              </w:rPr>
            </w:pPr>
            <w:r>
              <w:rPr>
                <w:rFonts w:hint="default" w:ascii="Calibri" w:hAnsi="Calibri" w:eastAsia="SimSun" w:cs="Calibri"/>
                <w:b/>
                <w:bCs/>
                <w:i w:val="0"/>
                <w:iCs w:val="0"/>
                <w:color w:val="000000"/>
                <w:kern w:val="0"/>
                <w:sz w:val="21"/>
                <w:szCs w:val="21"/>
                <w:u w:val="none"/>
                <w:lang w:val="en-US" w:eastAsia="zh-CN" w:bidi="ar"/>
              </w:rPr>
              <w:t>Ultralytics</w:t>
            </w:r>
          </w:p>
        </w:tc>
        <w:tc>
          <w:tcPr>
            <w:tcW w:w="1259" w:type="dxa"/>
            <w:shd w:val="clear" w:color="auto" w:fill="FFFFFF"/>
            <w:textDirection w:val="tbRlV"/>
            <w:vAlign w:val="center"/>
          </w:tcPr>
          <w:p w14:paraId="2AFDE8DA">
            <w:pPr>
              <w:keepNext w:val="0"/>
              <w:keepLines w:val="0"/>
              <w:widowControl/>
              <w:suppressLineNumbers w:val="0"/>
              <w:ind w:left="113" w:right="113"/>
              <w:jc w:val="center"/>
              <w:textAlignment w:val="center"/>
              <w:rPr>
                <w:rFonts w:ascii="Calibri" w:hAnsi="Calibri" w:cs="Calibri"/>
                <w:b/>
                <w:bCs/>
                <w:i w:val="0"/>
                <w:iCs w:val="0"/>
                <w:color w:val="000000"/>
                <w:sz w:val="11"/>
                <w:szCs w:val="11"/>
                <w:u w:val="none"/>
              </w:rPr>
            </w:pPr>
            <w:r>
              <w:rPr>
                <w:rFonts w:hint="default" w:ascii="Calibri" w:hAnsi="Calibri" w:eastAsia="SimSun" w:cs="Calibri"/>
                <w:b/>
                <w:bCs/>
                <w:i w:val="0"/>
                <w:iCs w:val="0"/>
                <w:color w:val="000000"/>
                <w:kern w:val="0"/>
                <w:sz w:val="16"/>
                <w:szCs w:val="16"/>
                <w:u w:val="none"/>
                <w:lang w:val="en-US" w:eastAsia="zh-CN" w:bidi="ar"/>
              </w:rPr>
              <w:t>Jungheinrich</w:t>
            </w:r>
          </w:p>
        </w:tc>
        <w:tc>
          <w:tcPr>
            <w:tcW w:w="956" w:type="dxa"/>
            <w:shd w:val="clear" w:color="auto" w:fill="FFFFFF"/>
            <w:textDirection w:val="tbRlV"/>
            <w:vAlign w:val="center"/>
          </w:tcPr>
          <w:p w14:paraId="16C60E59">
            <w:pPr>
              <w:keepNext w:val="0"/>
              <w:keepLines w:val="0"/>
              <w:widowControl/>
              <w:suppressLineNumbers w:val="0"/>
              <w:ind w:left="113" w:right="113"/>
              <w:jc w:val="center"/>
              <w:textAlignment w:val="center"/>
              <w:rPr>
                <w:rFonts w:ascii="Calibri" w:hAnsi="Calibri" w:cs="Calibri"/>
                <w:b/>
                <w:bCs/>
                <w:i w:val="0"/>
                <w:iCs w:val="0"/>
                <w:color w:val="000000"/>
                <w:u w:val="none"/>
              </w:rPr>
            </w:pPr>
            <w:r>
              <w:rPr>
                <w:rFonts w:hint="default" w:ascii="Calibri" w:hAnsi="Calibri" w:eastAsia="SimSun" w:cs="Calibri"/>
                <w:b/>
                <w:bCs/>
                <w:i w:val="0"/>
                <w:iCs w:val="0"/>
                <w:color w:val="000000"/>
                <w:kern w:val="0"/>
                <w:sz w:val="24"/>
                <w:szCs w:val="24"/>
                <w:u w:val="none"/>
                <w:lang w:val="en-US" w:eastAsia="zh-CN" w:bidi="ar"/>
              </w:rPr>
              <w:t>Kion</w:t>
            </w:r>
          </w:p>
        </w:tc>
        <w:tc>
          <w:tcPr>
            <w:tcW w:w="1864" w:type="dxa"/>
            <w:shd w:val="clear" w:color="auto" w:fill="FFFFFF"/>
            <w:textDirection w:val="tbRlV"/>
            <w:vAlign w:val="center"/>
          </w:tcPr>
          <w:p w14:paraId="0527D637">
            <w:pPr>
              <w:keepNext w:val="0"/>
              <w:keepLines w:val="0"/>
              <w:widowControl/>
              <w:suppressLineNumbers w:val="0"/>
              <w:ind w:left="113" w:right="113"/>
              <w:jc w:val="center"/>
              <w:textAlignment w:val="center"/>
              <w:rPr>
                <w:rFonts w:ascii="Calibri" w:hAnsi="Calibri" w:cs="Calibri"/>
                <w:b/>
                <w:bCs/>
                <w:i w:val="0"/>
                <w:iCs w:val="0"/>
                <w:color w:val="000000"/>
                <w:u w:val="none"/>
              </w:rPr>
            </w:pPr>
            <w:r>
              <w:rPr>
                <w:rFonts w:hint="default" w:ascii="Calibri" w:hAnsi="Calibri" w:eastAsia="SimSun" w:cs="Calibri"/>
                <w:b/>
                <w:bCs/>
                <w:i w:val="0"/>
                <w:iCs w:val="0"/>
                <w:color w:val="000000"/>
                <w:kern w:val="0"/>
                <w:sz w:val="24"/>
                <w:szCs w:val="24"/>
                <w:u w:val="none"/>
                <w:lang w:val="en-US" w:eastAsia="zh-CN" w:bidi="ar"/>
              </w:rPr>
              <w:t>Empresas/Autor</w:t>
            </w:r>
          </w:p>
        </w:tc>
      </w:tr>
      <w:tr w14:paraId="1C87D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134" w:hRule="atLeast"/>
        </w:trPr>
        <w:tc>
          <w:tcPr>
            <w:tcW w:w="1129" w:type="dxa"/>
            <w:shd w:val="clear" w:color="auto" w:fill="92D050"/>
            <w:textDirection w:val="tbRlV"/>
            <w:vAlign w:val="center"/>
          </w:tcPr>
          <w:p w14:paraId="7DCAACB9">
            <w:pPr>
              <w:ind w:left="113" w:leftChars="0" w:right="113" w:firstLine="0" w:firstLineChars="0"/>
              <w:jc w:val="center"/>
              <w:rPr>
                <w:rFonts w:hint="default"/>
                <w:color w:val="FFFFFF" w:themeColor="background1"/>
                <w:vertAlign w:val="baseline"/>
                <w:lang w:val="pt-BR"/>
                <w14:textFill>
                  <w14:solidFill>
                    <w14:schemeClr w14:val="bg1"/>
                  </w14:solidFill>
                </w14:textFill>
              </w:rPr>
            </w:pPr>
            <w:r>
              <w:rPr>
                <w:rFonts w:hint="default"/>
                <w:color w:val="FFFFFF" w:themeColor="background1"/>
                <w:vertAlign w:val="baseline"/>
                <w:lang w:val="pt-BR"/>
                <w14:textFill>
                  <w14:solidFill>
                    <w14:schemeClr w14:val="bg1"/>
                  </w14:solidFill>
                </w14:textFill>
              </w:rPr>
              <w:t>X</w:t>
            </w:r>
          </w:p>
        </w:tc>
        <w:tc>
          <w:tcPr>
            <w:tcW w:w="1134" w:type="dxa"/>
            <w:shd w:val="clear" w:color="auto" w:fill="FF0000"/>
            <w:textDirection w:val="tbRlV"/>
          </w:tcPr>
          <w:p w14:paraId="09F4BA56">
            <w:pPr>
              <w:ind w:left="113" w:leftChars="0" w:right="113" w:firstLine="0" w:firstLineChars="0"/>
              <w:jc w:val="center"/>
              <w:rPr>
                <w:rFonts w:hint="default"/>
                <w:color w:val="FFFFFF" w:themeColor="background1"/>
                <w:vertAlign w:val="baseline"/>
                <w:lang w:val="pt-BR"/>
                <w14:textFill>
                  <w14:solidFill>
                    <w14:schemeClr w14:val="bg1"/>
                  </w14:solidFill>
                </w14:textFill>
              </w:rPr>
            </w:pPr>
          </w:p>
        </w:tc>
        <w:tc>
          <w:tcPr>
            <w:tcW w:w="907" w:type="dxa"/>
            <w:shd w:val="clear" w:color="auto" w:fill="FF0000"/>
            <w:textDirection w:val="tbRlV"/>
          </w:tcPr>
          <w:p w14:paraId="5FB1D229">
            <w:pPr>
              <w:ind w:left="113" w:leftChars="0" w:right="113" w:firstLine="0" w:firstLineChars="0"/>
              <w:jc w:val="center"/>
              <w:rPr>
                <w:rFonts w:hint="default"/>
                <w:color w:val="FFFFFF" w:themeColor="background1"/>
                <w:vertAlign w:val="baseline"/>
                <w:lang w:val="pt-BR"/>
                <w14:textFill>
                  <w14:solidFill>
                    <w14:schemeClr w14:val="bg1"/>
                  </w14:solidFill>
                </w14:textFill>
              </w:rPr>
            </w:pPr>
          </w:p>
        </w:tc>
        <w:tc>
          <w:tcPr>
            <w:tcW w:w="1600" w:type="dxa"/>
            <w:shd w:val="clear" w:color="auto" w:fill="92D050"/>
            <w:textDirection w:val="tbRlV"/>
            <w:vAlign w:val="center"/>
          </w:tcPr>
          <w:p w14:paraId="16848BEE">
            <w:pPr>
              <w:ind w:left="113" w:leftChars="0" w:right="113" w:firstLine="0" w:firstLineChars="0"/>
              <w:jc w:val="center"/>
              <w:rPr>
                <w:rFonts w:hint="default"/>
                <w:color w:val="FFFFFF" w:themeColor="background1"/>
                <w:vertAlign w:val="baseline"/>
                <w:lang w:val="pt-BR"/>
                <w14:textFill>
                  <w14:solidFill>
                    <w14:schemeClr w14:val="bg1"/>
                  </w14:solidFill>
                </w14:textFill>
              </w:rPr>
            </w:pPr>
            <w:r>
              <w:rPr>
                <w:rFonts w:hint="default"/>
                <w:color w:val="FFFFFF" w:themeColor="background1"/>
                <w:vertAlign w:val="baseline"/>
                <w:lang w:val="pt-BR"/>
                <w14:textFill>
                  <w14:solidFill>
                    <w14:schemeClr w14:val="bg1"/>
                  </w14:solidFill>
                </w14:textFill>
              </w:rPr>
              <w:t>X</w:t>
            </w:r>
          </w:p>
        </w:tc>
        <w:tc>
          <w:tcPr>
            <w:tcW w:w="1259" w:type="dxa"/>
            <w:shd w:val="clear" w:color="auto" w:fill="92D050"/>
            <w:textDirection w:val="tbRlV"/>
            <w:vAlign w:val="center"/>
          </w:tcPr>
          <w:p w14:paraId="3A222580">
            <w:pPr>
              <w:ind w:left="113" w:leftChars="0" w:right="113" w:firstLine="0" w:firstLineChars="0"/>
              <w:jc w:val="both"/>
              <w:rPr>
                <w:rFonts w:hint="default"/>
                <w:color w:val="FFFFFF" w:themeColor="background1"/>
                <w:vertAlign w:val="baseline"/>
                <w:lang w:val="pt-BR"/>
                <w14:textFill>
                  <w14:solidFill>
                    <w14:schemeClr w14:val="bg1"/>
                  </w14:solidFill>
                </w14:textFill>
              </w:rPr>
            </w:pPr>
            <w:r>
              <w:rPr>
                <w:rFonts w:hint="default"/>
                <w:color w:val="FFFFFF" w:themeColor="background1"/>
                <w:vertAlign w:val="baseline"/>
                <w:lang w:val="pt-BR"/>
                <w14:textFill>
                  <w14:solidFill>
                    <w14:schemeClr w14:val="bg1"/>
                  </w14:solidFill>
                </w14:textFill>
              </w:rPr>
              <w:t>X</w:t>
            </w:r>
          </w:p>
        </w:tc>
        <w:tc>
          <w:tcPr>
            <w:tcW w:w="956" w:type="dxa"/>
            <w:shd w:val="clear" w:color="auto" w:fill="92D050"/>
            <w:textDirection w:val="tbRlV"/>
            <w:vAlign w:val="center"/>
          </w:tcPr>
          <w:p w14:paraId="145EE672">
            <w:pPr>
              <w:ind w:left="113" w:leftChars="0" w:right="113" w:firstLine="0" w:firstLineChars="0"/>
              <w:jc w:val="both"/>
              <w:rPr>
                <w:rFonts w:hint="default"/>
                <w:color w:val="FFFFFF" w:themeColor="background1"/>
                <w:vertAlign w:val="baseline"/>
                <w:lang w:val="pt-BR"/>
                <w14:textFill>
                  <w14:solidFill>
                    <w14:schemeClr w14:val="bg1"/>
                  </w14:solidFill>
                </w14:textFill>
              </w:rPr>
            </w:pPr>
            <w:r>
              <w:rPr>
                <w:rFonts w:hint="default"/>
                <w:color w:val="FFFFFF" w:themeColor="background1"/>
                <w:vertAlign w:val="baseline"/>
                <w:lang w:val="pt-BR"/>
                <w14:textFill>
                  <w14:solidFill>
                    <w14:schemeClr w14:val="bg1"/>
                  </w14:solidFill>
                </w14:textFill>
              </w:rPr>
              <w:t>X</w:t>
            </w:r>
          </w:p>
        </w:tc>
        <w:tc>
          <w:tcPr>
            <w:tcW w:w="1864" w:type="dxa"/>
            <w:shd w:val="clear" w:color="auto" w:fill="FFFFFF"/>
            <w:textDirection w:val="tbRlV"/>
            <w:vAlign w:val="center"/>
          </w:tcPr>
          <w:p w14:paraId="5DAA4199">
            <w:pPr>
              <w:keepNext w:val="0"/>
              <w:keepLines w:val="0"/>
              <w:widowControl/>
              <w:suppressLineNumbers w:val="0"/>
              <w:ind w:left="113" w:right="113"/>
              <w:jc w:val="center"/>
              <w:textAlignment w:val="center"/>
              <w:rPr>
                <w:rFonts w:ascii="Calibri" w:hAnsi="Calibri" w:cs="Calibri"/>
                <w:b/>
                <w:bCs/>
                <w:i w:val="0"/>
                <w:iCs w:val="0"/>
                <w:color w:val="000000"/>
                <w:u w:val="none"/>
              </w:rPr>
            </w:pPr>
            <w:r>
              <w:rPr>
                <w:rFonts w:hint="default" w:ascii="Calibri" w:hAnsi="Calibri" w:eastAsia="SimSun" w:cs="Calibri"/>
                <w:b/>
                <w:bCs/>
                <w:i w:val="0"/>
                <w:iCs w:val="0"/>
                <w:color w:val="000000"/>
                <w:kern w:val="0"/>
                <w:sz w:val="24"/>
                <w:szCs w:val="24"/>
                <w:u w:val="none"/>
                <w:lang w:val="en-US" w:eastAsia="zh-CN" w:bidi="ar"/>
              </w:rPr>
              <w:t>Utiliza RFID como forma de autenticação, verificação e/ou identificação</w:t>
            </w:r>
          </w:p>
        </w:tc>
      </w:tr>
      <w:tr w14:paraId="29466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134" w:hRule="atLeast"/>
        </w:trPr>
        <w:tc>
          <w:tcPr>
            <w:tcW w:w="1129" w:type="dxa"/>
            <w:shd w:val="clear" w:color="auto" w:fill="92D050"/>
            <w:textDirection w:val="tbRlV"/>
            <w:vAlign w:val="center"/>
          </w:tcPr>
          <w:p w14:paraId="6389FD37">
            <w:pPr>
              <w:ind w:left="113" w:leftChars="0" w:right="113" w:firstLine="0" w:firstLineChars="0"/>
              <w:jc w:val="center"/>
              <w:rPr>
                <w:rFonts w:hint="default"/>
                <w:color w:val="FFFFFF" w:themeColor="background1"/>
                <w:vertAlign w:val="baseline"/>
                <w:lang w:val="pt-BR"/>
                <w14:textFill>
                  <w14:solidFill>
                    <w14:schemeClr w14:val="bg1"/>
                  </w14:solidFill>
                </w14:textFill>
              </w:rPr>
            </w:pPr>
            <w:r>
              <w:rPr>
                <w:rFonts w:hint="default"/>
                <w:color w:val="FFFFFF" w:themeColor="background1"/>
                <w:vertAlign w:val="baseline"/>
                <w:lang w:val="pt-BR"/>
                <w14:textFill>
                  <w14:solidFill>
                    <w14:schemeClr w14:val="bg1"/>
                  </w14:solidFill>
                </w14:textFill>
              </w:rPr>
              <w:t>X</w:t>
            </w:r>
          </w:p>
        </w:tc>
        <w:tc>
          <w:tcPr>
            <w:tcW w:w="1134" w:type="dxa"/>
            <w:shd w:val="clear" w:color="auto" w:fill="92D050"/>
            <w:textDirection w:val="tbRlV"/>
            <w:vAlign w:val="center"/>
          </w:tcPr>
          <w:p w14:paraId="07DE59CA">
            <w:pPr>
              <w:ind w:left="113" w:leftChars="0" w:right="113" w:firstLine="0" w:firstLineChars="0"/>
              <w:jc w:val="center"/>
              <w:rPr>
                <w:rFonts w:hint="default"/>
                <w:color w:val="FFFFFF" w:themeColor="background1"/>
                <w:vertAlign w:val="baseline"/>
                <w:lang w:val="pt-BR"/>
                <w14:textFill>
                  <w14:solidFill>
                    <w14:schemeClr w14:val="bg1"/>
                  </w14:solidFill>
                </w14:textFill>
              </w:rPr>
            </w:pPr>
            <w:r>
              <w:rPr>
                <w:rFonts w:hint="default"/>
                <w:color w:val="FFFFFF" w:themeColor="background1"/>
                <w:vertAlign w:val="baseline"/>
                <w:lang w:val="pt-BR"/>
                <w14:textFill>
                  <w14:solidFill>
                    <w14:schemeClr w14:val="bg1"/>
                  </w14:solidFill>
                </w14:textFill>
              </w:rPr>
              <w:t>X</w:t>
            </w:r>
          </w:p>
        </w:tc>
        <w:tc>
          <w:tcPr>
            <w:tcW w:w="907" w:type="dxa"/>
            <w:shd w:val="clear" w:color="auto" w:fill="FF0000"/>
            <w:textDirection w:val="tbRlV"/>
          </w:tcPr>
          <w:p w14:paraId="7AB80B9B">
            <w:pPr>
              <w:ind w:left="113" w:leftChars="0" w:right="113" w:firstLine="0" w:firstLineChars="0"/>
              <w:jc w:val="center"/>
              <w:rPr>
                <w:rFonts w:hint="default"/>
                <w:color w:val="FFFFFF" w:themeColor="background1"/>
                <w:vertAlign w:val="baseline"/>
                <w:lang w:val="pt-BR"/>
                <w14:textFill>
                  <w14:solidFill>
                    <w14:schemeClr w14:val="bg1"/>
                  </w14:solidFill>
                </w14:textFill>
              </w:rPr>
            </w:pPr>
          </w:p>
        </w:tc>
        <w:tc>
          <w:tcPr>
            <w:tcW w:w="1600" w:type="dxa"/>
            <w:shd w:val="clear" w:color="auto" w:fill="FF0000"/>
            <w:textDirection w:val="tbRlV"/>
          </w:tcPr>
          <w:p w14:paraId="5FAAB38D">
            <w:pPr>
              <w:ind w:left="113" w:leftChars="0" w:right="113" w:firstLine="0" w:firstLineChars="0"/>
              <w:jc w:val="center"/>
              <w:rPr>
                <w:rFonts w:hint="default"/>
                <w:color w:val="FFFFFF" w:themeColor="background1"/>
                <w:vertAlign w:val="baseline"/>
                <w:lang w:val="pt-BR"/>
                <w14:textFill>
                  <w14:solidFill>
                    <w14:schemeClr w14:val="bg1"/>
                  </w14:solidFill>
                </w14:textFill>
              </w:rPr>
            </w:pPr>
          </w:p>
        </w:tc>
        <w:tc>
          <w:tcPr>
            <w:tcW w:w="1259" w:type="dxa"/>
            <w:shd w:val="clear" w:color="auto" w:fill="92D050"/>
            <w:textDirection w:val="tbRlV"/>
            <w:vAlign w:val="center"/>
          </w:tcPr>
          <w:p w14:paraId="58167968">
            <w:pPr>
              <w:ind w:left="113" w:leftChars="0" w:right="113" w:firstLine="0" w:firstLineChars="0"/>
              <w:jc w:val="center"/>
              <w:rPr>
                <w:rFonts w:hint="default"/>
                <w:color w:val="FFFFFF" w:themeColor="background1"/>
                <w:vertAlign w:val="baseline"/>
                <w:lang w:val="pt-BR"/>
                <w14:textFill>
                  <w14:solidFill>
                    <w14:schemeClr w14:val="bg1"/>
                  </w14:solidFill>
                </w14:textFill>
              </w:rPr>
            </w:pPr>
            <w:r>
              <w:rPr>
                <w:rFonts w:hint="default"/>
                <w:color w:val="FFFFFF" w:themeColor="background1"/>
                <w:vertAlign w:val="baseline"/>
                <w:lang w:val="pt-BR"/>
                <w14:textFill>
                  <w14:solidFill>
                    <w14:schemeClr w14:val="bg1"/>
                  </w14:solidFill>
                </w14:textFill>
              </w:rPr>
              <w:t>X</w:t>
            </w:r>
          </w:p>
        </w:tc>
        <w:tc>
          <w:tcPr>
            <w:tcW w:w="956" w:type="dxa"/>
            <w:shd w:val="clear" w:color="auto" w:fill="92D050"/>
            <w:textDirection w:val="tbRlV"/>
            <w:vAlign w:val="center"/>
          </w:tcPr>
          <w:p w14:paraId="54BBF7A8">
            <w:pPr>
              <w:ind w:left="113" w:leftChars="0" w:right="113" w:firstLine="0" w:firstLineChars="0"/>
              <w:jc w:val="center"/>
              <w:rPr>
                <w:rFonts w:hint="default"/>
                <w:color w:val="FFFFFF" w:themeColor="background1"/>
                <w:vertAlign w:val="baseline"/>
                <w:lang w:val="pt-BR"/>
                <w14:textFill>
                  <w14:solidFill>
                    <w14:schemeClr w14:val="bg1"/>
                  </w14:solidFill>
                </w14:textFill>
              </w:rPr>
            </w:pPr>
            <w:r>
              <w:rPr>
                <w:rFonts w:hint="default"/>
                <w:color w:val="FFFFFF" w:themeColor="background1"/>
                <w:vertAlign w:val="baseline"/>
                <w:lang w:val="pt-BR"/>
                <w14:textFill>
                  <w14:solidFill>
                    <w14:schemeClr w14:val="bg1"/>
                  </w14:solidFill>
                </w14:textFill>
              </w:rPr>
              <w:t>X</w:t>
            </w:r>
          </w:p>
        </w:tc>
        <w:tc>
          <w:tcPr>
            <w:tcW w:w="1864" w:type="dxa"/>
            <w:shd w:val="clear" w:color="auto" w:fill="FFFFFF"/>
            <w:textDirection w:val="tbRlV"/>
            <w:vAlign w:val="center"/>
          </w:tcPr>
          <w:p w14:paraId="5E6DF68C">
            <w:pPr>
              <w:keepNext w:val="0"/>
              <w:keepLines w:val="0"/>
              <w:widowControl/>
              <w:suppressLineNumbers w:val="0"/>
              <w:ind w:left="113" w:right="113"/>
              <w:jc w:val="center"/>
              <w:textAlignment w:val="center"/>
              <w:rPr>
                <w:rFonts w:ascii="Calibri" w:hAnsi="Calibri" w:cs="Calibri"/>
                <w:b/>
                <w:bCs/>
                <w:i w:val="0"/>
                <w:iCs w:val="0"/>
                <w:color w:val="000000"/>
                <w:u w:val="none"/>
              </w:rPr>
            </w:pPr>
            <w:r>
              <w:rPr>
                <w:rFonts w:hint="default" w:ascii="Calibri" w:hAnsi="Calibri" w:eastAsia="SimSun" w:cs="Calibri"/>
                <w:b/>
                <w:bCs/>
                <w:i w:val="0"/>
                <w:iCs w:val="0"/>
                <w:color w:val="000000"/>
                <w:kern w:val="0"/>
                <w:sz w:val="24"/>
                <w:szCs w:val="24"/>
                <w:u w:val="none"/>
                <w:lang w:val="en-US" w:eastAsia="zh-CN" w:bidi="ar"/>
              </w:rPr>
              <w:t>Faz monitoramento de equipamentos</w:t>
            </w:r>
          </w:p>
        </w:tc>
      </w:tr>
      <w:tr w14:paraId="4F495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134" w:hRule="atLeast"/>
        </w:trPr>
        <w:tc>
          <w:tcPr>
            <w:tcW w:w="1129" w:type="dxa"/>
            <w:shd w:val="clear" w:color="auto" w:fill="92D050"/>
            <w:textDirection w:val="tbRlV"/>
            <w:vAlign w:val="center"/>
          </w:tcPr>
          <w:p w14:paraId="566E3C9B">
            <w:pPr>
              <w:ind w:left="113" w:leftChars="0" w:right="113" w:firstLine="0" w:firstLineChars="0"/>
              <w:jc w:val="center"/>
              <w:rPr>
                <w:rFonts w:hint="default"/>
                <w:color w:val="FFFFFF" w:themeColor="background1"/>
                <w:vertAlign w:val="baseline"/>
                <w:lang w:val="pt-BR"/>
                <w14:textFill>
                  <w14:solidFill>
                    <w14:schemeClr w14:val="bg1"/>
                  </w14:solidFill>
                </w14:textFill>
              </w:rPr>
            </w:pPr>
            <w:r>
              <w:rPr>
                <w:rFonts w:hint="default"/>
                <w:color w:val="FFFFFF" w:themeColor="background1"/>
                <w:vertAlign w:val="baseline"/>
                <w:lang w:val="pt-BR"/>
                <w14:textFill>
                  <w14:solidFill>
                    <w14:schemeClr w14:val="bg1"/>
                  </w14:solidFill>
                </w14:textFill>
              </w:rPr>
              <w:t>X</w:t>
            </w:r>
          </w:p>
        </w:tc>
        <w:tc>
          <w:tcPr>
            <w:tcW w:w="1134" w:type="dxa"/>
            <w:shd w:val="clear" w:color="auto" w:fill="92D050"/>
            <w:textDirection w:val="tbRlV"/>
            <w:vAlign w:val="center"/>
          </w:tcPr>
          <w:p w14:paraId="7B3A2DAD">
            <w:pPr>
              <w:ind w:left="113" w:leftChars="0" w:right="113" w:firstLine="0" w:firstLineChars="0"/>
              <w:jc w:val="center"/>
              <w:rPr>
                <w:rFonts w:hint="default"/>
                <w:color w:val="FFFFFF" w:themeColor="background1"/>
                <w:vertAlign w:val="baseline"/>
                <w:lang w:val="pt-BR"/>
                <w14:textFill>
                  <w14:solidFill>
                    <w14:schemeClr w14:val="bg1"/>
                  </w14:solidFill>
                </w14:textFill>
              </w:rPr>
            </w:pPr>
            <w:r>
              <w:rPr>
                <w:rFonts w:hint="default"/>
                <w:color w:val="FFFFFF" w:themeColor="background1"/>
                <w:vertAlign w:val="baseline"/>
                <w:lang w:val="pt-BR"/>
                <w14:textFill>
                  <w14:solidFill>
                    <w14:schemeClr w14:val="bg1"/>
                  </w14:solidFill>
                </w14:textFill>
              </w:rPr>
              <w:t>X</w:t>
            </w:r>
          </w:p>
        </w:tc>
        <w:tc>
          <w:tcPr>
            <w:tcW w:w="907" w:type="dxa"/>
            <w:shd w:val="clear" w:color="auto" w:fill="92D050"/>
            <w:textDirection w:val="tbRlV"/>
            <w:vAlign w:val="center"/>
          </w:tcPr>
          <w:p w14:paraId="03DE8F8C">
            <w:pPr>
              <w:ind w:left="113" w:leftChars="0" w:right="113" w:firstLine="0" w:firstLineChars="0"/>
              <w:jc w:val="center"/>
              <w:rPr>
                <w:rFonts w:hint="default"/>
                <w:color w:val="FFFFFF" w:themeColor="background1"/>
                <w:vertAlign w:val="baseline"/>
                <w:lang w:val="pt-BR"/>
                <w14:textFill>
                  <w14:solidFill>
                    <w14:schemeClr w14:val="bg1"/>
                  </w14:solidFill>
                </w14:textFill>
              </w:rPr>
            </w:pPr>
            <w:r>
              <w:rPr>
                <w:rFonts w:hint="default"/>
                <w:color w:val="FFFFFF" w:themeColor="background1"/>
                <w:vertAlign w:val="baseline"/>
                <w:lang w:val="pt-BR"/>
                <w14:textFill>
                  <w14:solidFill>
                    <w14:schemeClr w14:val="bg1"/>
                  </w14:solidFill>
                </w14:textFill>
              </w:rPr>
              <w:t>X</w:t>
            </w:r>
          </w:p>
        </w:tc>
        <w:tc>
          <w:tcPr>
            <w:tcW w:w="1600" w:type="dxa"/>
            <w:shd w:val="clear" w:color="auto" w:fill="92D050"/>
            <w:textDirection w:val="tbRlV"/>
            <w:vAlign w:val="center"/>
          </w:tcPr>
          <w:p w14:paraId="5C0A9550">
            <w:pPr>
              <w:ind w:left="113" w:leftChars="0" w:right="113" w:firstLine="0" w:firstLineChars="0"/>
              <w:jc w:val="center"/>
              <w:rPr>
                <w:rFonts w:hint="default"/>
                <w:color w:val="FFFFFF" w:themeColor="background1"/>
                <w:vertAlign w:val="baseline"/>
                <w:lang w:val="pt-BR"/>
                <w14:textFill>
                  <w14:solidFill>
                    <w14:schemeClr w14:val="bg1"/>
                  </w14:solidFill>
                </w14:textFill>
              </w:rPr>
            </w:pPr>
            <w:r>
              <w:rPr>
                <w:rFonts w:hint="default"/>
                <w:color w:val="FFFFFF" w:themeColor="background1"/>
                <w:vertAlign w:val="baseline"/>
                <w:lang w:val="pt-BR"/>
                <w14:textFill>
                  <w14:solidFill>
                    <w14:schemeClr w14:val="bg1"/>
                  </w14:solidFill>
                </w14:textFill>
              </w:rPr>
              <w:t>X</w:t>
            </w:r>
          </w:p>
        </w:tc>
        <w:tc>
          <w:tcPr>
            <w:tcW w:w="1259" w:type="dxa"/>
            <w:shd w:val="clear" w:color="auto" w:fill="92D050"/>
            <w:textDirection w:val="tbRlV"/>
            <w:vAlign w:val="center"/>
          </w:tcPr>
          <w:p w14:paraId="34301B5F">
            <w:pPr>
              <w:ind w:left="113" w:leftChars="0" w:right="113" w:firstLine="0" w:firstLineChars="0"/>
              <w:jc w:val="center"/>
              <w:rPr>
                <w:rFonts w:hint="default"/>
                <w:color w:val="FFFFFF" w:themeColor="background1"/>
                <w:vertAlign w:val="baseline"/>
                <w:lang w:val="pt-BR"/>
                <w14:textFill>
                  <w14:solidFill>
                    <w14:schemeClr w14:val="bg1"/>
                  </w14:solidFill>
                </w14:textFill>
              </w:rPr>
            </w:pPr>
            <w:r>
              <w:rPr>
                <w:rFonts w:hint="default"/>
                <w:color w:val="FFFFFF" w:themeColor="background1"/>
                <w:vertAlign w:val="baseline"/>
                <w:lang w:val="pt-BR"/>
                <w14:textFill>
                  <w14:solidFill>
                    <w14:schemeClr w14:val="bg1"/>
                  </w14:solidFill>
                </w14:textFill>
              </w:rPr>
              <w:t>X</w:t>
            </w:r>
          </w:p>
        </w:tc>
        <w:tc>
          <w:tcPr>
            <w:tcW w:w="956" w:type="dxa"/>
            <w:shd w:val="clear" w:color="auto" w:fill="92D050"/>
            <w:textDirection w:val="tbRlV"/>
            <w:vAlign w:val="center"/>
          </w:tcPr>
          <w:p w14:paraId="0767EE70">
            <w:pPr>
              <w:ind w:left="113" w:leftChars="0" w:right="113" w:firstLine="0" w:firstLineChars="0"/>
              <w:jc w:val="center"/>
              <w:rPr>
                <w:rFonts w:hint="default"/>
                <w:color w:val="FFFFFF" w:themeColor="background1"/>
                <w:vertAlign w:val="baseline"/>
                <w:lang w:val="pt-BR"/>
                <w14:textFill>
                  <w14:solidFill>
                    <w14:schemeClr w14:val="bg1"/>
                  </w14:solidFill>
                </w14:textFill>
              </w:rPr>
            </w:pPr>
            <w:r>
              <w:rPr>
                <w:rFonts w:hint="default"/>
                <w:color w:val="FFFFFF" w:themeColor="background1"/>
                <w:vertAlign w:val="baseline"/>
                <w:lang w:val="pt-BR"/>
                <w14:textFill>
                  <w14:solidFill>
                    <w14:schemeClr w14:val="bg1"/>
                  </w14:solidFill>
                </w14:textFill>
              </w:rPr>
              <w:t>X</w:t>
            </w:r>
          </w:p>
        </w:tc>
        <w:tc>
          <w:tcPr>
            <w:tcW w:w="1864" w:type="dxa"/>
            <w:shd w:val="clear" w:color="auto" w:fill="FFFFFF"/>
            <w:textDirection w:val="tbRlV"/>
            <w:vAlign w:val="center"/>
          </w:tcPr>
          <w:p w14:paraId="2A1DC60E">
            <w:pPr>
              <w:keepNext w:val="0"/>
              <w:keepLines w:val="0"/>
              <w:widowControl/>
              <w:suppressLineNumbers w:val="0"/>
              <w:ind w:left="113" w:right="113"/>
              <w:jc w:val="center"/>
              <w:textAlignment w:val="center"/>
              <w:rPr>
                <w:rFonts w:ascii="Calibri" w:hAnsi="Calibri" w:cs="Calibri"/>
                <w:b/>
                <w:bCs/>
                <w:i w:val="0"/>
                <w:iCs w:val="0"/>
                <w:color w:val="000000"/>
                <w:u w:val="none"/>
              </w:rPr>
            </w:pPr>
            <w:r>
              <w:rPr>
                <w:rFonts w:hint="default" w:ascii="Calibri" w:hAnsi="Calibri" w:eastAsia="SimSun" w:cs="Calibri"/>
                <w:b/>
                <w:bCs/>
                <w:i w:val="0"/>
                <w:iCs w:val="0"/>
                <w:color w:val="000000"/>
                <w:kern w:val="0"/>
                <w:sz w:val="24"/>
                <w:szCs w:val="24"/>
                <w:u w:val="none"/>
                <w:lang w:val="en-US" w:eastAsia="zh-CN" w:bidi="ar"/>
              </w:rPr>
              <w:t>Possui perfis de usuário</w:t>
            </w:r>
          </w:p>
        </w:tc>
      </w:tr>
      <w:tr w14:paraId="614CF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134" w:hRule="atLeast"/>
        </w:trPr>
        <w:tc>
          <w:tcPr>
            <w:tcW w:w="1129" w:type="dxa"/>
            <w:shd w:val="clear" w:color="auto" w:fill="92D050"/>
            <w:textDirection w:val="tbRlV"/>
            <w:vAlign w:val="center"/>
          </w:tcPr>
          <w:p w14:paraId="623967E1">
            <w:pPr>
              <w:ind w:left="113" w:leftChars="0" w:right="113" w:firstLine="0" w:firstLineChars="0"/>
              <w:jc w:val="center"/>
              <w:rPr>
                <w:rFonts w:hint="default"/>
                <w:color w:val="FFFFFF" w:themeColor="background1"/>
                <w:vertAlign w:val="baseline"/>
                <w:lang w:val="pt-BR"/>
                <w14:textFill>
                  <w14:solidFill>
                    <w14:schemeClr w14:val="bg1"/>
                  </w14:solidFill>
                </w14:textFill>
              </w:rPr>
            </w:pPr>
            <w:r>
              <w:rPr>
                <w:rFonts w:hint="default"/>
                <w:color w:val="FFFFFF" w:themeColor="background1"/>
                <w:vertAlign w:val="baseline"/>
                <w:lang w:val="pt-BR"/>
                <w14:textFill>
                  <w14:solidFill>
                    <w14:schemeClr w14:val="bg1"/>
                  </w14:solidFill>
                </w14:textFill>
              </w:rPr>
              <w:t>X</w:t>
            </w:r>
          </w:p>
        </w:tc>
        <w:tc>
          <w:tcPr>
            <w:tcW w:w="1134" w:type="dxa"/>
            <w:shd w:val="clear" w:color="auto" w:fill="92D050"/>
            <w:textDirection w:val="tbRlV"/>
            <w:vAlign w:val="center"/>
          </w:tcPr>
          <w:p w14:paraId="1EAE77D5">
            <w:pPr>
              <w:ind w:left="113" w:leftChars="0" w:right="113" w:firstLine="0" w:firstLineChars="0"/>
              <w:jc w:val="center"/>
              <w:rPr>
                <w:rFonts w:hint="default"/>
                <w:color w:val="FFFFFF" w:themeColor="background1"/>
                <w:vertAlign w:val="baseline"/>
                <w:lang w:val="pt-BR"/>
                <w14:textFill>
                  <w14:solidFill>
                    <w14:schemeClr w14:val="bg1"/>
                  </w14:solidFill>
                </w14:textFill>
              </w:rPr>
            </w:pPr>
            <w:r>
              <w:rPr>
                <w:rFonts w:hint="default"/>
                <w:color w:val="FFFFFF" w:themeColor="background1"/>
                <w:vertAlign w:val="baseline"/>
                <w:lang w:val="pt-BR"/>
                <w14:textFill>
                  <w14:solidFill>
                    <w14:schemeClr w14:val="bg1"/>
                  </w14:solidFill>
                </w14:textFill>
              </w:rPr>
              <w:t>X</w:t>
            </w:r>
          </w:p>
        </w:tc>
        <w:tc>
          <w:tcPr>
            <w:tcW w:w="907" w:type="dxa"/>
            <w:shd w:val="clear" w:color="auto" w:fill="92D050"/>
            <w:textDirection w:val="tbRlV"/>
            <w:vAlign w:val="center"/>
          </w:tcPr>
          <w:p w14:paraId="30BA7DF7">
            <w:pPr>
              <w:ind w:left="113" w:leftChars="0" w:right="113" w:firstLine="0" w:firstLineChars="0"/>
              <w:jc w:val="center"/>
              <w:rPr>
                <w:rFonts w:hint="default"/>
                <w:color w:val="FFFFFF" w:themeColor="background1"/>
                <w:vertAlign w:val="baseline"/>
                <w:lang w:val="pt-BR"/>
                <w14:textFill>
                  <w14:solidFill>
                    <w14:schemeClr w14:val="bg1"/>
                  </w14:solidFill>
                </w14:textFill>
              </w:rPr>
            </w:pPr>
            <w:r>
              <w:rPr>
                <w:rFonts w:hint="default"/>
                <w:color w:val="FFFFFF" w:themeColor="background1"/>
                <w:vertAlign w:val="baseline"/>
                <w:lang w:val="pt-BR"/>
                <w14:textFill>
                  <w14:solidFill>
                    <w14:schemeClr w14:val="bg1"/>
                  </w14:solidFill>
                </w14:textFill>
              </w:rPr>
              <w:t>X</w:t>
            </w:r>
          </w:p>
        </w:tc>
        <w:tc>
          <w:tcPr>
            <w:tcW w:w="1600" w:type="dxa"/>
            <w:shd w:val="clear" w:color="auto" w:fill="92D050"/>
            <w:textDirection w:val="tbRlV"/>
            <w:vAlign w:val="center"/>
          </w:tcPr>
          <w:p w14:paraId="17CFA60C">
            <w:pPr>
              <w:ind w:left="113" w:leftChars="0" w:right="113" w:firstLine="0" w:firstLineChars="0"/>
              <w:jc w:val="center"/>
              <w:rPr>
                <w:rFonts w:hint="default"/>
                <w:color w:val="FFFFFF" w:themeColor="background1"/>
                <w:vertAlign w:val="baseline"/>
                <w:lang w:val="pt-BR"/>
                <w14:textFill>
                  <w14:solidFill>
                    <w14:schemeClr w14:val="bg1"/>
                  </w14:solidFill>
                </w14:textFill>
              </w:rPr>
            </w:pPr>
            <w:r>
              <w:rPr>
                <w:rFonts w:hint="default"/>
                <w:color w:val="FFFFFF" w:themeColor="background1"/>
                <w:vertAlign w:val="baseline"/>
                <w:lang w:val="pt-BR"/>
                <w14:textFill>
                  <w14:solidFill>
                    <w14:schemeClr w14:val="bg1"/>
                  </w14:solidFill>
                </w14:textFill>
              </w:rPr>
              <w:t>X</w:t>
            </w:r>
          </w:p>
        </w:tc>
        <w:tc>
          <w:tcPr>
            <w:tcW w:w="1259" w:type="dxa"/>
            <w:shd w:val="clear" w:color="auto" w:fill="FF0000"/>
            <w:textDirection w:val="tbRlV"/>
          </w:tcPr>
          <w:p w14:paraId="3A88DC8C">
            <w:pPr>
              <w:ind w:left="113" w:leftChars="0" w:right="113" w:firstLine="0" w:firstLineChars="0"/>
              <w:jc w:val="center"/>
              <w:rPr>
                <w:rFonts w:hint="default"/>
                <w:color w:val="FFFFFF" w:themeColor="background1"/>
                <w:vertAlign w:val="baseline"/>
                <w:lang w:val="pt-BR"/>
                <w14:textFill>
                  <w14:solidFill>
                    <w14:schemeClr w14:val="bg1"/>
                  </w14:solidFill>
                </w14:textFill>
              </w:rPr>
            </w:pPr>
          </w:p>
        </w:tc>
        <w:tc>
          <w:tcPr>
            <w:tcW w:w="956" w:type="dxa"/>
            <w:shd w:val="clear" w:color="auto" w:fill="92D050"/>
            <w:textDirection w:val="tbRlV"/>
            <w:vAlign w:val="center"/>
          </w:tcPr>
          <w:p w14:paraId="37A857B3">
            <w:pPr>
              <w:ind w:left="113" w:leftChars="0" w:right="113" w:firstLine="0" w:firstLineChars="0"/>
              <w:jc w:val="center"/>
              <w:rPr>
                <w:rFonts w:hint="default"/>
                <w:color w:val="FFFFFF" w:themeColor="background1"/>
                <w:vertAlign w:val="baseline"/>
                <w:lang w:val="pt-BR"/>
                <w14:textFill>
                  <w14:solidFill>
                    <w14:schemeClr w14:val="bg1"/>
                  </w14:solidFill>
                </w14:textFill>
              </w:rPr>
            </w:pPr>
            <w:r>
              <w:rPr>
                <w:rFonts w:hint="default"/>
                <w:color w:val="FFFFFF" w:themeColor="background1"/>
                <w:vertAlign w:val="baseline"/>
                <w:lang w:val="pt-BR"/>
                <w14:textFill>
                  <w14:solidFill>
                    <w14:schemeClr w14:val="bg1"/>
                  </w14:solidFill>
                </w14:textFill>
              </w:rPr>
              <w:t>X</w:t>
            </w:r>
          </w:p>
        </w:tc>
        <w:tc>
          <w:tcPr>
            <w:tcW w:w="1864" w:type="dxa"/>
            <w:shd w:val="clear" w:color="auto" w:fill="FFFFFF"/>
            <w:textDirection w:val="tbRlV"/>
            <w:vAlign w:val="center"/>
          </w:tcPr>
          <w:p w14:paraId="130DF324">
            <w:pPr>
              <w:keepNext w:val="0"/>
              <w:keepLines w:val="0"/>
              <w:widowControl/>
              <w:suppressLineNumbers w:val="0"/>
              <w:ind w:left="113" w:right="113"/>
              <w:jc w:val="center"/>
              <w:textAlignment w:val="center"/>
              <w:rPr>
                <w:rFonts w:ascii="Calibri" w:hAnsi="Calibri" w:cs="Calibri"/>
                <w:b/>
                <w:bCs/>
                <w:i w:val="0"/>
                <w:iCs w:val="0"/>
                <w:color w:val="000000"/>
                <w:u w:val="none"/>
              </w:rPr>
            </w:pPr>
            <w:r>
              <w:rPr>
                <w:rFonts w:hint="default" w:ascii="Calibri" w:hAnsi="Calibri" w:eastAsia="SimSun" w:cs="Calibri"/>
                <w:b/>
                <w:bCs/>
                <w:i w:val="0"/>
                <w:iCs w:val="0"/>
                <w:color w:val="000000"/>
                <w:kern w:val="0"/>
                <w:sz w:val="24"/>
                <w:szCs w:val="24"/>
                <w:u w:val="none"/>
                <w:lang w:val="en-US" w:eastAsia="zh-CN" w:bidi="ar"/>
              </w:rPr>
              <w:t>Gera relatórios da operação</w:t>
            </w:r>
          </w:p>
        </w:tc>
      </w:tr>
      <w:tr w14:paraId="25DD4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134" w:hRule="atLeast"/>
        </w:trPr>
        <w:tc>
          <w:tcPr>
            <w:tcW w:w="1129" w:type="dxa"/>
            <w:shd w:val="clear" w:color="auto" w:fill="92D050"/>
            <w:textDirection w:val="tbRlV"/>
            <w:vAlign w:val="center"/>
          </w:tcPr>
          <w:p w14:paraId="28E5EF58">
            <w:pPr>
              <w:ind w:left="113" w:leftChars="0" w:right="113" w:firstLine="0" w:firstLineChars="0"/>
              <w:jc w:val="center"/>
              <w:rPr>
                <w:rFonts w:hint="default"/>
                <w:color w:val="FFFFFF" w:themeColor="background1"/>
                <w:vertAlign w:val="baseline"/>
                <w:lang w:val="pt-BR"/>
                <w14:textFill>
                  <w14:solidFill>
                    <w14:schemeClr w14:val="bg1"/>
                  </w14:solidFill>
                </w14:textFill>
              </w:rPr>
            </w:pPr>
            <w:r>
              <w:rPr>
                <w:rFonts w:hint="default"/>
                <w:color w:val="FFFFFF" w:themeColor="background1"/>
                <w:vertAlign w:val="baseline"/>
                <w:lang w:val="pt-BR"/>
                <w14:textFill>
                  <w14:solidFill>
                    <w14:schemeClr w14:val="bg1"/>
                  </w14:solidFill>
                </w14:textFill>
              </w:rPr>
              <w:t>X</w:t>
            </w:r>
          </w:p>
        </w:tc>
        <w:tc>
          <w:tcPr>
            <w:tcW w:w="1134" w:type="dxa"/>
            <w:shd w:val="clear" w:color="auto" w:fill="92D050"/>
            <w:textDirection w:val="tbRlV"/>
            <w:vAlign w:val="center"/>
          </w:tcPr>
          <w:p w14:paraId="41C35A06">
            <w:pPr>
              <w:ind w:left="113" w:leftChars="0" w:right="113" w:firstLine="0" w:firstLineChars="0"/>
              <w:jc w:val="center"/>
              <w:rPr>
                <w:rFonts w:hint="default"/>
                <w:color w:val="FFFFFF" w:themeColor="background1"/>
                <w:vertAlign w:val="baseline"/>
                <w:lang w:val="pt-BR"/>
                <w14:textFill>
                  <w14:solidFill>
                    <w14:schemeClr w14:val="bg1"/>
                  </w14:solidFill>
                </w14:textFill>
              </w:rPr>
            </w:pPr>
            <w:r>
              <w:rPr>
                <w:rFonts w:hint="default"/>
                <w:color w:val="FFFFFF" w:themeColor="background1"/>
                <w:vertAlign w:val="baseline"/>
                <w:lang w:val="pt-BR"/>
                <w14:textFill>
                  <w14:solidFill>
                    <w14:schemeClr w14:val="bg1"/>
                  </w14:solidFill>
                </w14:textFill>
              </w:rPr>
              <w:t>X</w:t>
            </w:r>
          </w:p>
        </w:tc>
        <w:tc>
          <w:tcPr>
            <w:tcW w:w="907" w:type="dxa"/>
            <w:shd w:val="clear" w:color="auto" w:fill="92D050"/>
            <w:textDirection w:val="tbRlV"/>
            <w:vAlign w:val="center"/>
          </w:tcPr>
          <w:p w14:paraId="6DA99060">
            <w:pPr>
              <w:ind w:left="113" w:leftChars="0" w:right="113" w:firstLine="0" w:firstLineChars="0"/>
              <w:jc w:val="center"/>
              <w:rPr>
                <w:rFonts w:hint="default"/>
                <w:color w:val="FFFFFF" w:themeColor="background1"/>
                <w:vertAlign w:val="baseline"/>
                <w:lang w:val="pt-BR"/>
                <w14:textFill>
                  <w14:solidFill>
                    <w14:schemeClr w14:val="bg1"/>
                  </w14:solidFill>
                </w14:textFill>
              </w:rPr>
            </w:pPr>
            <w:r>
              <w:rPr>
                <w:rFonts w:hint="default"/>
                <w:color w:val="FFFFFF" w:themeColor="background1"/>
                <w:vertAlign w:val="baseline"/>
                <w:lang w:val="pt-BR"/>
                <w14:textFill>
                  <w14:solidFill>
                    <w14:schemeClr w14:val="bg1"/>
                  </w14:solidFill>
                </w14:textFill>
              </w:rPr>
              <w:t>X</w:t>
            </w:r>
          </w:p>
        </w:tc>
        <w:tc>
          <w:tcPr>
            <w:tcW w:w="1600" w:type="dxa"/>
            <w:shd w:val="clear" w:color="auto" w:fill="92D050"/>
            <w:textDirection w:val="tbRlV"/>
            <w:vAlign w:val="center"/>
          </w:tcPr>
          <w:p w14:paraId="0F08C003">
            <w:pPr>
              <w:ind w:left="113" w:leftChars="0" w:right="113" w:firstLine="0" w:firstLineChars="0"/>
              <w:jc w:val="center"/>
              <w:rPr>
                <w:rFonts w:hint="default"/>
                <w:color w:val="FFFFFF" w:themeColor="background1"/>
                <w:vertAlign w:val="baseline"/>
                <w:lang w:val="pt-BR"/>
                <w14:textFill>
                  <w14:solidFill>
                    <w14:schemeClr w14:val="bg1"/>
                  </w14:solidFill>
                </w14:textFill>
              </w:rPr>
            </w:pPr>
            <w:r>
              <w:rPr>
                <w:rFonts w:hint="default"/>
                <w:color w:val="FFFFFF" w:themeColor="background1"/>
                <w:vertAlign w:val="baseline"/>
                <w:lang w:val="pt-BR"/>
                <w14:textFill>
                  <w14:solidFill>
                    <w14:schemeClr w14:val="bg1"/>
                  </w14:solidFill>
                </w14:textFill>
              </w:rPr>
              <w:t>X</w:t>
            </w:r>
          </w:p>
        </w:tc>
        <w:tc>
          <w:tcPr>
            <w:tcW w:w="1259" w:type="dxa"/>
            <w:shd w:val="clear" w:color="auto" w:fill="FF0000"/>
            <w:textDirection w:val="tbRlV"/>
          </w:tcPr>
          <w:p w14:paraId="3DB55058">
            <w:pPr>
              <w:ind w:left="113" w:leftChars="0" w:right="113" w:firstLine="0" w:firstLineChars="0"/>
              <w:jc w:val="center"/>
              <w:rPr>
                <w:rFonts w:hint="default"/>
                <w:color w:val="FFFFFF" w:themeColor="background1"/>
                <w:vertAlign w:val="baseline"/>
                <w:lang w:val="pt-BR"/>
                <w14:textFill>
                  <w14:solidFill>
                    <w14:schemeClr w14:val="bg1"/>
                  </w14:solidFill>
                </w14:textFill>
              </w:rPr>
            </w:pPr>
          </w:p>
        </w:tc>
        <w:tc>
          <w:tcPr>
            <w:tcW w:w="956" w:type="dxa"/>
            <w:shd w:val="clear" w:color="auto" w:fill="FF0000"/>
            <w:textDirection w:val="tbRlV"/>
          </w:tcPr>
          <w:p w14:paraId="67D0F4E2">
            <w:pPr>
              <w:ind w:left="113" w:leftChars="0" w:right="113" w:firstLine="0" w:firstLineChars="0"/>
              <w:jc w:val="center"/>
              <w:rPr>
                <w:rFonts w:hint="default"/>
                <w:color w:val="FFFFFF" w:themeColor="background1"/>
                <w:vertAlign w:val="baseline"/>
                <w:lang w:val="pt-BR"/>
                <w14:textFill>
                  <w14:solidFill>
                    <w14:schemeClr w14:val="bg1"/>
                  </w14:solidFill>
                </w14:textFill>
              </w:rPr>
            </w:pPr>
          </w:p>
        </w:tc>
        <w:tc>
          <w:tcPr>
            <w:tcW w:w="1864" w:type="dxa"/>
            <w:shd w:val="clear" w:color="auto" w:fill="FFFFFF"/>
            <w:textDirection w:val="tbRlV"/>
            <w:vAlign w:val="center"/>
          </w:tcPr>
          <w:p w14:paraId="77BFD468">
            <w:pPr>
              <w:keepNext w:val="0"/>
              <w:keepLines w:val="0"/>
              <w:widowControl/>
              <w:suppressLineNumbers w:val="0"/>
              <w:ind w:left="113" w:right="113"/>
              <w:jc w:val="center"/>
              <w:textAlignment w:val="center"/>
              <w:rPr>
                <w:rFonts w:ascii="Calibri" w:hAnsi="Calibri" w:cs="Calibri"/>
                <w:b/>
                <w:bCs/>
                <w:i w:val="0"/>
                <w:iCs w:val="0"/>
                <w:color w:val="000000"/>
                <w:u w:val="none"/>
              </w:rPr>
            </w:pPr>
            <w:r>
              <w:rPr>
                <w:rFonts w:hint="default" w:ascii="Calibri" w:hAnsi="Calibri" w:eastAsia="SimSun" w:cs="Calibri"/>
                <w:b/>
                <w:bCs/>
                <w:i w:val="0"/>
                <w:iCs w:val="0"/>
                <w:color w:val="000000"/>
                <w:kern w:val="0"/>
                <w:sz w:val="24"/>
                <w:szCs w:val="24"/>
                <w:u w:val="none"/>
                <w:lang w:val="en-US" w:eastAsia="zh-CN" w:bidi="ar"/>
              </w:rPr>
              <w:t xml:space="preserve">Utilização de sensores para a localização em tempo real </w:t>
            </w:r>
          </w:p>
        </w:tc>
      </w:tr>
      <w:tr w14:paraId="03280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134" w:hRule="atLeast"/>
        </w:trPr>
        <w:tc>
          <w:tcPr>
            <w:tcW w:w="1129" w:type="dxa"/>
            <w:shd w:val="clear" w:color="auto" w:fill="92D050"/>
            <w:textDirection w:val="tbRlV"/>
            <w:vAlign w:val="center"/>
          </w:tcPr>
          <w:p w14:paraId="606A0678">
            <w:pPr>
              <w:ind w:left="113" w:leftChars="0" w:right="113" w:firstLine="0" w:firstLineChars="0"/>
              <w:jc w:val="center"/>
              <w:rPr>
                <w:rFonts w:hint="default"/>
                <w:color w:val="FFFFFF" w:themeColor="background1"/>
                <w:vertAlign w:val="baseline"/>
                <w:lang w:val="pt-BR"/>
                <w14:textFill>
                  <w14:solidFill>
                    <w14:schemeClr w14:val="bg1"/>
                  </w14:solidFill>
                </w14:textFill>
              </w:rPr>
            </w:pPr>
            <w:r>
              <w:rPr>
                <w:rFonts w:hint="default"/>
                <w:color w:val="FFFFFF" w:themeColor="background1"/>
                <w:vertAlign w:val="baseline"/>
                <w:lang w:val="pt-BR"/>
                <w14:textFill>
                  <w14:solidFill>
                    <w14:schemeClr w14:val="bg1"/>
                  </w14:solidFill>
                </w14:textFill>
              </w:rPr>
              <w:t>X</w:t>
            </w:r>
          </w:p>
        </w:tc>
        <w:tc>
          <w:tcPr>
            <w:tcW w:w="1134" w:type="dxa"/>
            <w:shd w:val="clear" w:color="auto" w:fill="92D050"/>
            <w:textDirection w:val="tbRlV"/>
            <w:vAlign w:val="center"/>
          </w:tcPr>
          <w:p w14:paraId="3CA08444">
            <w:pPr>
              <w:ind w:left="113" w:leftChars="0" w:right="113" w:firstLine="0" w:firstLineChars="0"/>
              <w:jc w:val="center"/>
              <w:rPr>
                <w:rFonts w:hint="default"/>
                <w:color w:val="FFFFFF" w:themeColor="background1"/>
                <w:vertAlign w:val="baseline"/>
                <w:lang w:val="pt-BR"/>
                <w14:textFill>
                  <w14:solidFill>
                    <w14:schemeClr w14:val="bg1"/>
                  </w14:solidFill>
                </w14:textFill>
              </w:rPr>
            </w:pPr>
            <w:r>
              <w:rPr>
                <w:rFonts w:hint="default"/>
                <w:color w:val="FFFFFF" w:themeColor="background1"/>
                <w:vertAlign w:val="baseline"/>
                <w:lang w:val="pt-BR"/>
                <w14:textFill>
                  <w14:solidFill>
                    <w14:schemeClr w14:val="bg1"/>
                  </w14:solidFill>
                </w14:textFill>
              </w:rPr>
              <w:t>X</w:t>
            </w:r>
          </w:p>
        </w:tc>
        <w:tc>
          <w:tcPr>
            <w:tcW w:w="907" w:type="dxa"/>
            <w:shd w:val="clear" w:color="auto" w:fill="92D050"/>
            <w:textDirection w:val="tbRlV"/>
            <w:vAlign w:val="center"/>
          </w:tcPr>
          <w:p w14:paraId="1C388FB0">
            <w:pPr>
              <w:ind w:left="113" w:leftChars="0" w:right="113" w:firstLine="0" w:firstLineChars="0"/>
              <w:jc w:val="center"/>
              <w:rPr>
                <w:rFonts w:hint="default"/>
                <w:color w:val="FFFFFF" w:themeColor="background1"/>
                <w:vertAlign w:val="baseline"/>
                <w:lang w:val="pt-BR"/>
                <w14:textFill>
                  <w14:solidFill>
                    <w14:schemeClr w14:val="bg1"/>
                  </w14:solidFill>
                </w14:textFill>
              </w:rPr>
            </w:pPr>
            <w:r>
              <w:rPr>
                <w:rFonts w:hint="default"/>
                <w:color w:val="FFFFFF" w:themeColor="background1"/>
                <w:vertAlign w:val="baseline"/>
                <w:lang w:val="pt-BR"/>
                <w14:textFill>
                  <w14:solidFill>
                    <w14:schemeClr w14:val="bg1"/>
                  </w14:solidFill>
                </w14:textFill>
              </w:rPr>
              <w:t>X</w:t>
            </w:r>
          </w:p>
        </w:tc>
        <w:tc>
          <w:tcPr>
            <w:tcW w:w="1600" w:type="dxa"/>
            <w:shd w:val="clear" w:color="auto" w:fill="92D050"/>
            <w:textDirection w:val="tbRlV"/>
            <w:vAlign w:val="center"/>
          </w:tcPr>
          <w:p w14:paraId="1BB3D023">
            <w:pPr>
              <w:ind w:left="113" w:leftChars="0" w:right="113" w:firstLine="0" w:firstLineChars="0"/>
              <w:jc w:val="center"/>
              <w:rPr>
                <w:rFonts w:hint="default"/>
                <w:color w:val="FFFFFF" w:themeColor="background1"/>
                <w:vertAlign w:val="baseline"/>
                <w:lang w:val="pt-BR"/>
                <w14:textFill>
                  <w14:solidFill>
                    <w14:schemeClr w14:val="bg1"/>
                  </w14:solidFill>
                </w14:textFill>
              </w:rPr>
            </w:pPr>
            <w:r>
              <w:rPr>
                <w:rFonts w:hint="default"/>
                <w:color w:val="FFFFFF" w:themeColor="background1"/>
                <w:vertAlign w:val="baseline"/>
                <w:lang w:val="pt-BR"/>
                <w14:textFill>
                  <w14:solidFill>
                    <w14:schemeClr w14:val="bg1"/>
                  </w14:solidFill>
                </w14:textFill>
              </w:rPr>
              <w:t>X</w:t>
            </w:r>
          </w:p>
        </w:tc>
        <w:tc>
          <w:tcPr>
            <w:tcW w:w="1259" w:type="dxa"/>
            <w:shd w:val="clear" w:color="auto" w:fill="92D050"/>
            <w:textDirection w:val="tbRlV"/>
            <w:vAlign w:val="center"/>
          </w:tcPr>
          <w:p w14:paraId="0C3E82FA">
            <w:pPr>
              <w:ind w:left="113" w:leftChars="0" w:right="113" w:firstLine="0" w:firstLineChars="0"/>
              <w:jc w:val="center"/>
              <w:rPr>
                <w:rFonts w:hint="default"/>
                <w:color w:val="FFFFFF" w:themeColor="background1"/>
                <w:vertAlign w:val="baseline"/>
                <w:lang w:val="pt-BR"/>
                <w14:textFill>
                  <w14:solidFill>
                    <w14:schemeClr w14:val="bg1"/>
                  </w14:solidFill>
                </w14:textFill>
              </w:rPr>
            </w:pPr>
            <w:r>
              <w:rPr>
                <w:rFonts w:hint="default"/>
                <w:color w:val="FFFFFF" w:themeColor="background1"/>
                <w:vertAlign w:val="baseline"/>
                <w:lang w:val="pt-BR"/>
                <w14:textFill>
                  <w14:solidFill>
                    <w14:schemeClr w14:val="bg1"/>
                  </w14:solidFill>
                </w14:textFill>
              </w:rPr>
              <w:t>X</w:t>
            </w:r>
          </w:p>
        </w:tc>
        <w:tc>
          <w:tcPr>
            <w:tcW w:w="956" w:type="dxa"/>
            <w:shd w:val="clear" w:color="auto" w:fill="92D050"/>
            <w:textDirection w:val="tbRlV"/>
            <w:vAlign w:val="center"/>
          </w:tcPr>
          <w:p w14:paraId="0CCF7D4E">
            <w:pPr>
              <w:ind w:left="113" w:leftChars="0" w:right="113" w:firstLine="0" w:firstLineChars="0"/>
              <w:jc w:val="center"/>
              <w:rPr>
                <w:rFonts w:hint="default"/>
                <w:color w:val="FFFFFF" w:themeColor="background1"/>
                <w:vertAlign w:val="baseline"/>
                <w:lang w:val="pt-BR"/>
                <w14:textFill>
                  <w14:solidFill>
                    <w14:schemeClr w14:val="bg1"/>
                  </w14:solidFill>
                </w14:textFill>
              </w:rPr>
            </w:pPr>
            <w:r>
              <w:rPr>
                <w:rFonts w:hint="default"/>
                <w:color w:val="FFFFFF" w:themeColor="background1"/>
                <w:vertAlign w:val="baseline"/>
                <w:lang w:val="pt-BR"/>
                <w14:textFill>
                  <w14:solidFill>
                    <w14:schemeClr w14:val="bg1"/>
                  </w14:solidFill>
                </w14:textFill>
              </w:rPr>
              <w:t>X</w:t>
            </w:r>
          </w:p>
        </w:tc>
        <w:tc>
          <w:tcPr>
            <w:tcW w:w="1864" w:type="dxa"/>
            <w:shd w:val="clear" w:color="auto" w:fill="FFFFFF"/>
            <w:textDirection w:val="tbRlV"/>
            <w:vAlign w:val="center"/>
          </w:tcPr>
          <w:p w14:paraId="2C962D47">
            <w:pPr>
              <w:keepNext w:val="0"/>
              <w:keepLines w:val="0"/>
              <w:widowControl/>
              <w:suppressLineNumbers w:val="0"/>
              <w:ind w:left="113" w:right="113"/>
              <w:jc w:val="center"/>
              <w:textAlignment w:val="center"/>
              <w:rPr>
                <w:rFonts w:ascii="Calibri" w:hAnsi="Calibri" w:cs="Calibri"/>
                <w:b/>
                <w:bCs/>
                <w:i w:val="0"/>
                <w:iCs w:val="0"/>
                <w:color w:val="000000"/>
                <w:u w:val="none"/>
              </w:rPr>
            </w:pPr>
            <w:r>
              <w:rPr>
                <w:rFonts w:hint="default" w:ascii="Calibri" w:hAnsi="Calibri" w:eastAsia="SimSun" w:cs="Calibri"/>
                <w:b/>
                <w:bCs/>
                <w:i w:val="0"/>
                <w:iCs w:val="0"/>
                <w:color w:val="000000"/>
                <w:kern w:val="0"/>
                <w:sz w:val="24"/>
                <w:szCs w:val="24"/>
                <w:u w:val="none"/>
                <w:lang w:val="en-US" w:eastAsia="zh-CN" w:bidi="ar"/>
              </w:rPr>
              <w:t>Possui uma plataforma de gerenciamento WEB/Remota</w:t>
            </w:r>
          </w:p>
        </w:tc>
      </w:tr>
      <w:tr w14:paraId="256AD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134" w:hRule="atLeast"/>
        </w:trPr>
        <w:tc>
          <w:tcPr>
            <w:tcW w:w="1129" w:type="dxa"/>
            <w:shd w:val="clear" w:color="auto" w:fill="92D050"/>
            <w:textDirection w:val="tbRlV"/>
            <w:vAlign w:val="center"/>
          </w:tcPr>
          <w:p w14:paraId="13C5F091">
            <w:pPr>
              <w:ind w:left="113" w:leftChars="0" w:right="113" w:firstLine="0" w:firstLineChars="0"/>
              <w:jc w:val="center"/>
              <w:rPr>
                <w:rFonts w:hint="default"/>
                <w:color w:val="FFFFFF" w:themeColor="background1"/>
                <w:vertAlign w:val="baseline"/>
                <w:lang w:val="pt-BR"/>
                <w14:textFill>
                  <w14:solidFill>
                    <w14:schemeClr w14:val="bg1"/>
                  </w14:solidFill>
                </w14:textFill>
              </w:rPr>
            </w:pPr>
            <w:r>
              <w:rPr>
                <w:rFonts w:hint="default"/>
                <w:color w:val="FFFFFF" w:themeColor="background1"/>
                <w:vertAlign w:val="baseline"/>
                <w:lang w:val="pt-BR"/>
                <w14:textFill>
                  <w14:solidFill>
                    <w14:schemeClr w14:val="bg1"/>
                  </w14:solidFill>
                </w14:textFill>
              </w:rPr>
              <w:t>X</w:t>
            </w:r>
          </w:p>
        </w:tc>
        <w:tc>
          <w:tcPr>
            <w:tcW w:w="1134" w:type="dxa"/>
            <w:shd w:val="clear" w:color="auto" w:fill="92D050"/>
            <w:textDirection w:val="tbRlV"/>
            <w:vAlign w:val="center"/>
          </w:tcPr>
          <w:p w14:paraId="2A1CA66D">
            <w:pPr>
              <w:ind w:left="113" w:leftChars="0" w:right="113" w:firstLine="0" w:firstLineChars="0"/>
              <w:jc w:val="center"/>
              <w:rPr>
                <w:rFonts w:hint="default"/>
                <w:color w:val="FFFFFF" w:themeColor="background1"/>
                <w:vertAlign w:val="baseline"/>
                <w:lang w:val="pt-BR"/>
                <w14:textFill>
                  <w14:solidFill>
                    <w14:schemeClr w14:val="bg1"/>
                  </w14:solidFill>
                </w14:textFill>
              </w:rPr>
            </w:pPr>
            <w:r>
              <w:rPr>
                <w:rFonts w:hint="default"/>
                <w:color w:val="FFFFFF" w:themeColor="background1"/>
                <w:vertAlign w:val="baseline"/>
                <w:lang w:val="pt-BR"/>
                <w14:textFill>
                  <w14:solidFill>
                    <w14:schemeClr w14:val="bg1"/>
                  </w14:solidFill>
                </w14:textFill>
              </w:rPr>
              <w:t>X</w:t>
            </w:r>
          </w:p>
        </w:tc>
        <w:tc>
          <w:tcPr>
            <w:tcW w:w="907" w:type="dxa"/>
            <w:shd w:val="clear" w:color="auto" w:fill="FF0000"/>
            <w:textDirection w:val="tbRlV"/>
          </w:tcPr>
          <w:p w14:paraId="6BB194ED">
            <w:pPr>
              <w:ind w:left="113" w:leftChars="0" w:right="113" w:firstLine="0" w:firstLineChars="0"/>
              <w:jc w:val="center"/>
              <w:rPr>
                <w:rFonts w:hint="default"/>
                <w:color w:val="FFFFFF" w:themeColor="background1"/>
                <w:vertAlign w:val="baseline"/>
                <w:lang w:val="pt-BR"/>
                <w14:textFill>
                  <w14:solidFill>
                    <w14:schemeClr w14:val="bg1"/>
                  </w14:solidFill>
                </w14:textFill>
              </w:rPr>
            </w:pPr>
          </w:p>
        </w:tc>
        <w:tc>
          <w:tcPr>
            <w:tcW w:w="1600" w:type="dxa"/>
            <w:shd w:val="clear" w:color="auto" w:fill="FF0000"/>
            <w:textDirection w:val="tbRlV"/>
          </w:tcPr>
          <w:p w14:paraId="3B3A4A3E">
            <w:pPr>
              <w:ind w:left="113" w:leftChars="0" w:right="113" w:firstLine="0" w:firstLineChars="0"/>
              <w:jc w:val="center"/>
              <w:rPr>
                <w:rFonts w:hint="default"/>
                <w:color w:val="FFFFFF" w:themeColor="background1"/>
                <w:vertAlign w:val="baseline"/>
                <w:lang w:val="pt-BR"/>
                <w14:textFill>
                  <w14:solidFill>
                    <w14:schemeClr w14:val="bg1"/>
                  </w14:solidFill>
                </w14:textFill>
              </w:rPr>
            </w:pPr>
          </w:p>
        </w:tc>
        <w:tc>
          <w:tcPr>
            <w:tcW w:w="1259" w:type="dxa"/>
            <w:shd w:val="clear" w:color="auto" w:fill="FF0000"/>
            <w:textDirection w:val="tbRlV"/>
          </w:tcPr>
          <w:p w14:paraId="2AB0683E">
            <w:pPr>
              <w:ind w:left="113" w:leftChars="0" w:right="113" w:firstLine="0" w:firstLineChars="0"/>
              <w:jc w:val="center"/>
              <w:rPr>
                <w:rFonts w:hint="default"/>
                <w:color w:val="FFFFFF" w:themeColor="background1"/>
                <w:vertAlign w:val="baseline"/>
                <w:lang w:val="pt-BR"/>
                <w14:textFill>
                  <w14:solidFill>
                    <w14:schemeClr w14:val="bg1"/>
                  </w14:solidFill>
                </w14:textFill>
              </w:rPr>
            </w:pPr>
          </w:p>
        </w:tc>
        <w:tc>
          <w:tcPr>
            <w:tcW w:w="956" w:type="dxa"/>
            <w:shd w:val="clear" w:color="auto" w:fill="FF0000"/>
            <w:textDirection w:val="tbRlV"/>
          </w:tcPr>
          <w:p w14:paraId="084B2ADF">
            <w:pPr>
              <w:ind w:left="113" w:leftChars="0" w:right="113" w:firstLine="0" w:firstLineChars="0"/>
              <w:jc w:val="center"/>
              <w:rPr>
                <w:rFonts w:hint="default"/>
                <w:color w:val="FFFFFF" w:themeColor="background1"/>
                <w:vertAlign w:val="baseline"/>
                <w:lang w:val="pt-BR"/>
                <w14:textFill>
                  <w14:solidFill>
                    <w14:schemeClr w14:val="bg1"/>
                  </w14:solidFill>
                </w14:textFill>
              </w:rPr>
            </w:pPr>
          </w:p>
        </w:tc>
        <w:tc>
          <w:tcPr>
            <w:tcW w:w="1864" w:type="dxa"/>
            <w:shd w:val="clear" w:color="auto" w:fill="FFFFFF"/>
            <w:textDirection w:val="tbRlV"/>
            <w:vAlign w:val="center"/>
          </w:tcPr>
          <w:p w14:paraId="149D1106">
            <w:pPr>
              <w:keepNext w:val="0"/>
              <w:keepLines w:val="0"/>
              <w:widowControl/>
              <w:suppressLineNumbers w:val="0"/>
              <w:ind w:left="113" w:right="113"/>
              <w:jc w:val="center"/>
              <w:textAlignment w:val="center"/>
              <w:rPr>
                <w:rFonts w:ascii="Calibri" w:hAnsi="Calibri" w:cs="Calibri"/>
                <w:b/>
                <w:bCs/>
                <w:i w:val="0"/>
                <w:iCs w:val="0"/>
                <w:color w:val="000000"/>
                <w:u w:val="none"/>
              </w:rPr>
            </w:pPr>
            <w:r>
              <w:rPr>
                <w:rFonts w:hint="default" w:ascii="Calibri" w:hAnsi="Calibri" w:eastAsia="SimSun" w:cs="Calibri"/>
                <w:b/>
                <w:bCs/>
                <w:i w:val="0"/>
                <w:iCs w:val="0"/>
                <w:color w:val="000000"/>
                <w:kern w:val="0"/>
                <w:sz w:val="24"/>
                <w:szCs w:val="24"/>
                <w:u w:val="none"/>
                <w:lang w:val="en-US" w:eastAsia="zh-CN" w:bidi="ar"/>
              </w:rPr>
              <w:t>Aviso e Bloqueio para Manutenção</w:t>
            </w:r>
          </w:p>
        </w:tc>
      </w:tr>
      <w:tr w14:paraId="5075D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134" w:hRule="atLeast"/>
        </w:trPr>
        <w:tc>
          <w:tcPr>
            <w:tcW w:w="1129" w:type="dxa"/>
            <w:shd w:val="clear" w:color="auto" w:fill="92D050"/>
          </w:tcPr>
          <w:p w14:paraId="2569DCDB">
            <w:pPr>
              <w:rPr>
                <w:vertAlign w:val="baseline"/>
              </w:rPr>
            </w:pPr>
          </w:p>
        </w:tc>
        <w:tc>
          <w:tcPr>
            <w:tcW w:w="1134" w:type="dxa"/>
            <w:shd w:val="clear" w:color="auto" w:fill="92D050"/>
          </w:tcPr>
          <w:p w14:paraId="33BB048F">
            <w:pPr>
              <w:rPr>
                <w:vertAlign w:val="baseline"/>
              </w:rPr>
            </w:pPr>
          </w:p>
        </w:tc>
        <w:tc>
          <w:tcPr>
            <w:tcW w:w="907" w:type="dxa"/>
            <w:shd w:val="clear" w:color="auto" w:fill="FF0000"/>
          </w:tcPr>
          <w:p w14:paraId="3342D3F3">
            <w:pPr>
              <w:rPr>
                <w:vertAlign w:val="baseline"/>
              </w:rPr>
            </w:pPr>
          </w:p>
        </w:tc>
        <w:tc>
          <w:tcPr>
            <w:tcW w:w="1600" w:type="dxa"/>
            <w:shd w:val="clear" w:color="auto" w:fill="FF0000"/>
          </w:tcPr>
          <w:p w14:paraId="5CA58545">
            <w:pPr>
              <w:rPr>
                <w:vertAlign w:val="baseline"/>
              </w:rPr>
            </w:pPr>
          </w:p>
        </w:tc>
        <w:tc>
          <w:tcPr>
            <w:tcW w:w="1259" w:type="dxa"/>
            <w:shd w:val="clear" w:color="auto" w:fill="FF0000"/>
          </w:tcPr>
          <w:p w14:paraId="3805E2CC">
            <w:pPr>
              <w:rPr>
                <w:vertAlign w:val="baseline"/>
              </w:rPr>
            </w:pPr>
          </w:p>
        </w:tc>
        <w:tc>
          <w:tcPr>
            <w:tcW w:w="956" w:type="dxa"/>
            <w:shd w:val="clear" w:color="auto" w:fill="FF0000"/>
          </w:tcPr>
          <w:p w14:paraId="0BF67179">
            <w:pPr>
              <w:rPr>
                <w:vertAlign w:val="baseline"/>
              </w:rPr>
            </w:pPr>
          </w:p>
        </w:tc>
        <w:tc>
          <w:tcPr>
            <w:tcW w:w="1864" w:type="dxa"/>
            <w:shd w:val="clear" w:color="auto" w:fill="FFFFFF"/>
            <w:textDirection w:val="tbRlV"/>
            <w:vAlign w:val="center"/>
          </w:tcPr>
          <w:p w14:paraId="6CBAC3DC">
            <w:pPr>
              <w:keepNext w:val="0"/>
              <w:keepLines w:val="0"/>
              <w:widowControl/>
              <w:suppressLineNumbers w:val="0"/>
              <w:ind w:left="113" w:right="113"/>
              <w:jc w:val="left"/>
              <w:textAlignment w:val="center"/>
              <w:rPr>
                <w:rFonts w:ascii="Calibri" w:hAnsi="Calibri" w:cs="Calibri"/>
                <w:b/>
                <w:bCs/>
                <w:i w:val="0"/>
                <w:iCs w:val="0"/>
                <w:color w:val="000000"/>
                <w:sz w:val="16"/>
                <w:szCs w:val="16"/>
                <w:u w:val="none"/>
              </w:rPr>
            </w:pPr>
            <w:r>
              <w:rPr>
                <w:rFonts w:hint="default" w:ascii="Calibri" w:hAnsi="Calibri" w:eastAsia="SimSun" w:cs="Calibri"/>
                <w:b/>
                <w:bCs/>
                <w:i w:val="0"/>
                <w:iCs w:val="0"/>
                <w:color w:val="000000"/>
                <w:kern w:val="0"/>
                <w:sz w:val="21"/>
                <w:szCs w:val="21"/>
                <w:u w:val="none"/>
                <w:lang w:val="en-US" w:eastAsia="zh-CN" w:bidi="ar"/>
              </w:rPr>
              <w:t>Notificações Instantâneas por meio do whatsapp</w:t>
            </w:r>
          </w:p>
        </w:tc>
      </w:tr>
    </w:tbl>
    <w:p w14:paraId="4A8BE008">
      <w:pPr>
        <w:ind w:firstLine="0"/>
      </w:pPr>
    </w:p>
    <w:p w14:paraId="21441571">
      <w:pPr>
        <w:ind w:firstLine="0"/>
        <w:jc w:val="center"/>
        <w:rPr>
          <w:lang w:val="pt-BR"/>
        </w:rPr>
      </w:pPr>
      <w:r>
        <w:rPr>
          <w:lang w:val="pt-BR"/>
        </w:rPr>
        <w:t>Fonte: Autoria Própria</w:t>
      </w:r>
    </w:p>
    <w:p w14:paraId="4A1A2884">
      <w:pPr>
        <w:ind w:firstLine="0"/>
        <w:jc w:val="center"/>
        <w:rPr>
          <w:lang w:val="pt-BR"/>
        </w:rPr>
      </w:pPr>
    </w:p>
    <w:p w14:paraId="01A31D09">
      <w:r>
        <w:rPr>
          <w:lang w:val="pt-BR"/>
        </w:rPr>
        <w:t xml:space="preserve">Fleet Manager da Kion: Esta ferramenta permite o gerenciamento de frotas e equipamentos de movimentação de carga. Possui controle de acessos, relatórios e monitoramento de uso dos equipamentos. </w:t>
      </w:r>
    </w:p>
    <w:p w14:paraId="3E72F33F">
      <w:r>
        <w:rPr>
          <w:lang w:val="pt-BR"/>
        </w:rPr>
        <w:t>Seu objetivo principal é aumentar o nível de segurança nas operações, principalmente logísticas, por meio do monitoramento contínuo das operações dos equipamentos e restringindo quem pode utilizar o equipamento por meio de autenticações, via RFID e senhas no paínel.</w:t>
      </w:r>
    </w:p>
    <w:p w14:paraId="7432B656">
      <w:r>
        <w:rPr>
          <w:lang w:val="pt-BR"/>
        </w:rPr>
        <w:t>Easy Access da Jungheinrich é uma solução focada no controle e monitoramento de acesso a equipamentos industriais, com ênfase na segurança operacional, bem semelhante ao Fleet Manager. Utiliza cartões RFID e PIN como se fossem chaves eletrônicas de acesso, mas sem perfil de operadores. É mais focado na autorização e autenticação do que na coleta de dados.</w:t>
      </w:r>
    </w:p>
    <w:p w14:paraId="272473E8">
      <w:r>
        <w:rPr>
          <w:lang w:val="pt-BR"/>
        </w:rPr>
        <w:t>A solução da Ultralytics utiliza a tecnologia YOLO (You Only Look Once), um modelo avançado de inteligência artificial para detecção de objetos em imagens e vídeos, aplicada em câmeras de monitoramento para ambientes industriais. Utilizado para a verificação do uso correto de EPIs pelos operadores e o monitoramento seguro da operação.</w:t>
      </w:r>
    </w:p>
    <w:p w14:paraId="6F3C57E1">
      <w:r>
        <w:rPr>
          <w:lang w:val="pt-BR"/>
        </w:rPr>
        <w:t>O People Safety Badge da Logicalis é uma solução focada na segurança pessoal de operadores e colaboradores em ambientes industriais, utilizando dispositivos de identificação e monitoramento pessoal. Utiliza cartões e crachás com tecnologia RFID para garantir que apenas operadores especificos possam acessar determinado setor; permite o monitoramento dos acessos do funcionário; envia alertas e avisos em caso de uma pessoa não autorizada tente acessar determinado setor e/ou aproxime-se de um local perigoso</w:t>
      </w:r>
    </w:p>
    <w:p w14:paraId="7DC3E78B">
      <w:r>
        <w:rPr>
          <w:lang w:val="pt-BR"/>
        </w:rPr>
        <w:t>A Plataforma Trackfy é um sistema de gerenciamento e rastreamento que permite o controle detalhado de ativos industriais, incluindo equipamentos móveis e máquinas estacionárias. Utiliza rastreamento em tempo real da localização de ativos e equipamentos; Controle de acesso e uso dos equipamentos via identificação dos operadores; relatórios e informações em tempo real do posicionamento de pessoas e utilização dos equipamentos</w:t>
      </w:r>
    </w:p>
    <w:p w14:paraId="02A09D62">
      <w:pPr>
        <w:rPr>
          <w:lang w:val="pt-BR"/>
        </w:rPr>
      </w:pPr>
      <w:r>
        <w:br w:type="page"/>
      </w:r>
    </w:p>
    <w:p w14:paraId="3D23539B">
      <w:pPr>
        <w:pStyle w:val="18"/>
        <w:ind w:firstLine="0"/>
        <w:jc w:val="center"/>
        <w:rPr>
          <w:i w:val="0"/>
          <w:iCs w:val="0"/>
          <w:color w:val="000000" w:themeColor="text1"/>
          <w:sz w:val="24"/>
          <w:szCs w:val="24"/>
          <w14:textFill>
            <w14:solidFill>
              <w14:schemeClr w14:val="tx1"/>
            </w14:solidFill>
          </w14:textFill>
        </w:rPr>
      </w:pPr>
      <w:r>
        <w:rPr>
          <w:i w:val="0"/>
          <w:iCs w:val="0"/>
          <w:color w:val="000000" w:themeColor="text1"/>
          <w:sz w:val="24"/>
          <w:szCs w:val="24"/>
          <w14:textFill>
            <w14:solidFill>
              <w14:schemeClr w14:val="tx1"/>
            </w14:solidFill>
          </w14:textFill>
        </w:rPr>
        <w:t xml:space="preserve">Tabela </w:t>
      </w:r>
      <w:r>
        <w:rPr>
          <w:i w:val="0"/>
          <w:iCs w:val="0"/>
          <w:color w:val="000000" w:themeColor="text1"/>
          <w:sz w:val="24"/>
          <w:szCs w:val="24"/>
          <w14:textFill>
            <w14:solidFill>
              <w14:schemeClr w14:val="tx1"/>
            </w14:solidFill>
          </w14:textFill>
        </w:rPr>
        <w:fldChar w:fldCharType="begin"/>
      </w:r>
      <w:r>
        <w:rPr>
          <w:i w:val="0"/>
          <w:iCs w:val="0"/>
          <w:color w:val="000000" w:themeColor="text1"/>
          <w:sz w:val="24"/>
          <w:szCs w:val="24"/>
          <w14:textFill>
            <w14:solidFill>
              <w14:schemeClr w14:val="tx1"/>
            </w14:solidFill>
          </w14:textFill>
        </w:rPr>
        <w:instrText xml:space="preserve"> SEQ Tabela \* ARABIC </w:instrText>
      </w:r>
      <w:r>
        <w:rPr>
          <w:i w:val="0"/>
          <w:iCs w:val="0"/>
          <w:color w:val="000000" w:themeColor="text1"/>
          <w:sz w:val="24"/>
          <w:szCs w:val="24"/>
          <w14:textFill>
            <w14:solidFill>
              <w14:schemeClr w14:val="tx1"/>
            </w14:solidFill>
          </w14:textFill>
        </w:rPr>
        <w:fldChar w:fldCharType="separate"/>
      </w:r>
      <w:r>
        <w:rPr>
          <w:i w:val="0"/>
          <w:iCs w:val="0"/>
          <w:color w:val="000000" w:themeColor="text1"/>
          <w:sz w:val="24"/>
          <w:szCs w:val="24"/>
          <w14:textFill>
            <w14:solidFill>
              <w14:schemeClr w14:val="tx1"/>
            </w14:solidFill>
          </w14:textFill>
        </w:rPr>
        <w:t>2</w:t>
      </w:r>
      <w:r>
        <w:rPr>
          <w:i w:val="0"/>
          <w:iCs w:val="0"/>
          <w:color w:val="000000" w:themeColor="text1"/>
          <w:sz w:val="24"/>
          <w:szCs w:val="24"/>
          <w14:textFill>
            <w14:solidFill>
              <w14:schemeClr w14:val="tx1"/>
            </w14:solidFill>
          </w14:textFill>
        </w:rPr>
        <w:fldChar w:fldCharType="end"/>
      </w:r>
      <w:r>
        <w:rPr>
          <w:i w:val="0"/>
          <w:iCs w:val="0"/>
          <w:color w:val="000000" w:themeColor="text1"/>
          <w:sz w:val="24"/>
          <w:szCs w:val="24"/>
          <w14:textFill>
            <w14:solidFill>
              <w14:schemeClr w14:val="tx1"/>
            </w14:solidFill>
          </w14:textFill>
        </w:rPr>
        <w:t>: Comparativa de Referências Acadêmicas</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152"/>
        <w:gridCol w:w="1502"/>
        <w:gridCol w:w="1327"/>
        <w:gridCol w:w="1327"/>
        <w:gridCol w:w="1327"/>
        <w:gridCol w:w="1328"/>
        <w:gridCol w:w="1328"/>
      </w:tblGrid>
      <w:tr w14:paraId="48CC9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957" w:hRule="atLeast"/>
        </w:trPr>
        <w:tc>
          <w:tcPr>
            <w:tcW w:w="1152" w:type="dxa"/>
            <w:shd w:val="clear"/>
            <w:textDirection w:val="tbRlV"/>
            <w:vAlign w:val="center"/>
          </w:tcPr>
          <w:p w14:paraId="1A61BE42">
            <w:pPr>
              <w:keepNext w:val="0"/>
              <w:keepLines w:val="0"/>
              <w:widowControl/>
              <w:suppressLineNumbers w:val="0"/>
              <w:ind w:left="113" w:leftChars="0" w:right="113" w:rightChars="0" w:firstLine="0" w:firstLineChars="0"/>
              <w:jc w:val="both"/>
              <w:textAlignment w:val="center"/>
              <w:rPr>
                <w:rFonts w:hint="default" w:ascii="Calibri" w:hAnsi="Calibri" w:eastAsia="SimSun" w:cs="Calibri"/>
                <w:b/>
                <w:bCs/>
                <w:i w:val="0"/>
                <w:iCs w:val="0"/>
                <w:color w:val="000000"/>
                <w:kern w:val="0"/>
                <w:sz w:val="16"/>
                <w:szCs w:val="16"/>
                <w:u w:val="none"/>
                <w:lang w:val="en-US" w:eastAsia="zh-CN" w:bidi="ar"/>
              </w:rPr>
            </w:pPr>
            <w:r>
              <w:rPr>
                <w:rFonts w:hint="default" w:ascii="Calibri" w:hAnsi="Calibri" w:eastAsia="SimSun" w:cs="Calibri"/>
                <w:b/>
                <w:bCs/>
                <w:i w:val="0"/>
                <w:iCs w:val="0"/>
                <w:color w:val="000000"/>
                <w:kern w:val="0"/>
                <w:sz w:val="16"/>
                <w:szCs w:val="16"/>
                <w:u w:val="none"/>
                <w:lang w:val="pt-BR" w:eastAsia="zh-CN" w:bidi="ar"/>
              </w:rPr>
              <w:t>Aplicação da IOT na segurança do trabalho</w:t>
            </w:r>
          </w:p>
        </w:tc>
        <w:tc>
          <w:tcPr>
            <w:tcW w:w="1502" w:type="dxa"/>
            <w:shd w:val="clear"/>
            <w:textDirection w:val="tbRlV"/>
            <w:vAlign w:val="center"/>
          </w:tcPr>
          <w:p w14:paraId="5C1F72DF">
            <w:pPr>
              <w:keepNext w:val="0"/>
              <w:keepLines w:val="0"/>
              <w:widowControl/>
              <w:suppressLineNumbers w:val="0"/>
              <w:ind w:left="113" w:right="113"/>
              <w:jc w:val="center"/>
              <w:textAlignment w:val="center"/>
              <w:rPr>
                <w:rFonts w:ascii="Calibri" w:hAnsi="Calibri" w:cs="Calibri"/>
                <w:b/>
                <w:bCs/>
                <w:i w:val="0"/>
                <w:iCs w:val="0"/>
                <w:color w:val="000000"/>
                <w:sz w:val="20"/>
                <w:szCs w:val="20"/>
                <w:u w:val="none"/>
              </w:rPr>
            </w:pPr>
            <w:r>
              <w:rPr>
                <w:rFonts w:hint="default" w:ascii="Calibri" w:hAnsi="Calibri" w:eastAsia="SimSun" w:cs="Calibri"/>
                <w:b/>
                <w:bCs/>
                <w:i w:val="0"/>
                <w:iCs w:val="0"/>
                <w:color w:val="000000"/>
                <w:kern w:val="0"/>
                <w:sz w:val="20"/>
                <w:szCs w:val="20"/>
                <w:u w:val="none"/>
                <w:lang w:val="en-US" w:eastAsia="zh-CN" w:bidi="ar"/>
              </w:rPr>
              <w:t>Real Time Monitoring of Undeground Miners Status Base on Mine IOT System</w:t>
            </w:r>
          </w:p>
        </w:tc>
        <w:tc>
          <w:tcPr>
            <w:tcW w:w="1327" w:type="dxa"/>
            <w:shd w:val="clear"/>
            <w:textDirection w:val="tbRlV"/>
            <w:vAlign w:val="center"/>
          </w:tcPr>
          <w:p w14:paraId="6AD02F01">
            <w:pPr>
              <w:keepNext w:val="0"/>
              <w:keepLines w:val="0"/>
              <w:widowControl/>
              <w:suppressLineNumbers w:val="0"/>
              <w:ind w:left="113" w:right="113"/>
              <w:jc w:val="center"/>
              <w:textAlignment w:val="center"/>
              <w:rPr>
                <w:rFonts w:ascii="Calibri" w:hAnsi="Calibri" w:cs="Calibri"/>
                <w:b/>
                <w:bCs/>
                <w:i w:val="0"/>
                <w:iCs w:val="0"/>
                <w:color w:val="000000"/>
                <w:sz w:val="20"/>
                <w:szCs w:val="20"/>
                <w:u w:val="none"/>
              </w:rPr>
            </w:pPr>
            <w:r>
              <w:rPr>
                <w:rFonts w:hint="default" w:ascii="Calibri" w:hAnsi="Calibri" w:eastAsia="SimSun" w:cs="Calibri"/>
                <w:b/>
                <w:bCs/>
                <w:i w:val="0"/>
                <w:iCs w:val="0"/>
                <w:color w:val="000000"/>
                <w:kern w:val="0"/>
                <w:sz w:val="20"/>
                <w:szCs w:val="20"/>
                <w:u w:val="none"/>
                <w:lang w:val="en-US" w:eastAsia="zh-CN" w:bidi="ar"/>
              </w:rPr>
              <w:t>Os efeitos da Internet das Coisas (IoT) em linhas de montagens: estudos de caso na industria de autopeças</w:t>
            </w:r>
          </w:p>
        </w:tc>
        <w:tc>
          <w:tcPr>
            <w:tcW w:w="1327" w:type="dxa"/>
            <w:shd w:val="clear"/>
            <w:textDirection w:val="tbRlV"/>
            <w:vAlign w:val="center"/>
          </w:tcPr>
          <w:p w14:paraId="666EE2C2">
            <w:pPr>
              <w:keepNext w:val="0"/>
              <w:keepLines w:val="0"/>
              <w:widowControl/>
              <w:suppressLineNumbers w:val="0"/>
              <w:ind w:left="113" w:right="113"/>
              <w:jc w:val="center"/>
              <w:textAlignment w:val="center"/>
              <w:rPr>
                <w:rFonts w:ascii="Calibri" w:hAnsi="Calibri" w:cs="Calibri"/>
                <w:b/>
                <w:bCs/>
                <w:i w:val="0"/>
                <w:iCs w:val="0"/>
                <w:color w:val="000000"/>
                <w:sz w:val="20"/>
                <w:szCs w:val="20"/>
                <w:u w:val="none"/>
              </w:rPr>
            </w:pPr>
            <w:r>
              <w:rPr>
                <w:rFonts w:hint="default" w:ascii="Calibri" w:hAnsi="Calibri" w:eastAsia="SimSun" w:cs="Calibri"/>
                <w:b/>
                <w:bCs/>
                <w:i w:val="0"/>
                <w:iCs w:val="0"/>
                <w:color w:val="000000"/>
                <w:kern w:val="0"/>
                <w:sz w:val="20"/>
                <w:szCs w:val="20"/>
                <w:u w:val="none"/>
                <w:lang w:val="en-US" w:eastAsia="zh-CN" w:bidi="ar"/>
              </w:rPr>
              <w:t>Proposta de Modelo de Maturidade da Segurança de Trabalho</w:t>
            </w:r>
          </w:p>
        </w:tc>
        <w:tc>
          <w:tcPr>
            <w:tcW w:w="1327" w:type="dxa"/>
            <w:shd w:val="clear"/>
            <w:textDirection w:val="tbRlV"/>
            <w:vAlign w:val="center"/>
          </w:tcPr>
          <w:p w14:paraId="2C1027C5">
            <w:pPr>
              <w:keepNext w:val="0"/>
              <w:keepLines w:val="0"/>
              <w:widowControl/>
              <w:suppressLineNumbers w:val="0"/>
              <w:ind w:left="113" w:right="113"/>
              <w:jc w:val="center"/>
              <w:textAlignment w:val="center"/>
              <w:rPr>
                <w:rFonts w:ascii="Calibri" w:hAnsi="Calibri" w:cs="Calibri"/>
                <w:b/>
                <w:bCs/>
                <w:i w:val="0"/>
                <w:iCs w:val="0"/>
                <w:color w:val="000000"/>
                <w:sz w:val="20"/>
                <w:szCs w:val="20"/>
                <w:u w:val="none"/>
              </w:rPr>
            </w:pPr>
            <w:r>
              <w:rPr>
                <w:rFonts w:hint="default" w:ascii="Calibri" w:hAnsi="Calibri" w:eastAsia="SimSun" w:cs="Calibri"/>
                <w:b/>
                <w:bCs/>
                <w:i w:val="0"/>
                <w:iCs w:val="0"/>
                <w:color w:val="000000"/>
                <w:kern w:val="0"/>
                <w:sz w:val="20"/>
                <w:szCs w:val="20"/>
                <w:u w:val="none"/>
                <w:lang w:val="en-US" w:eastAsia="zh-CN" w:bidi="ar"/>
              </w:rPr>
              <w:t>Deep Learning Base Automatic Safety Helmet Detection</w:t>
            </w:r>
          </w:p>
        </w:tc>
        <w:tc>
          <w:tcPr>
            <w:tcW w:w="1328" w:type="dxa"/>
            <w:shd w:val="clear"/>
            <w:textDirection w:val="tbRlV"/>
            <w:vAlign w:val="center"/>
          </w:tcPr>
          <w:p w14:paraId="63E7EEB4">
            <w:pPr>
              <w:keepNext w:val="0"/>
              <w:keepLines w:val="0"/>
              <w:widowControl/>
              <w:suppressLineNumbers w:val="0"/>
              <w:ind w:left="113" w:right="113"/>
              <w:jc w:val="center"/>
              <w:textAlignment w:val="center"/>
              <w:rPr>
                <w:rFonts w:ascii="Calibri" w:hAnsi="Calibri" w:cs="Calibri"/>
                <w:b/>
                <w:bCs/>
                <w:i w:val="0"/>
                <w:iCs w:val="0"/>
                <w:color w:val="000000"/>
                <w:sz w:val="20"/>
                <w:szCs w:val="20"/>
                <w:u w:val="none"/>
              </w:rPr>
            </w:pPr>
            <w:r>
              <w:rPr>
                <w:rFonts w:hint="default" w:ascii="Calibri" w:hAnsi="Calibri" w:eastAsia="SimSun" w:cs="Calibri"/>
                <w:b/>
                <w:bCs/>
                <w:i w:val="0"/>
                <w:iCs w:val="0"/>
                <w:color w:val="000000"/>
                <w:kern w:val="0"/>
                <w:sz w:val="20"/>
                <w:szCs w:val="20"/>
                <w:u w:val="none"/>
                <w:lang w:val="en-US" w:eastAsia="zh-CN" w:bidi="ar"/>
              </w:rPr>
              <w:t>Workplace and Human Resource Safety Monitoring</w:t>
            </w:r>
          </w:p>
        </w:tc>
        <w:tc>
          <w:tcPr>
            <w:tcW w:w="1328" w:type="dxa"/>
            <w:shd w:val="clear"/>
            <w:textDirection w:val="tbRlV"/>
            <w:vAlign w:val="center"/>
          </w:tcPr>
          <w:p w14:paraId="14EC341E">
            <w:pPr>
              <w:keepNext w:val="0"/>
              <w:keepLines w:val="0"/>
              <w:widowControl/>
              <w:suppressLineNumbers w:val="0"/>
              <w:ind w:left="113" w:right="113"/>
              <w:jc w:val="center"/>
              <w:textAlignment w:val="center"/>
              <w:rPr>
                <w:rFonts w:ascii="Calibri" w:hAnsi="Calibri" w:cs="Calibri"/>
                <w:b/>
                <w:bCs/>
                <w:i w:val="0"/>
                <w:iCs w:val="0"/>
                <w:color w:val="000000"/>
                <w:sz w:val="20"/>
                <w:szCs w:val="20"/>
                <w:u w:val="none"/>
              </w:rPr>
            </w:pPr>
            <w:r>
              <w:rPr>
                <w:rFonts w:hint="default" w:ascii="Calibri" w:hAnsi="Calibri" w:eastAsia="SimSun" w:cs="Calibri"/>
                <w:b/>
                <w:bCs/>
                <w:i w:val="0"/>
                <w:iCs w:val="0"/>
                <w:color w:val="000000"/>
                <w:kern w:val="0"/>
                <w:sz w:val="20"/>
                <w:szCs w:val="20"/>
                <w:u w:val="none"/>
                <w:lang w:val="en-US" w:eastAsia="zh-CN" w:bidi="ar"/>
              </w:rPr>
              <w:t>Trabalhos/Artigos Ciêntificos</w:t>
            </w:r>
          </w:p>
        </w:tc>
      </w:tr>
      <w:tr w14:paraId="1DEE8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613" w:hRule="atLeast"/>
        </w:trPr>
        <w:tc>
          <w:tcPr>
            <w:tcW w:w="1152" w:type="dxa"/>
            <w:shd w:val="clear"/>
            <w:textDirection w:val="tbRlV"/>
            <w:vAlign w:val="center"/>
          </w:tcPr>
          <w:p w14:paraId="79ABC8F0">
            <w:pPr>
              <w:keepNext w:val="0"/>
              <w:keepLines w:val="0"/>
              <w:widowControl/>
              <w:suppressLineNumbers w:val="0"/>
              <w:ind w:left="113" w:right="113"/>
              <w:jc w:val="center"/>
              <w:textAlignment w:val="center"/>
              <w:rPr>
                <w:rFonts w:ascii="Calibri" w:hAnsi="Calibri" w:cs="Calibri"/>
                <w:b/>
                <w:bCs/>
                <w:i w:val="0"/>
                <w:iCs w:val="0"/>
                <w:color w:val="000000"/>
                <w:sz w:val="20"/>
                <w:szCs w:val="20"/>
                <w:u w:val="none"/>
              </w:rPr>
            </w:pPr>
            <w:r>
              <w:rPr>
                <w:rFonts w:hint="default" w:ascii="Calibri" w:hAnsi="Calibri" w:eastAsia="SimSun" w:cs="Calibri"/>
                <w:b/>
                <w:bCs/>
                <w:i w:val="0"/>
                <w:iCs w:val="0"/>
                <w:color w:val="000000"/>
                <w:kern w:val="0"/>
                <w:sz w:val="20"/>
                <w:szCs w:val="20"/>
                <w:u w:val="none"/>
                <w:lang w:val="en-US" w:eastAsia="zh-CN" w:bidi="ar"/>
              </w:rPr>
              <w:t xml:space="preserve"> (BAPTISTA, Leonardo e FERREIRA, Ricardo)</w:t>
            </w:r>
          </w:p>
        </w:tc>
        <w:tc>
          <w:tcPr>
            <w:tcW w:w="1502" w:type="dxa"/>
            <w:shd w:val="clear"/>
            <w:textDirection w:val="tbRlV"/>
            <w:vAlign w:val="center"/>
          </w:tcPr>
          <w:p w14:paraId="39FDF7A9">
            <w:pPr>
              <w:keepNext w:val="0"/>
              <w:keepLines w:val="0"/>
              <w:widowControl/>
              <w:suppressLineNumbers w:val="0"/>
              <w:ind w:left="113" w:right="113"/>
              <w:jc w:val="center"/>
              <w:textAlignment w:val="center"/>
              <w:rPr>
                <w:rFonts w:ascii="Calibri" w:hAnsi="Calibri" w:cs="Calibri"/>
                <w:b/>
                <w:bCs/>
                <w:i w:val="0"/>
                <w:iCs w:val="0"/>
                <w:color w:val="000000"/>
                <w:sz w:val="20"/>
                <w:szCs w:val="20"/>
                <w:u w:val="none"/>
              </w:rPr>
            </w:pPr>
            <w:r>
              <w:rPr>
                <w:rFonts w:hint="default" w:ascii="Calibri" w:hAnsi="Calibri" w:eastAsia="SimSun" w:cs="Calibri"/>
                <w:b/>
                <w:bCs/>
                <w:i w:val="0"/>
                <w:iCs w:val="0"/>
                <w:color w:val="000000"/>
                <w:kern w:val="0"/>
                <w:sz w:val="20"/>
                <w:szCs w:val="20"/>
                <w:u w:val="none"/>
                <w:lang w:val="en-US" w:eastAsia="zh-CN" w:bidi="ar"/>
              </w:rPr>
              <w:t>JIANG, Y et al (2023)</w:t>
            </w:r>
          </w:p>
        </w:tc>
        <w:tc>
          <w:tcPr>
            <w:tcW w:w="1327" w:type="dxa"/>
            <w:shd w:val="clear"/>
            <w:textDirection w:val="tbRlV"/>
            <w:vAlign w:val="center"/>
          </w:tcPr>
          <w:p w14:paraId="196B224B">
            <w:pPr>
              <w:keepNext w:val="0"/>
              <w:keepLines w:val="0"/>
              <w:widowControl/>
              <w:suppressLineNumbers w:val="0"/>
              <w:ind w:left="113" w:right="113"/>
              <w:jc w:val="center"/>
              <w:textAlignment w:val="center"/>
              <w:rPr>
                <w:rFonts w:ascii="Calibri" w:hAnsi="Calibri" w:cs="Calibri"/>
                <w:b/>
                <w:bCs/>
                <w:i w:val="0"/>
                <w:iCs w:val="0"/>
                <w:color w:val="000000"/>
                <w:sz w:val="20"/>
                <w:szCs w:val="20"/>
                <w:u w:val="none"/>
              </w:rPr>
            </w:pPr>
            <w:r>
              <w:rPr>
                <w:rFonts w:hint="default" w:ascii="Calibri" w:hAnsi="Calibri" w:eastAsia="SimSun" w:cs="Calibri"/>
                <w:b/>
                <w:bCs/>
                <w:i w:val="0"/>
                <w:iCs w:val="0"/>
                <w:color w:val="000000"/>
                <w:kern w:val="0"/>
                <w:sz w:val="20"/>
                <w:szCs w:val="20"/>
                <w:u w:val="none"/>
                <w:lang w:val="en-US" w:eastAsia="zh-CN" w:bidi="ar"/>
              </w:rPr>
              <w:t xml:space="preserve">Cruz (2020) </w:t>
            </w:r>
          </w:p>
        </w:tc>
        <w:tc>
          <w:tcPr>
            <w:tcW w:w="1327" w:type="dxa"/>
            <w:shd w:val="clear"/>
            <w:textDirection w:val="tbRlV"/>
            <w:vAlign w:val="center"/>
          </w:tcPr>
          <w:p w14:paraId="75D7D054">
            <w:pPr>
              <w:keepNext w:val="0"/>
              <w:keepLines w:val="0"/>
              <w:widowControl/>
              <w:suppressLineNumbers w:val="0"/>
              <w:ind w:left="113" w:right="113"/>
              <w:jc w:val="center"/>
              <w:textAlignment w:val="center"/>
              <w:rPr>
                <w:rFonts w:ascii="Calibri" w:hAnsi="Calibri" w:cs="Calibri"/>
                <w:b/>
                <w:bCs/>
                <w:i w:val="0"/>
                <w:iCs w:val="0"/>
                <w:color w:val="000000"/>
                <w:sz w:val="20"/>
                <w:szCs w:val="20"/>
                <w:u w:val="none"/>
              </w:rPr>
            </w:pPr>
            <w:r>
              <w:rPr>
                <w:rFonts w:hint="default" w:ascii="Calibri" w:hAnsi="Calibri" w:eastAsia="SimSun" w:cs="Calibri"/>
                <w:b/>
                <w:bCs/>
                <w:i w:val="0"/>
                <w:iCs w:val="0"/>
                <w:color w:val="000000"/>
                <w:kern w:val="0"/>
                <w:sz w:val="20"/>
                <w:szCs w:val="20"/>
                <w:u w:val="none"/>
                <w:lang w:val="en-US" w:eastAsia="zh-CN" w:bidi="ar"/>
              </w:rPr>
              <w:t>KUSMA, V. V. (2020)</w:t>
            </w:r>
          </w:p>
        </w:tc>
        <w:tc>
          <w:tcPr>
            <w:tcW w:w="1327" w:type="dxa"/>
            <w:shd w:val="clear"/>
            <w:textDirection w:val="tbRlV"/>
            <w:vAlign w:val="center"/>
          </w:tcPr>
          <w:p w14:paraId="29CBB45C">
            <w:pPr>
              <w:keepNext w:val="0"/>
              <w:keepLines w:val="0"/>
              <w:widowControl/>
              <w:suppressLineNumbers w:val="0"/>
              <w:ind w:left="113" w:right="113"/>
              <w:jc w:val="center"/>
              <w:textAlignment w:val="center"/>
              <w:rPr>
                <w:rFonts w:ascii="Calibri" w:hAnsi="Calibri" w:cs="Calibri"/>
                <w:b/>
                <w:bCs/>
                <w:i w:val="0"/>
                <w:iCs w:val="0"/>
                <w:color w:val="000000"/>
                <w:sz w:val="20"/>
                <w:szCs w:val="20"/>
                <w:u w:val="none"/>
              </w:rPr>
            </w:pPr>
            <w:r>
              <w:rPr>
                <w:rFonts w:hint="default" w:ascii="Calibri" w:hAnsi="Calibri" w:eastAsia="SimSun" w:cs="Calibri"/>
                <w:b/>
                <w:bCs/>
                <w:i w:val="0"/>
                <w:iCs w:val="0"/>
                <w:color w:val="000000"/>
                <w:kern w:val="0"/>
                <w:sz w:val="20"/>
                <w:szCs w:val="20"/>
                <w:u w:val="none"/>
                <w:lang w:val="en-US" w:eastAsia="zh-CN" w:bidi="ar"/>
              </w:rPr>
              <w:t>Hayat, A., &amp; Morgado-Dias, F. (2022)</w:t>
            </w:r>
          </w:p>
        </w:tc>
        <w:tc>
          <w:tcPr>
            <w:tcW w:w="1328" w:type="dxa"/>
            <w:shd w:val="clear"/>
            <w:textDirection w:val="tbRlV"/>
            <w:vAlign w:val="center"/>
          </w:tcPr>
          <w:p w14:paraId="163F770E">
            <w:pPr>
              <w:keepNext w:val="0"/>
              <w:keepLines w:val="0"/>
              <w:widowControl/>
              <w:suppressLineNumbers w:val="0"/>
              <w:ind w:left="113" w:right="113"/>
              <w:jc w:val="center"/>
              <w:textAlignment w:val="center"/>
              <w:rPr>
                <w:rFonts w:ascii="Calibri" w:hAnsi="Calibri" w:cs="Calibri"/>
                <w:b/>
                <w:bCs/>
                <w:i w:val="0"/>
                <w:iCs w:val="0"/>
                <w:color w:val="000000"/>
                <w:sz w:val="20"/>
                <w:szCs w:val="20"/>
                <w:u w:val="none"/>
              </w:rPr>
            </w:pPr>
            <w:r>
              <w:rPr>
                <w:rFonts w:hint="default" w:ascii="Calibri" w:hAnsi="Calibri" w:eastAsia="SimSun" w:cs="Calibri"/>
                <w:b/>
                <w:bCs/>
                <w:i w:val="0"/>
                <w:iCs w:val="0"/>
                <w:color w:val="000000"/>
                <w:kern w:val="0"/>
                <w:sz w:val="20"/>
                <w:szCs w:val="20"/>
                <w:u w:val="none"/>
                <w:lang w:val="en-US" w:eastAsia="zh-CN" w:bidi="ar"/>
              </w:rPr>
              <w:t>Bamidele, A. D., &amp; Charles, A. O. (2020)</w:t>
            </w:r>
          </w:p>
        </w:tc>
        <w:tc>
          <w:tcPr>
            <w:tcW w:w="1328" w:type="dxa"/>
            <w:shd w:val="clear"/>
            <w:textDirection w:val="tbRlV"/>
            <w:vAlign w:val="center"/>
          </w:tcPr>
          <w:p w14:paraId="3C893402">
            <w:pPr>
              <w:keepNext w:val="0"/>
              <w:keepLines w:val="0"/>
              <w:widowControl/>
              <w:suppressLineNumbers w:val="0"/>
              <w:ind w:left="113" w:right="113"/>
              <w:jc w:val="center"/>
              <w:textAlignment w:val="center"/>
              <w:rPr>
                <w:rFonts w:ascii="Calibri" w:hAnsi="Calibri" w:cs="Calibri"/>
                <w:b/>
                <w:bCs/>
                <w:i w:val="0"/>
                <w:iCs w:val="0"/>
                <w:color w:val="000000"/>
                <w:sz w:val="20"/>
                <w:szCs w:val="20"/>
                <w:u w:val="none"/>
              </w:rPr>
            </w:pPr>
            <w:r>
              <w:rPr>
                <w:rFonts w:hint="default" w:ascii="Calibri" w:hAnsi="Calibri" w:eastAsia="SimSun" w:cs="Calibri"/>
                <w:b/>
                <w:bCs/>
                <w:i w:val="0"/>
                <w:iCs w:val="0"/>
                <w:color w:val="000000"/>
                <w:kern w:val="0"/>
                <w:sz w:val="20"/>
                <w:szCs w:val="20"/>
                <w:u w:val="none"/>
                <w:lang w:val="en-US" w:eastAsia="zh-CN" w:bidi="ar"/>
              </w:rPr>
              <w:t>Autores</w:t>
            </w:r>
          </w:p>
        </w:tc>
      </w:tr>
      <w:tr w14:paraId="2B4C9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924" w:hRule="atLeast"/>
        </w:trPr>
        <w:tc>
          <w:tcPr>
            <w:tcW w:w="1152" w:type="dxa"/>
            <w:shd w:val="clear" w:color="auto" w:fill="92D050"/>
            <w:textDirection w:val="tbRlV"/>
            <w:vAlign w:val="center"/>
          </w:tcPr>
          <w:p w14:paraId="185BBCDE">
            <w:pPr>
              <w:ind w:left="113" w:leftChars="0" w:right="113" w:rightChars="0" w:firstLine="709" w:firstLineChars="0"/>
              <w:jc w:val="both"/>
              <w:rPr>
                <w:sz w:val="22"/>
                <w:szCs w:val="22"/>
                <w:vertAlign w:val="baseline"/>
              </w:rPr>
            </w:pPr>
            <w:r>
              <w:rPr>
                <w:rFonts w:hint="default"/>
                <w:color w:val="FFFFFF" w:themeColor="background1"/>
                <w:sz w:val="22"/>
                <w:szCs w:val="22"/>
                <w:vertAlign w:val="baseline"/>
                <w:lang w:val="pt-BR"/>
                <w14:textFill>
                  <w14:solidFill>
                    <w14:schemeClr w14:val="bg1"/>
                  </w14:solidFill>
                </w14:textFill>
              </w:rPr>
              <w:t>X</w:t>
            </w:r>
          </w:p>
        </w:tc>
        <w:tc>
          <w:tcPr>
            <w:tcW w:w="1502" w:type="dxa"/>
            <w:shd w:val="clear" w:color="auto" w:fill="FF0000"/>
            <w:textDirection w:val="tbRlV"/>
          </w:tcPr>
          <w:p w14:paraId="2BA4A96C">
            <w:pPr>
              <w:ind w:left="113" w:right="113" w:firstLine="709"/>
              <w:rPr>
                <w:sz w:val="22"/>
                <w:szCs w:val="22"/>
                <w:vertAlign w:val="baseline"/>
              </w:rPr>
            </w:pPr>
          </w:p>
        </w:tc>
        <w:tc>
          <w:tcPr>
            <w:tcW w:w="1327" w:type="dxa"/>
            <w:shd w:val="clear" w:color="auto" w:fill="92D050"/>
            <w:textDirection w:val="tbRlV"/>
            <w:vAlign w:val="center"/>
          </w:tcPr>
          <w:p w14:paraId="68312B96">
            <w:pPr>
              <w:ind w:left="113" w:leftChars="0" w:right="113" w:rightChars="0" w:firstLine="709" w:firstLineChars="0"/>
              <w:jc w:val="both"/>
              <w:rPr>
                <w:sz w:val="22"/>
                <w:szCs w:val="22"/>
                <w:vertAlign w:val="baseline"/>
              </w:rPr>
            </w:pPr>
            <w:r>
              <w:rPr>
                <w:rFonts w:hint="default"/>
                <w:color w:val="FFFFFF" w:themeColor="background1"/>
                <w:sz w:val="22"/>
                <w:szCs w:val="22"/>
                <w:vertAlign w:val="baseline"/>
                <w:lang w:val="pt-BR"/>
                <w14:textFill>
                  <w14:solidFill>
                    <w14:schemeClr w14:val="bg1"/>
                  </w14:solidFill>
                </w14:textFill>
              </w:rPr>
              <w:t>X</w:t>
            </w:r>
          </w:p>
        </w:tc>
        <w:tc>
          <w:tcPr>
            <w:tcW w:w="1327" w:type="dxa"/>
            <w:shd w:val="clear" w:color="auto" w:fill="92D050"/>
            <w:textDirection w:val="tbRlV"/>
            <w:vAlign w:val="center"/>
          </w:tcPr>
          <w:p w14:paraId="1F425D74">
            <w:pPr>
              <w:ind w:left="113" w:leftChars="0" w:right="113" w:rightChars="0" w:firstLine="709" w:firstLineChars="0"/>
              <w:jc w:val="both"/>
              <w:rPr>
                <w:sz w:val="22"/>
                <w:szCs w:val="22"/>
                <w:vertAlign w:val="baseline"/>
              </w:rPr>
            </w:pPr>
            <w:r>
              <w:rPr>
                <w:rFonts w:hint="default"/>
                <w:color w:val="FFFFFF" w:themeColor="background1"/>
                <w:sz w:val="22"/>
                <w:szCs w:val="22"/>
                <w:vertAlign w:val="baseline"/>
                <w:lang w:val="pt-BR"/>
                <w14:textFill>
                  <w14:solidFill>
                    <w14:schemeClr w14:val="bg1"/>
                  </w14:solidFill>
                </w14:textFill>
              </w:rPr>
              <w:t>X</w:t>
            </w:r>
          </w:p>
        </w:tc>
        <w:tc>
          <w:tcPr>
            <w:tcW w:w="1327" w:type="dxa"/>
            <w:shd w:val="clear" w:color="auto" w:fill="92D050"/>
            <w:textDirection w:val="tbRlV"/>
            <w:vAlign w:val="center"/>
          </w:tcPr>
          <w:p w14:paraId="2F225097">
            <w:pPr>
              <w:ind w:left="113" w:leftChars="0" w:right="113" w:rightChars="0" w:firstLine="709" w:firstLineChars="0"/>
              <w:jc w:val="both"/>
              <w:rPr>
                <w:sz w:val="22"/>
                <w:szCs w:val="22"/>
                <w:vertAlign w:val="baseline"/>
              </w:rPr>
            </w:pPr>
            <w:r>
              <w:rPr>
                <w:rFonts w:hint="default"/>
                <w:color w:val="FFFFFF" w:themeColor="background1"/>
                <w:sz w:val="22"/>
                <w:szCs w:val="22"/>
                <w:vertAlign w:val="baseline"/>
                <w:lang w:val="pt-BR"/>
                <w14:textFill>
                  <w14:solidFill>
                    <w14:schemeClr w14:val="bg1"/>
                  </w14:solidFill>
                </w14:textFill>
              </w:rPr>
              <w:t>X</w:t>
            </w:r>
          </w:p>
        </w:tc>
        <w:tc>
          <w:tcPr>
            <w:tcW w:w="1328" w:type="dxa"/>
            <w:shd w:val="clear" w:color="auto" w:fill="92D050"/>
            <w:textDirection w:val="tbRlV"/>
            <w:vAlign w:val="center"/>
          </w:tcPr>
          <w:p w14:paraId="23D3A13F">
            <w:pPr>
              <w:ind w:left="113" w:right="113" w:firstLine="709"/>
              <w:jc w:val="both"/>
              <w:rPr>
                <w:rFonts w:hint="default"/>
                <w:sz w:val="22"/>
                <w:szCs w:val="22"/>
                <w:vertAlign w:val="baseline"/>
                <w:lang w:val="pt-BR"/>
              </w:rPr>
            </w:pPr>
            <w:r>
              <w:rPr>
                <w:rFonts w:hint="default"/>
                <w:color w:val="FFFFFF" w:themeColor="background1"/>
                <w:sz w:val="22"/>
                <w:szCs w:val="22"/>
                <w:vertAlign w:val="baseline"/>
                <w:lang w:val="pt-BR"/>
                <w14:textFill>
                  <w14:solidFill>
                    <w14:schemeClr w14:val="bg1"/>
                  </w14:solidFill>
                </w14:textFill>
              </w:rPr>
              <w:t>X</w:t>
            </w:r>
          </w:p>
        </w:tc>
        <w:tc>
          <w:tcPr>
            <w:tcW w:w="1328" w:type="dxa"/>
            <w:shd w:val="clear" w:color="auto" w:fill="FFFFFF"/>
            <w:textDirection w:val="tbRlV"/>
            <w:vAlign w:val="center"/>
          </w:tcPr>
          <w:p w14:paraId="444F819F">
            <w:pPr>
              <w:keepNext w:val="0"/>
              <w:keepLines w:val="0"/>
              <w:widowControl/>
              <w:suppressLineNumbers w:val="0"/>
              <w:ind w:left="113" w:right="113"/>
              <w:jc w:val="center"/>
              <w:textAlignment w:val="center"/>
              <w:rPr>
                <w:rFonts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 xml:space="preserve">Discute </w:t>
            </w:r>
            <w:r>
              <w:rPr>
                <w:rFonts w:hint="default" w:ascii="Calibri" w:hAnsi="Calibri" w:eastAsia="SimSun" w:cs="Calibri"/>
                <w:b/>
                <w:bCs/>
                <w:i w:val="0"/>
                <w:iCs w:val="0"/>
                <w:color w:val="000000"/>
                <w:kern w:val="0"/>
                <w:sz w:val="22"/>
                <w:szCs w:val="22"/>
                <w:u w:val="none"/>
                <w:lang w:val="pt-BR" w:eastAsia="zh-CN" w:bidi="ar"/>
              </w:rPr>
              <w:t xml:space="preserve"> a </w:t>
            </w:r>
            <w:r>
              <w:rPr>
                <w:rFonts w:hint="default" w:ascii="Calibri" w:hAnsi="Calibri" w:eastAsia="SimSun" w:cs="Calibri"/>
                <w:b/>
                <w:bCs/>
                <w:i w:val="0"/>
                <w:iCs w:val="0"/>
                <w:color w:val="000000"/>
                <w:kern w:val="0"/>
                <w:sz w:val="22"/>
                <w:szCs w:val="22"/>
                <w:u w:val="none"/>
                <w:lang w:val="en-US" w:eastAsia="zh-CN" w:bidi="ar"/>
              </w:rPr>
              <w:t>Importânncia da segurança do trabalho</w:t>
            </w:r>
          </w:p>
        </w:tc>
      </w:tr>
      <w:tr w14:paraId="57348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846" w:hRule="atLeast"/>
        </w:trPr>
        <w:tc>
          <w:tcPr>
            <w:tcW w:w="1152" w:type="dxa"/>
            <w:shd w:val="clear" w:color="auto" w:fill="92D050"/>
            <w:textDirection w:val="tbRlV"/>
            <w:vAlign w:val="center"/>
          </w:tcPr>
          <w:p w14:paraId="3FB53812">
            <w:pPr>
              <w:ind w:left="113" w:leftChars="0" w:right="113" w:rightChars="0" w:firstLine="709" w:firstLineChars="0"/>
              <w:jc w:val="both"/>
              <w:rPr>
                <w:sz w:val="22"/>
                <w:szCs w:val="22"/>
                <w:vertAlign w:val="baseline"/>
              </w:rPr>
            </w:pPr>
            <w:r>
              <w:rPr>
                <w:rFonts w:hint="default"/>
                <w:color w:val="FFFFFF" w:themeColor="background1"/>
                <w:sz w:val="22"/>
                <w:szCs w:val="22"/>
                <w:vertAlign w:val="baseline"/>
                <w:lang w:val="pt-BR"/>
                <w14:textFill>
                  <w14:solidFill>
                    <w14:schemeClr w14:val="bg1"/>
                  </w14:solidFill>
                </w14:textFill>
              </w:rPr>
              <w:t>X</w:t>
            </w:r>
          </w:p>
        </w:tc>
        <w:tc>
          <w:tcPr>
            <w:tcW w:w="1502" w:type="dxa"/>
            <w:shd w:val="clear" w:color="auto" w:fill="92D050"/>
            <w:textDirection w:val="tbRlV"/>
            <w:vAlign w:val="center"/>
          </w:tcPr>
          <w:p w14:paraId="13AFD2F2">
            <w:pPr>
              <w:ind w:left="113" w:leftChars="0" w:right="113" w:rightChars="0" w:firstLine="709" w:firstLineChars="0"/>
              <w:jc w:val="both"/>
              <w:rPr>
                <w:sz w:val="22"/>
                <w:szCs w:val="22"/>
                <w:vertAlign w:val="baseline"/>
              </w:rPr>
            </w:pPr>
            <w:r>
              <w:rPr>
                <w:rFonts w:hint="default"/>
                <w:color w:val="FFFFFF" w:themeColor="background1"/>
                <w:sz w:val="22"/>
                <w:szCs w:val="22"/>
                <w:vertAlign w:val="baseline"/>
                <w:lang w:val="pt-BR"/>
                <w14:textFill>
                  <w14:solidFill>
                    <w14:schemeClr w14:val="bg1"/>
                  </w14:solidFill>
                </w14:textFill>
              </w:rPr>
              <w:t>X</w:t>
            </w:r>
          </w:p>
        </w:tc>
        <w:tc>
          <w:tcPr>
            <w:tcW w:w="1327" w:type="dxa"/>
            <w:shd w:val="clear" w:color="auto" w:fill="92D050"/>
            <w:textDirection w:val="tbRlV"/>
            <w:vAlign w:val="center"/>
          </w:tcPr>
          <w:p w14:paraId="348B15C7">
            <w:pPr>
              <w:ind w:left="113" w:leftChars="0" w:right="113" w:rightChars="0" w:firstLine="709" w:firstLineChars="0"/>
              <w:jc w:val="both"/>
              <w:rPr>
                <w:sz w:val="22"/>
                <w:szCs w:val="22"/>
                <w:vertAlign w:val="baseline"/>
              </w:rPr>
            </w:pPr>
            <w:r>
              <w:rPr>
                <w:rFonts w:hint="default"/>
                <w:color w:val="FFFFFF" w:themeColor="background1"/>
                <w:sz w:val="22"/>
                <w:szCs w:val="22"/>
                <w:vertAlign w:val="baseline"/>
                <w:lang w:val="pt-BR"/>
                <w14:textFill>
                  <w14:solidFill>
                    <w14:schemeClr w14:val="bg1"/>
                  </w14:solidFill>
                </w14:textFill>
              </w:rPr>
              <w:t>X</w:t>
            </w:r>
          </w:p>
        </w:tc>
        <w:tc>
          <w:tcPr>
            <w:tcW w:w="1327" w:type="dxa"/>
            <w:shd w:val="clear" w:color="auto" w:fill="92D050"/>
            <w:textDirection w:val="tbRlV"/>
            <w:vAlign w:val="center"/>
          </w:tcPr>
          <w:p w14:paraId="37C975C5">
            <w:pPr>
              <w:ind w:left="113" w:leftChars="0" w:right="113" w:rightChars="0" w:firstLine="709" w:firstLineChars="0"/>
              <w:jc w:val="both"/>
              <w:rPr>
                <w:sz w:val="22"/>
                <w:szCs w:val="22"/>
                <w:vertAlign w:val="baseline"/>
              </w:rPr>
            </w:pPr>
            <w:r>
              <w:rPr>
                <w:rFonts w:hint="default"/>
                <w:color w:val="FFFFFF" w:themeColor="background1"/>
                <w:sz w:val="22"/>
                <w:szCs w:val="22"/>
                <w:vertAlign w:val="baseline"/>
                <w:lang w:val="pt-BR"/>
                <w14:textFill>
                  <w14:solidFill>
                    <w14:schemeClr w14:val="bg1"/>
                  </w14:solidFill>
                </w14:textFill>
              </w:rPr>
              <w:t>X</w:t>
            </w:r>
          </w:p>
        </w:tc>
        <w:tc>
          <w:tcPr>
            <w:tcW w:w="1327" w:type="dxa"/>
            <w:shd w:val="clear" w:color="auto" w:fill="FF0000"/>
            <w:textDirection w:val="tbRlV"/>
          </w:tcPr>
          <w:p w14:paraId="721BC58F">
            <w:pPr>
              <w:ind w:left="113" w:right="113" w:firstLine="709"/>
              <w:rPr>
                <w:sz w:val="22"/>
                <w:szCs w:val="22"/>
                <w:vertAlign w:val="baseline"/>
              </w:rPr>
            </w:pPr>
          </w:p>
        </w:tc>
        <w:tc>
          <w:tcPr>
            <w:tcW w:w="1328" w:type="dxa"/>
            <w:shd w:val="clear" w:color="auto" w:fill="FF0000"/>
            <w:textDirection w:val="tbRlV"/>
          </w:tcPr>
          <w:p w14:paraId="434BB069">
            <w:pPr>
              <w:ind w:left="113" w:right="113" w:firstLine="709"/>
              <w:rPr>
                <w:sz w:val="22"/>
                <w:szCs w:val="22"/>
                <w:vertAlign w:val="baseline"/>
              </w:rPr>
            </w:pPr>
          </w:p>
        </w:tc>
        <w:tc>
          <w:tcPr>
            <w:tcW w:w="1328" w:type="dxa"/>
            <w:shd w:val="clear" w:color="auto" w:fill="FFFFFF"/>
            <w:textDirection w:val="tbRlV"/>
            <w:vAlign w:val="center"/>
          </w:tcPr>
          <w:p w14:paraId="14AE4930">
            <w:pPr>
              <w:keepNext w:val="0"/>
              <w:keepLines w:val="0"/>
              <w:widowControl/>
              <w:suppressLineNumbers w:val="0"/>
              <w:ind w:left="113" w:right="113"/>
              <w:jc w:val="center"/>
              <w:textAlignment w:val="center"/>
              <w:rPr>
                <w:rFonts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Discute a utilização de dispositivos de monitoramento</w:t>
            </w:r>
          </w:p>
        </w:tc>
      </w:tr>
      <w:tr w14:paraId="672C9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134" w:hRule="atLeast"/>
        </w:trPr>
        <w:tc>
          <w:tcPr>
            <w:tcW w:w="1152" w:type="dxa"/>
            <w:shd w:val="clear" w:color="auto" w:fill="92D050"/>
            <w:textDirection w:val="tbRlV"/>
            <w:vAlign w:val="center"/>
          </w:tcPr>
          <w:p w14:paraId="7C4D473A">
            <w:pPr>
              <w:ind w:left="113" w:leftChars="0" w:right="113" w:rightChars="0" w:firstLine="709" w:firstLineChars="0"/>
              <w:jc w:val="both"/>
              <w:rPr>
                <w:sz w:val="22"/>
                <w:szCs w:val="22"/>
                <w:vertAlign w:val="baseline"/>
              </w:rPr>
            </w:pPr>
            <w:r>
              <w:rPr>
                <w:rFonts w:hint="default"/>
                <w:color w:val="FFFFFF" w:themeColor="background1"/>
                <w:sz w:val="22"/>
                <w:szCs w:val="22"/>
                <w:vertAlign w:val="baseline"/>
                <w:lang w:val="pt-BR"/>
                <w14:textFill>
                  <w14:solidFill>
                    <w14:schemeClr w14:val="bg1"/>
                  </w14:solidFill>
                </w14:textFill>
              </w:rPr>
              <w:t>X</w:t>
            </w:r>
          </w:p>
        </w:tc>
        <w:tc>
          <w:tcPr>
            <w:tcW w:w="1502" w:type="dxa"/>
            <w:shd w:val="clear" w:color="auto" w:fill="92D050"/>
            <w:textDirection w:val="tbRlV"/>
            <w:vAlign w:val="center"/>
          </w:tcPr>
          <w:p w14:paraId="70E05F6B">
            <w:pPr>
              <w:ind w:left="113" w:leftChars="0" w:right="113" w:rightChars="0" w:firstLine="709" w:firstLineChars="0"/>
              <w:jc w:val="both"/>
              <w:rPr>
                <w:sz w:val="22"/>
                <w:szCs w:val="22"/>
                <w:vertAlign w:val="baseline"/>
              </w:rPr>
            </w:pPr>
            <w:r>
              <w:rPr>
                <w:rFonts w:hint="default"/>
                <w:color w:val="FFFFFF" w:themeColor="background1"/>
                <w:sz w:val="22"/>
                <w:szCs w:val="22"/>
                <w:vertAlign w:val="baseline"/>
                <w:lang w:val="pt-BR"/>
                <w14:textFill>
                  <w14:solidFill>
                    <w14:schemeClr w14:val="bg1"/>
                  </w14:solidFill>
                </w14:textFill>
              </w:rPr>
              <w:t>X</w:t>
            </w:r>
          </w:p>
        </w:tc>
        <w:tc>
          <w:tcPr>
            <w:tcW w:w="1327" w:type="dxa"/>
            <w:shd w:val="clear" w:color="auto" w:fill="92D050"/>
            <w:textDirection w:val="tbRlV"/>
            <w:vAlign w:val="center"/>
          </w:tcPr>
          <w:p w14:paraId="64A483B4">
            <w:pPr>
              <w:ind w:left="113" w:leftChars="0" w:right="113" w:rightChars="0" w:firstLine="709" w:firstLineChars="0"/>
              <w:jc w:val="both"/>
              <w:rPr>
                <w:sz w:val="22"/>
                <w:szCs w:val="22"/>
                <w:vertAlign w:val="baseline"/>
              </w:rPr>
            </w:pPr>
            <w:r>
              <w:rPr>
                <w:rFonts w:hint="default"/>
                <w:color w:val="FFFFFF" w:themeColor="background1"/>
                <w:sz w:val="22"/>
                <w:szCs w:val="22"/>
                <w:vertAlign w:val="baseline"/>
                <w:lang w:val="pt-BR"/>
                <w14:textFill>
                  <w14:solidFill>
                    <w14:schemeClr w14:val="bg1"/>
                  </w14:solidFill>
                </w14:textFill>
              </w:rPr>
              <w:t>X</w:t>
            </w:r>
          </w:p>
        </w:tc>
        <w:tc>
          <w:tcPr>
            <w:tcW w:w="1327" w:type="dxa"/>
            <w:shd w:val="clear" w:color="auto" w:fill="FF0000"/>
            <w:textDirection w:val="tbRlV"/>
          </w:tcPr>
          <w:p w14:paraId="035EBB4B">
            <w:pPr>
              <w:ind w:left="113" w:right="113" w:firstLine="709"/>
              <w:rPr>
                <w:sz w:val="22"/>
                <w:szCs w:val="22"/>
                <w:vertAlign w:val="baseline"/>
              </w:rPr>
            </w:pPr>
          </w:p>
        </w:tc>
        <w:tc>
          <w:tcPr>
            <w:tcW w:w="1327" w:type="dxa"/>
            <w:shd w:val="clear" w:color="auto" w:fill="FF0000"/>
            <w:textDirection w:val="tbRlV"/>
          </w:tcPr>
          <w:p w14:paraId="4C9E6945">
            <w:pPr>
              <w:ind w:left="113" w:right="113" w:firstLine="709"/>
              <w:rPr>
                <w:sz w:val="22"/>
                <w:szCs w:val="22"/>
                <w:vertAlign w:val="baseline"/>
              </w:rPr>
            </w:pPr>
          </w:p>
        </w:tc>
        <w:tc>
          <w:tcPr>
            <w:tcW w:w="1328" w:type="dxa"/>
            <w:shd w:val="clear" w:color="auto" w:fill="FF0000"/>
            <w:textDirection w:val="tbRlV"/>
          </w:tcPr>
          <w:p w14:paraId="7B456EF1">
            <w:pPr>
              <w:ind w:left="113" w:right="113" w:firstLine="709"/>
              <w:rPr>
                <w:sz w:val="22"/>
                <w:szCs w:val="22"/>
                <w:vertAlign w:val="baseline"/>
              </w:rPr>
            </w:pPr>
          </w:p>
        </w:tc>
        <w:tc>
          <w:tcPr>
            <w:tcW w:w="1328" w:type="dxa"/>
            <w:shd w:val="clear" w:color="auto" w:fill="FFFFFF"/>
            <w:textDirection w:val="tbRlV"/>
            <w:vAlign w:val="center"/>
          </w:tcPr>
          <w:p w14:paraId="00416736">
            <w:pPr>
              <w:keepNext w:val="0"/>
              <w:keepLines w:val="0"/>
              <w:widowControl/>
              <w:suppressLineNumbers w:val="0"/>
              <w:ind w:left="113" w:right="113"/>
              <w:jc w:val="center"/>
              <w:textAlignment w:val="center"/>
              <w:rPr>
                <w:rFonts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Discute sobre Big Data</w:t>
            </w:r>
          </w:p>
        </w:tc>
      </w:tr>
      <w:tr w14:paraId="170F2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013" w:hRule="atLeast"/>
        </w:trPr>
        <w:tc>
          <w:tcPr>
            <w:tcW w:w="1152" w:type="dxa"/>
            <w:shd w:val="clear" w:color="auto" w:fill="92D050"/>
            <w:textDirection w:val="tbRlV"/>
            <w:vAlign w:val="center"/>
          </w:tcPr>
          <w:p w14:paraId="07079925">
            <w:pPr>
              <w:ind w:left="113" w:leftChars="0" w:right="113" w:rightChars="0" w:firstLine="709" w:firstLineChars="0"/>
              <w:jc w:val="both"/>
              <w:rPr>
                <w:sz w:val="22"/>
                <w:szCs w:val="22"/>
                <w:vertAlign w:val="baseline"/>
              </w:rPr>
            </w:pPr>
            <w:r>
              <w:rPr>
                <w:rFonts w:hint="default"/>
                <w:color w:val="FFFFFF" w:themeColor="background1"/>
                <w:sz w:val="22"/>
                <w:szCs w:val="22"/>
                <w:vertAlign w:val="baseline"/>
                <w:lang w:val="pt-BR"/>
                <w14:textFill>
                  <w14:solidFill>
                    <w14:schemeClr w14:val="bg1"/>
                  </w14:solidFill>
                </w14:textFill>
              </w:rPr>
              <w:t>X</w:t>
            </w:r>
          </w:p>
        </w:tc>
        <w:tc>
          <w:tcPr>
            <w:tcW w:w="1502" w:type="dxa"/>
            <w:shd w:val="clear" w:color="auto" w:fill="92D050"/>
            <w:textDirection w:val="tbRlV"/>
            <w:vAlign w:val="center"/>
          </w:tcPr>
          <w:p w14:paraId="30C3668A">
            <w:pPr>
              <w:ind w:left="113" w:leftChars="0" w:right="113" w:rightChars="0" w:firstLine="709" w:firstLineChars="0"/>
              <w:jc w:val="both"/>
              <w:rPr>
                <w:sz w:val="22"/>
                <w:szCs w:val="22"/>
                <w:vertAlign w:val="baseline"/>
              </w:rPr>
            </w:pPr>
            <w:r>
              <w:rPr>
                <w:rFonts w:hint="default"/>
                <w:color w:val="FFFFFF" w:themeColor="background1"/>
                <w:sz w:val="22"/>
                <w:szCs w:val="22"/>
                <w:vertAlign w:val="baseline"/>
                <w:lang w:val="pt-BR"/>
                <w14:textFill>
                  <w14:solidFill>
                    <w14:schemeClr w14:val="bg1"/>
                  </w14:solidFill>
                </w14:textFill>
              </w:rPr>
              <w:t>X</w:t>
            </w:r>
          </w:p>
        </w:tc>
        <w:tc>
          <w:tcPr>
            <w:tcW w:w="1327" w:type="dxa"/>
            <w:shd w:val="clear" w:color="auto" w:fill="FF0000"/>
            <w:textDirection w:val="tbRlV"/>
          </w:tcPr>
          <w:p w14:paraId="0E1221A4">
            <w:pPr>
              <w:ind w:left="113" w:right="113" w:firstLine="709"/>
              <w:rPr>
                <w:sz w:val="22"/>
                <w:szCs w:val="22"/>
                <w:vertAlign w:val="baseline"/>
              </w:rPr>
            </w:pPr>
          </w:p>
        </w:tc>
        <w:tc>
          <w:tcPr>
            <w:tcW w:w="1327" w:type="dxa"/>
            <w:shd w:val="clear" w:color="auto" w:fill="92D050"/>
            <w:textDirection w:val="tbRlV"/>
            <w:vAlign w:val="center"/>
          </w:tcPr>
          <w:p w14:paraId="76B6C5E2">
            <w:pPr>
              <w:ind w:left="113" w:leftChars="0" w:right="113" w:rightChars="0" w:firstLine="709" w:firstLineChars="0"/>
              <w:jc w:val="both"/>
              <w:rPr>
                <w:sz w:val="22"/>
                <w:szCs w:val="22"/>
                <w:vertAlign w:val="baseline"/>
              </w:rPr>
            </w:pPr>
            <w:r>
              <w:rPr>
                <w:rFonts w:hint="default"/>
                <w:color w:val="FFFFFF" w:themeColor="background1"/>
                <w:sz w:val="22"/>
                <w:szCs w:val="22"/>
                <w:vertAlign w:val="baseline"/>
                <w:lang w:val="pt-BR"/>
                <w14:textFill>
                  <w14:solidFill>
                    <w14:schemeClr w14:val="bg1"/>
                  </w14:solidFill>
                </w14:textFill>
              </w:rPr>
              <w:t>X</w:t>
            </w:r>
          </w:p>
        </w:tc>
        <w:tc>
          <w:tcPr>
            <w:tcW w:w="1327" w:type="dxa"/>
            <w:shd w:val="clear" w:color="auto" w:fill="92D050"/>
            <w:textDirection w:val="tbRlV"/>
            <w:vAlign w:val="center"/>
          </w:tcPr>
          <w:p w14:paraId="6FD519EE">
            <w:pPr>
              <w:ind w:left="113" w:leftChars="0" w:right="113" w:rightChars="0" w:firstLine="709" w:firstLineChars="0"/>
              <w:jc w:val="both"/>
              <w:rPr>
                <w:sz w:val="22"/>
                <w:szCs w:val="22"/>
                <w:vertAlign w:val="baseline"/>
              </w:rPr>
            </w:pPr>
            <w:r>
              <w:rPr>
                <w:rFonts w:hint="default"/>
                <w:color w:val="FFFFFF" w:themeColor="background1"/>
                <w:sz w:val="22"/>
                <w:szCs w:val="22"/>
                <w:vertAlign w:val="baseline"/>
                <w:lang w:val="pt-BR"/>
                <w14:textFill>
                  <w14:solidFill>
                    <w14:schemeClr w14:val="bg1"/>
                  </w14:solidFill>
                </w14:textFill>
              </w:rPr>
              <w:t>X</w:t>
            </w:r>
          </w:p>
        </w:tc>
        <w:tc>
          <w:tcPr>
            <w:tcW w:w="1328" w:type="dxa"/>
            <w:shd w:val="clear" w:color="auto" w:fill="92D050"/>
            <w:textDirection w:val="tbRlV"/>
            <w:vAlign w:val="center"/>
          </w:tcPr>
          <w:p w14:paraId="7CC3BEC8">
            <w:pPr>
              <w:ind w:left="113" w:leftChars="0" w:right="113" w:rightChars="0" w:firstLine="709" w:firstLineChars="0"/>
              <w:jc w:val="both"/>
              <w:rPr>
                <w:sz w:val="22"/>
                <w:szCs w:val="22"/>
                <w:vertAlign w:val="baseline"/>
              </w:rPr>
            </w:pPr>
            <w:r>
              <w:rPr>
                <w:rFonts w:hint="default"/>
                <w:color w:val="FFFFFF" w:themeColor="background1"/>
                <w:sz w:val="22"/>
                <w:szCs w:val="22"/>
                <w:vertAlign w:val="baseline"/>
                <w:lang w:val="pt-BR"/>
                <w14:textFill>
                  <w14:solidFill>
                    <w14:schemeClr w14:val="bg1"/>
                  </w14:solidFill>
                </w14:textFill>
              </w:rPr>
              <w:t>X</w:t>
            </w:r>
          </w:p>
        </w:tc>
        <w:tc>
          <w:tcPr>
            <w:tcW w:w="1328" w:type="dxa"/>
            <w:shd w:val="clear" w:color="auto" w:fill="FFFFFF"/>
            <w:textDirection w:val="tbRlV"/>
            <w:vAlign w:val="center"/>
          </w:tcPr>
          <w:p w14:paraId="1A025D20">
            <w:pPr>
              <w:keepNext w:val="0"/>
              <w:keepLines w:val="0"/>
              <w:widowControl/>
              <w:suppressLineNumbers w:val="0"/>
              <w:ind w:left="113" w:right="113"/>
              <w:jc w:val="center"/>
              <w:textAlignment w:val="center"/>
              <w:rPr>
                <w:rFonts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Discutem a utilização de IOT no ambiente de segurança do Trabalho</w:t>
            </w:r>
          </w:p>
        </w:tc>
      </w:tr>
      <w:tr w14:paraId="3DDD4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715" w:hRule="atLeast"/>
        </w:trPr>
        <w:tc>
          <w:tcPr>
            <w:tcW w:w="1152" w:type="dxa"/>
            <w:shd w:val="clear" w:color="auto" w:fill="92D050"/>
            <w:textDirection w:val="tbRlV"/>
            <w:vAlign w:val="center"/>
          </w:tcPr>
          <w:p w14:paraId="5CC92D1F">
            <w:pPr>
              <w:ind w:left="113" w:leftChars="0" w:right="113" w:rightChars="0" w:firstLine="709" w:firstLineChars="0"/>
              <w:jc w:val="both"/>
              <w:rPr>
                <w:sz w:val="22"/>
                <w:szCs w:val="22"/>
                <w:vertAlign w:val="baseline"/>
              </w:rPr>
            </w:pPr>
            <w:r>
              <w:rPr>
                <w:rFonts w:hint="default"/>
                <w:color w:val="FFFFFF" w:themeColor="background1"/>
                <w:sz w:val="22"/>
                <w:szCs w:val="22"/>
                <w:vertAlign w:val="baseline"/>
                <w:lang w:val="pt-BR"/>
                <w14:textFill>
                  <w14:solidFill>
                    <w14:schemeClr w14:val="bg1"/>
                  </w14:solidFill>
                </w14:textFill>
              </w:rPr>
              <w:t>X</w:t>
            </w:r>
          </w:p>
        </w:tc>
        <w:tc>
          <w:tcPr>
            <w:tcW w:w="1502" w:type="dxa"/>
            <w:shd w:val="clear" w:color="auto" w:fill="FF0000"/>
            <w:textDirection w:val="tbRlV"/>
          </w:tcPr>
          <w:p w14:paraId="3EC0D6B7">
            <w:pPr>
              <w:ind w:left="113" w:right="113" w:firstLine="709"/>
              <w:rPr>
                <w:sz w:val="22"/>
                <w:szCs w:val="22"/>
                <w:vertAlign w:val="baseline"/>
              </w:rPr>
            </w:pPr>
          </w:p>
        </w:tc>
        <w:tc>
          <w:tcPr>
            <w:tcW w:w="1327" w:type="dxa"/>
            <w:shd w:val="clear" w:color="auto" w:fill="FF0000"/>
            <w:textDirection w:val="tbRlV"/>
          </w:tcPr>
          <w:p w14:paraId="1EFC77A8">
            <w:pPr>
              <w:ind w:left="113" w:right="113" w:firstLine="709"/>
              <w:rPr>
                <w:sz w:val="22"/>
                <w:szCs w:val="22"/>
                <w:vertAlign w:val="baseline"/>
              </w:rPr>
            </w:pPr>
          </w:p>
        </w:tc>
        <w:tc>
          <w:tcPr>
            <w:tcW w:w="1327" w:type="dxa"/>
            <w:shd w:val="clear" w:color="auto" w:fill="FF0000"/>
            <w:textDirection w:val="tbRlV"/>
          </w:tcPr>
          <w:p w14:paraId="126C3940">
            <w:pPr>
              <w:ind w:left="113" w:right="113" w:firstLine="709"/>
              <w:rPr>
                <w:sz w:val="22"/>
                <w:szCs w:val="22"/>
                <w:vertAlign w:val="baseline"/>
              </w:rPr>
            </w:pPr>
          </w:p>
        </w:tc>
        <w:tc>
          <w:tcPr>
            <w:tcW w:w="1327" w:type="dxa"/>
            <w:shd w:val="clear" w:color="auto" w:fill="FF0000"/>
            <w:textDirection w:val="tbRlV"/>
          </w:tcPr>
          <w:p w14:paraId="7B8704C5">
            <w:pPr>
              <w:ind w:left="113" w:right="113" w:firstLine="709"/>
              <w:rPr>
                <w:sz w:val="22"/>
                <w:szCs w:val="22"/>
                <w:vertAlign w:val="baseline"/>
              </w:rPr>
            </w:pPr>
          </w:p>
        </w:tc>
        <w:tc>
          <w:tcPr>
            <w:tcW w:w="1328" w:type="dxa"/>
            <w:shd w:val="clear" w:color="auto" w:fill="FF0000"/>
            <w:textDirection w:val="tbRlV"/>
          </w:tcPr>
          <w:p w14:paraId="629DA9FE">
            <w:pPr>
              <w:ind w:left="113" w:right="113" w:firstLine="709"/>
              <w:rPr>
                <w:sz w:val="22"/>
                <w:szCs w:val="22"/>
                <w:vertAlign w:val="baseline"/>
              </w:rPr>
            </w:pPr>
          </w:p>
        </w:tc>
        <w:tc>
          <w:tcPr>
            <w:tcW w:w="1328" w:type="dxa"/>
            <w:shd w:val="clear" w:color="auto" w:fill="FFFFFF"/>
            <w:textDirection w:val="tbRlV"/>
            <w:vAlign w:val="center"/>
          </w:tcPr>
          <w:p w14:paraId="14B9B349">
            <w:pPr>
              <w:keepNext w:val="0"/>
              <w:keepLines w:val="0"/>
              <w:widowControl/>
              <w:suppressLineNumbers w:val="0"/>
              <w:ind w:left="113" w:right="113"/>
              <w:jc w:val="center"/>
              <w:textAlignment w:val="center"/>
              <w:rPr>
                <w:rFonts w:ascii="Calibri" w:hAnsi="Calibri" w:cs="Calibri"/>
                <w:b/>
                <w:bCs/>
                <w:i w:val="0"/>
                <w:iCs w:val="0"/>
                <w:color w:val="000000"/>
                <w:sz w:val="20"/>
                <w:szCs w:val="20"/>
                <w:u w:val="none"/>
              </w:rPr>
            </w:pPr>
            <w:r>
              <w:rPr>
                <w:rFonts w:hint="default" w:ascii="Calibri" w:hAnsi="Calibri" w:eastAsia="SimSun" w:cs="Calibri"/>
                <w:b/>
                <w:bCs/>
                <w:i w:val="0"/>
                <w:iCs w:val="0"/>
                <w:color w:val="000000"/>
                <w:kern w:val="0"/>
                <w:sz w:val="20"/>
                <w:szCs w:val="20"/>
                <w:u w:val="none"/>
                <w:lang w:val="en-US" w:eastAsia="zh-CN" w:bidi="ar"/>
              </w:rPr>
              <w:t xml:space="preserve">Discutem </w:t>
            </w:r>
            <w:r>
              <w:rPr>
                <w:rFonts w:hint="default" w:ascii="Calibri" w:hAnsi="Calibri" w:eastAsia="SimSun" w:cs="Calibri"/>
                <w:b/>
                <w:bCs/>
                <w:i w:val="0"/>
                <w:iCs w:val="0"/>
                <w:color w:val="000000"/>
                <w:kern w:val="0"/>
                <w:sz w:val="20"/>
                <w:szCs w:val="20"/>
                <w:u w:val="none"/>
                <w:lang w:val="en-US" w:eastAsia="zh-CN" w:bidi="ar"/>
              </w:rPr>
              <w:t xml:space="preserve">a importância do controle de acesso a determinados setores e </w:t>
            </w:r>
            <w:r>
              <w:rPr>
                <w:rFonts w:hint="default" w:ascii="Calibri" w:hAnsi="Calibri" w:eastAsia="SimSun" w:cs="Calibri"/>
                <w:b/>
                <w:bCs/>
                <w:i w:val="0"/>
                <w:iCs w:val="0"/>
                <w:color w:val="000000"/>
                <w:kern w:val="0"/>
                <w:sz w:val="20"/>
                <w:szCs w:val="20"/>
                <w:u w:val="none"/>
                <w:lang w:val="pt-BR" w:eastAsia="zh-CN" w:bidi="ar"/>
              </w:rPr>
              <w:t>e</w:t>
            </w:r>
            <w:r>
              <w:rPr>
                <w:rFonts w:hint="default" w:ascii="Calibri" w:hAnsi="Calibri" w:eastAsia="SimSun" w:cs="Calibri"/>
                <w:b/>
                <w:bCs/>
                <w:i w:val="0"/>
                <w:iCs w:val="0"/>
                <w:color w:val="000000"/>
                <w:kern w:val="0"/>
                <w:sz w:val="20"/>
                <w:szCs w:val="20"/>
                <w:u w:val="none"/>
                <w:lang w:val="en-US" w:eastAsia="zh-CN" w:bidi="ar"/>
              </w:rPr>
              <w:t>quipamentos</w:t>
            </w:r>
          </w:p>
        </w:tc>
      </w:tr>
    </w:tbl>
    <w:p w14:paraId="07630F9E">
      <w:pPr>
        <w:ind w:firstLine="0"/>
      </w:pPr>
    </w:p>
    <w:p w14:paraId="1E6D95D7">
      <w:pPr>
        <w:ind w:firstLine="0"/>
        <w:jc w:val="center"/>
        <w:rPr>
          <w:lang w:val="pt-BR"/>
        </w:rPr>
      </w:pPr>
      <w:r>
        <w:rPr>
          <w:lang w:val="pt-BR"/>
        </w:rPr>
        <w:t>Fonte: Autoria Própria</w:t>
      </w:r>
    </w:p>
    <w:p w14:paraId="33A914EE">
      <w:pPr>
        <w:ind w:firstLine="350" w:firstLineChars="125"/>
        <w:rPr>
          <w:b/>
          <w:bCs/>
          <w:color w:val="000000" w:themeColor="text1"/>
          <w:sz w:val="28"/>
          <w:szCs w:val="28"/>
          <w:lang w:val="pt-BR"/>
          <w14:textFill>
            <w14:solidFill>
              <w14:schemeClr w14:val="tx1"/>
            </w14:solidFill>
          </w14:textFill>
        </w:rPr>
      </w:pPr>
    </w:p>
    <w:p w14:paraId="15FBE16D">
      <w:pPr>
        <w:spacing w:before="240" w:after="240"/>
        <w:rPr>
          <w:color w:val="000000" w:themeColor="text1"/>
          <w:szCs w:val="24"/>
          <w:lang w:val="pt-BR"/>
          <w14:textFill>
            <w14:solidFill>
              <w14:schemeClr w14:val="tx1"/>
            </w14:solidFill>
          </w14:textFill>
        </w:rPr>
      </w:pPr>
      <w:r>
        <w:rPr>
          <w:color w:val="000000" w:themeColor="text1"/>
          <w:szCs w:val="24"/>
          <w:lang w:val="pt-BR"/>
          <w14:textFill>
            <w14:solidFill>
              <w14:schemeClr w14:val="tx1"/>
            </w14:solidFill>
          </w14:textFill>
        </w:rPr>
        <w:t>As propostas das referências:</w:t>
      </w:r>
    </w:p>
    <w:p w14:paraId="7242F5EF">
      <w:pPr>
        <w:ind w:firstLine="350" w:firstLineChars="125"/>
        <w:rPr>
          <w:b/>
          <w:bCs/>
          <w:color w:val="000000" w:themeColor="text1"/>
          <w:sz w:val="28"/>
          <w:szCs w:val="28"/>
          <w:lang w:val="pt-BR"/>
          <w14:textFill>
            <w14:solidFill>
              <w14:schemeClr w14:val="tx1"/>
            </w14:solidFill>
          </w14:textFill>
        </w:rPr>
      </w:pPr>
    </w:p>
    <w:p w14:paraId="56BA6673">
      <w:pPr>
        <w:rPr>
          <w:lang w:val="pt-BR"/>
        </w:rPr>
      </w:pPr>
      <w:r>
        <w:rPr>
          <w:lang w:val="pt-BR"/>
        </w:rPr>
        <w:t>Acadêmicas:</w:t>
      </w:r>
    </w:p>
    <w:p w14:paraId="20D28EF7">
      <w:pPr>
        <w:rPr>
          <w:lang w:val="pt-BR"/>
        </w:rPr>
      </w:pPr>
      <w:r>
        <w:rPr>
          <w:lang w:val="pt-BR"/>
        </w:rPr>
        <w:t>Referência: Workplace and Human Resource Safety Monitoring</w:t>
      </w:r>
    </w:p>
    <w:p w14:paraId="185FE0D2">
      <w:pPr>
        <w:rPr>
          <w:lang w:val="pt-BR"/>
        </w:rPr>
      </w:pPr>
      <w:r>
        <w:rPr>
          <w:lang w:val="pt-BR"/>
        </w:rPr>
        <w:t>Autores: Bamidele, A. D., &amp; Charles, A. O. (2020)</w:t>
      </w:r>
    </w:p>
    <w:p w14:paraId="49A99A50">
      <w:pPr>
        <w:rPr>
          <w:lang w:val="pt-BR"/>
        </w:rPr>
      </w:pPr>
      <w:r>
        <w:rPr>
          <w:lang w:val="pt-BR"/>
        </w:rPr>
        <w:t>Problema: Dificuldade em manter a segurança dos trabalhadores em ambientes industriais com alta rotatividade e exposição constante a riscos. A ausência de sistemas eficazes de monitoramento compromete a prevenção de acidentes e a gestão eficiente de recursos humanos.</w:t>
      </w:r>
    </w:p>
    <w:p w14:paraId="77BF2DD7">
      <w:pPr>
        <w:rPr>
          <w:lang w:val="pt-BR"/>
        </w:rPr>
      </w:pPr>
      <w:r>
        <w:rPr>
          <w:lang w:val="pt-BR"/>
        </w:rPr>
        <w:t>Hipótese: Tecnologias de monitoramento automatizado podem melhorar significativamente os índices de segurança e fornecer dados úteis à gestão de pessoas e processos.</w:t>
      </w:r>
    </w:p>
    <w:p w14:paraId="3931254F">
      <w:pPr>
        <w:rPr>
          <w:lang w:val="pt-BR"/>
        </w:rPr>
      </w:pPr>
      <w:r>
        <w:rPr>
          <w:lang w:val="pt-BR"/>
        </w:rPr>
        <w:t>Objetivo: Desenvolver um sistema de monitoramento integrado a sensores e análise de dados para aumentar a visibilidade das condições de trabalho e auxiliar na tomada de decisões preventivas.</w:t>
      </w:r>
    </w:p>
    <w:p w14:paraId="4E179A9A">
      <w:pPr>
        <w:rPr>
          <w:lang w:val="pt-BR"/>
        </w:rPr>
      </w:pPr>
      <w:r>
        <w:rPr>
          <w:lang w:val="pt-BR"/>
        </w:rPr>
        <w:t>Metodologia: Aplicar abordagem qualitativa com levantamento de dados em campo, entrevistas e análise crítica de sistemas existentes, avaliando soluções de monitoramento com foco em segurança e gestão de recursos humanos.</w:t>
      </w:r>
    </w:p>
    <w:p w14:paraId="4C73DB03">
      <w:pPr>
        <w:rPr>
          <w:lang w:val="pt-BR"/>
        </w:rPr>
      </w:pPr>
      <w:r>
        <w:rPr>
          <w:lang w:val="pt-BR"/>
        </w:rPr>
        <w:t xml:space="preserve"> Deep Learning Base Automatic Safety Helmet Detection</w:t>
      </w:r>
    </w:p>
    <w:p w14:paraId="267BF726">
      <w:pPr>
        <w:rPr>
          <w:lang w:val="pt-BR"/>
        </w:rPr>
      </w:pPr>
      <w:r>
        <w:rPr>
          <w:lang w:val="pt-BR"/>
        </w:rPr>
        <w:t>Autores: Hayat, A., &amp; Morgado-Dias, F. (2022)</w:t>
      </w:r>
    </w:p>
    <w:p w14:paraId="3AFF5096">
      <w:pPr>
        <w:rPr>
          <w:lang w:val="pt-BR"/>
        </w:rPr>
      </w:pPr>
      <w:r>
        <w:rPr>
          <w:lang w:val="pt-BR"/>
        </w:rPr>
        <w:t>Problema: Fiscalização ineficiente do uso de Equipamentos de Proteção Individual (EPIs), como capacetes, em razão de métodos manuais suscetíveis a falhas humanas e pouca escalabilidade.</w:t>
      </w:r>
    </w:p>
    <w:p w14:paraId="250A5D2B">
      <w:pPr>
        <w:rPr>
          <w:lang w:val="pt-BR"/>
        </w:rPr>
      </w:pPr>
      <w:r>
        <w:rPr>
          <w:lang w:val="pt-BR"/>
        </w:rPr>
        <w:t>Hipótese: Redes neurais convolucionais (CNN) podem identificar com alta precisão a utilização de capacetes por meio de análise automatizada de imagens.</w:t>
      </w:r>
    </w:p>
    <w:p w14:paraId="17DD4C32">
      <w:pPr>
        <w:rPr>
          <w:lang w:val="pt-BR"/>
        </w:rPr>
      </w:pPr>
      <w:r>
        <w:rPr>
          <w:lang w:val="pt-BR"/>
        </w:rPr>
        <w:t>Objetivo: Construir modelo de deep learning capaz de reconhecer automaticamente, via câmeras, a presença ou ausência de capacetes de segurança.</w:t>
      </w:r>
    </w:p>
    <w:p w14:paraId="1549F0D2">
      <w:pPr>
        <w:rPr>
          <w:lang w:val="pt-BR"/>
        </w:rPr>
      </w:pPr>
      <w:r>
        <w:rPr>
          <w:lang w:val="pt-BR"/>
        </w:rPr>
        <w:t>Metodologia: Coletar imagens reais de ambientes de trabalho, realizar pré-processamento dos dados e treinar modelo baseado em YOLO (You Only Look Once) para detecção de objetos em tempo real.</w:t>
      </w:r>
    </w:p>
    <w:p w14:paraId="771541B9">
      <w:pPr>
        <w:rPr>
          <w:lang w:val="pt-BR"/>
        </w:rPr>
      </w:pPr>
      <w:r>
        <w:rPr>
          <w:lang w:val="pt-BR"/>
        </w:rPr>
        <w:t xml:space="preserve"> Proposta de Modelo de Maturidade da Segurança de Trabalho</w:t>
      </w:r>
    </w:p>
    <w:p w14:paraId="7400BF64">
      <w:pPr>
        <w:rPr>
          <w:lang w:val="pt-BR"/>
        </w:rPr>
      </w:pPr>
      <w:r>
        <w:rPr>
          <w:lang w:val="pt-BR"/>
        </w:rPr>
        <w:t>Autores: Kusma, V. V. (2020)</w:t>
      </w:r>
    </w:p>
    <w:p w14:paraId="162BB8FE">
      <w:pPr>
        <w:rPr>
          <w:lang w:val="pt-BR"/>
        </w:rPr>
      </w:pPr>
      <w:r>
        <w:rPr>
          <w:lang w:val="pt-BR"/>
        </w:rPr>
        <w:t>Problema: Ausência de mecanismos claros e objetivos para avaliar o grau de maturidade das práticas de segurança do trabalho nas organizações.</w:t>
      </w:r>
    </w:p>
    <w:p w14:paraId="11DF7846">
      <w:pPr>
        <w:rPr>
          <w:lang w:val="pt-BR"/>
        </w:rPr>
      </w:pPr>
      <w:r>
        <w:rPr>
          <w:lang w:val="pt-BR"/>
        </w:rPr>
        <w:t>Hipótese: A estruturação de um modelo específico de maturidade pode fornecer diretrizes claras para a evolução das práticas organizacionais e permitir avaliações consistentes.</w:t>
      </w:r>
    </w:p>
    <w:p w14:paraId="56443B95">
      <w:pPr>
        <w:rPr>
          <w:lang w:val="pt-BR"/>
        </w:rPr>
      </w:pPr>
      <w:r>
        <w:rPr>
          <w:lang w:val="pt-BR"/>
        </w:rPr>
        <w:t>Objetivo: Propor modelo escalonado com critérios e níveis que permitam diagnosticar a maturidade em segurança do trabalho e orientar planos de ação.</w:t>
      </w:r>
    </w:p>
    <w:p w14:paraId="68B68669">
      <w:pPr>
        <w:rPr>
          <w:lang w:val="pt-BR"/>
        </w:rPr>
      </w:pPr>
      <w:r>
        <w:rPr>
          <w:lang w:val="pt-BR"/>
        </w:rPr>
        <w:t>Metodologia: Realizar revisão bibliográfica de modelos de maturidade existentes em outras áreas, adaptando-os ao contexto da segurança do trabalho, com validação por meio de entrevistas com especialistas.</w:t>
      </w:r>
    </w:p>
    <w:p w14:paraId="014349D5">
      <w:pPr>
        <w:rPr>
          <w:lang w:val="pt-BR"/>
        </w:rPr>
      </w:pPr>
      <w:r>
        <w:rPr>
          <w:lang w:val="pt-BR"/>
        </w:rPr>
        <w:t xml:space="preserve"> Os efeitos da Internet das Coisas (IoT) em linhas de montagens: estudos de caso na indústria de autopeças</w:t>
      </w:r>
    </w:p>
    <w:p w14:paraId="0608CE49">
      <w:pPr>
        <w:rPr>
          <w:lang w:val="pt-BR"/>
        </w:rPr>
      </w:pPr>
      <w:r>
        <w:rPr>
          <w:lang w:val="pt-BR"/>
        </w:rPr>
        <w:t>Autores: Cruz (2020)</w:t>
      </w:r>
    </w:p>
    <w:p w14:paraId="0A15EA17">
      <w:pPr>
        <w:rPr>
          <w:lang w:val="pt-BR"/>
        </w:rPr>
      </w:pPr>
      <w:r>
        <w:rPr>
          <w:lang w:val="pt-BR"/>
        </w:rPr>
        <w:t>Problema: Linhas de montagem tradicionais enfrentam desafios relacionados à produtividade e à segurança, causados pela baixa integração de sistemas e pela ausência de visibilidade em tempo real.</w:t>
      </w:r>
    </w:p>
    <w:p w14:paraId="3B2B2689">
      <w:pPr>
        <w:rPr>
          <w:lang w:val="pt-BR"/>
        </w:rPr>
      </w:pPr>
      <w:r>
        <w:rPr>
          <w:lang w:val="pt-BR"/>
        </w:rPr>
        <w:t>**Hipótese:** A aplicação de dispositivos de Internet das Coisas (IoT) pode proporcionar melhorias significativas na eficiência operacional e na segurança dos trabalhadores.</w:t>
      </w:r>
    </w:p>
    <w:p w14:paraId="793C4205">
      <w:pPr>
        <w:rPr>
          <w:lang w:val="pt-BR"/>
        </w:rPr>
      </w:pPr>
      <w:r>
        <w:rPr>
          <w:lang w:val="pt-BR"/>
        </w:rPr>
        <w:t>Objetivo: Investigar os impactos da IoT em linhas de produção no setor de autopeças, especialmente no que se refere à segurança e ao desempenho.</w:t>
      </w:r>
    </w:p>
    <w:p w14:paraId="0C38B488">
      <w:pPr>
        <w:rPr>
          <w:lang w:val="pt-BR"/>
        </w:rPr>
      </w:pPr>
      <w:r>
        <w:rPr>
          <w:lang w:val="pt-BR"/>
        </w:rPr>
        <w:t>Metodologia: Utilizar estudos de caso em empresas do setor, aplicando entrevistas com gestores, análise documental e observação direta do funcionamento operacional.</w:t>
      </w:r>
    </w:p>
    <w:p w14:paraId="05F7E06F">
      <w:pPr>
        <w:rPr>
          <w:lang w:val="pt-BR"/>
        </w:rPr>
      </w:pPr>
      <w:r>
        <w:rPr>
          <w:lang w:val="pt-BR"/>
        </w:rPr>
        <w:t xml:space="preserve"> Real Time Monitoring of Underground Miners Status Based on Mine IOT System</w:t>
      </w:r>
    </w:p>
    <w:p w14:paraId="7F8CF87F">
      <w:pPr>
        <w:rPr>
          <w:lang w:val="pt-BR"/>
        </w:rPr>
      </w:pPr>
      <w:r>
        <w:rPr>
          <w:lang w:val="pt-BR"/>
        </w:rPr>
        <w:t>Autores: Jiang, Y. et al. (2023)</w:t>
      </w:r>
    </w:p>
    <w:p w14:paraId="2DB453E8">
      <w:pPr>
        <w:rPr>
          <w:lang w:val="pt-BR"/>
        </w:rPr>
      </w:pPr>
      <w:r>
        <w:rPr>
          <w:lang w:val="pt-BR"/>
        </w:rPr>
        <w:t>Problema: Ambientes subterrâneos apresentam alto risco devido à dificuldade de comunicação e à falta de monitoramento contínuo das condições locais e dos trabalhadores.</w:t>
      </w:r>
    </w:p>
    <w:p w14:paraId="1BDF4E3B">
      <w:pPr>
        <w:rPr>
          <w:lang w:val="pt-BR"/>
        </w:rPr>
      </w:pPr>
      <w:r>
        <w:rPr>
          <w:lang w:val="pt-BR"/>
        </w:rPr>
        <w:t>Hipótese: A implementação de sistemas IoT com sensores ambientais e de posicionamento permite monitorar o estado dos trabalhadores em tempo real, aumentando a segurança operacional.</w:t>
      </w:r>
    </w:p>
    <w:p w14:paraId="125DC96B">
      <w:pPr>
        <w:rPr>
          <w:lang w:val="pt-BR"/>
        </w:rPr>
      </w:pPr>
      <w:r>
        <w:rPr>
          <w:lang w:val="pt-BR"/>
        </w:rPr>
        <w:t>Objetivo: Desenvolver sistema adaptado às condições de mineração subterrânea, com capacidade de rastrear e alertar sobre situações de risco.</w:t>
      </w:r>
    </w:p>
    <w:p w14:paraId="0E577ACF">
      <w:pPr>
        <w:rPr>
          <w:lang w:val="pt-BR"/>
        </w:rPr>
      </w:pPr>
      <w:r>
        <w:rPr>
          <w:lang w:val="pt-BR"/>
        </w:rPr>
        <w:t>Metodologia: Projetar sensores específicos para mineração, desenvolver sistema de comunicação adaptado a ambientes hostis e realizar validação por meio de simulações em campo.</w:t>
      </w:r>
    </w:p>
    <w:p w14:paraId="22F47C12">
      <w:pPr>
        <w:rPr>
          <w:lang w:val="pt-BR"/>
        </w:rPr>
      </w:pPr>
      <w:r>
        <w:rPr>
          <w:lang w:val="pt-BR"/>
        </w:rPr>
        <w:t>De mercado:</w:t>
      </w:r>
    </w:p>
    <w:p w14:paraId="3F1323FE">
      <w:pPr>
        <w:rPr>
          <w:lang w:val="pt-BR"/>
        </w:rPr>
      </w:pPr>
      <w:r>
        <w:rPr>
          <w:lang w:val="pt-BR"/>
        </w:rPr>
        <w:t>Fleet Manager 4.X – Kion</w:t>
      </w:r>
    </w:p>
    <w:p w14:paraId="02124997">
      <w:pPr>
        <w:rPr>
          <w:lang w:val="pt-BR"/>
        </w:rPr>
      </w:pPr>
      <w:r>
        <w:rPr>
          <w:lang w:val="pt-BR"/>
        </w:rPr>
        <w:t>Problema: Frotas industriais são frequentemente operadas sem controle rigoroso sobre o uso, o que resulta em ineficiência e riscos operacionais.</w:t>
      </w:r>
    </w:p>
    <w:p w14:paraId="2FD34E87">
      <w:pPr>
        <w:rPr>
          <w:lang w:val="pt-BR"/>
        </w:rPr>
      </w:pPr>
      <w:r>
        <w:rPr>
          <w:lang w:val="pt-BR"/>
        </w:rPr>
        <w:t>Hipótese: Um sistema de gerenciamento digital pode controlar o uso dos veículos, rastrear comportamentos inseguros e gerar dados úteis para tomada de decisão.</w:t>
      </w:r>
    </w:p>
    <w:p w14:paraId="51E998C6">
      <w:pPr>
        <w:rPr>
          <w:lang w:val="pt-BR"/>
        </w:rPr>
      </w:pPr>
      <w:r>
        <w:rPr>
          <w:lang w:val="pt-BR"/>
        </w:rPr>
        <w:t>Objetivo: Implementar solução centralizada que forneça dados operacionais em tempo real, registre incidentes e permita ações preventivas.</w:t>
      </w:r>
    </w:p>
    <w:p w14:paraId="38184B54">
      <w:pPr>
        <w:rPr>
          <w:lang w:val="pt-BR"/>
        </w:rPr>
      </w:pPr>
      <w:r>
        <w:rPr>
          <w:lang w:val="pt-BR"/>
        </w:rPr>
        <w:t>Metodologia: Instalar sensores nos veículos, integrar com software de controle e configurar painéis de análise com indicadores de segurança e desempenho.</w:t>
      </w:r>
    </w:p>
    <w:p w14:paraId="310A2574">
      <w:pPr>
        <w:rPr>
          <w:lang w:val="pt-BR"/>
        </w:rPr>
      </w:pPr>
      <w:r>
        <w:rPr>
          <w:lang w:val="pt-BR"/>
        </w:rPr>
        <w:t xml:space="preserve"> Easy Acess – Jungheinrich</w:t>
      </w:r>
    </w:p>
    <w:p w14:paraId="79D8FC2D">
      <w:pPr>
        <w:rPr>
          <w:lang w:val="pt-BR"/>
        </w:rPr>
      </w:pPr>
      <w:r>
        <w:rPr>
          <w:lang w:val="pt-BR"/>
        </w:rPr>
        <w:t>Problema: O uso de máquinas por pessoas não autorizadas gera riscos à operação e à segurança no ambiente industrial.</w:t>
      </w:r>
    </w:p>
    <w:p w14:paraId="5F66A237">
      <w:pPr>
        <w:rPr>
          <w:lang w:val="pt-BR"/>
        </w:rPr>
      </w:pPr>
      <w:r>
        <w:rPr>
          <w:lang w:val="pt-BR"/>
        </w:rPr>
        <w:t>Hipótese: Sistemas de autenticação de acesso, como RFID ou biometria, permitem restringir o uso a operadores autorizados, garantindo maior controle.</w:t>
      </w:r>
    </w:p>
    <w:p w14:paraId="6F0E5CBF">
      <w:pPr>
        <w:rPr>
          <w:lang w:val="pt-BR"/>
        </w:rPr>
      </w:pPr>
      <w:r>
        <w:rPr>
          <w:lang w:val="pt-BR"/>
        </w:rPr>
        <w:t>Objetivo: Implementar autenticação de acesso em equipamentos industriais para reduzir incidentes e aumentar a rastreabilidade operacional.</w:t>
      </w:r>
    </w:p>
    <w:p w14:paraId="6906F155">
      <w:pPr>
        <w:rPr>
          <w:lang w:val="pt-BR"/>
        </w:rPr>
      </w:pPr>
      <w:r>
        <w:rPr>
          <w:lang w:val="pt-BR"/>
        </w:rPr>
        <w:t>Metodologia:  Integrar dispositivos de autenticação ao painel de controle das máquinas e utilizar software para gerenciamento e auditoria dos acessos.</w:t>
      </w:r>
    </w:p>
    <w:p w14:paraId="6AA9D270">
      <w:pPr>
        <w:rPr>
          <w:lang w:val="pt-BR"/>
        </w:rPr>
      </w:pPr>
      <w:r>
        <w:rPr>
          <w:lang w:val="pt-BR"/>
        </w:rPr>
        <w:t xml:space="preserve"> Sistemas com YOLO + Câmeras de Monitoramento – Ultralytics</w:t>
      </w:r>
    </w:p>
    <w:p w14:paraId="31656EEF">
      <w:pPr>
        <w:rPr>
          <w:lang w:val="pt-BR"/>
        </w:rPr>
      </w:pPr>
      <w:r>
        <w:rPr>
          <w:lang w:val="pt-BR"/>
        </w:rPr>
        <w:t>Problema: Sistemas de videomonitoramento convencionais exigem vigilância constante por operadores humanos, o que compromete a agilidade na detecção de riscos.</w:t>
      </w:r>
    </w:p>
    <w:p w14:paraId="557F4309">
      <w:pPr>
        <w:rPr>
          <w:lang w:val="pt-BR"/>
        </w:rPr>
      </w:pPr>
      <w:r>
        <w:rPr>
          <w:lang w:val="pt-BR"/>
        </w:rPr>
        <w:t>Hipótese: Modelos de visão computacional como YOLO podem automatizar a identificação de comportamentos de risco e ausência de EPIs em tempo real.</w:t>
      </w:r>
    </w:p>
    <w:p w14:paraId="4C1028E9">
      <w:pPr>
        <w:rPr>
          <w:lang w:val="pt-BR"/>
        </w:rPr>
      </w:pPr>
      <w:r>
        <w:rPr>
          <w:lang w:val="pt-BR"/>
        </w:rPr>
        <w:t>Objetivo: Automatizar a análise de vídeo em ambientes industriais, detectando situações de risco de forma precisa e imediata.</w:t>
      </w:r>
    </w:p>
    <w:p w14:paraId="6FD9E2C9">
      <w:pPr>
        <w:rPr>
          <w:lang w:val="pt-BR"/>
        </w:rPr>
      </w:pPr>
      <w:r>
        <w:rPr>
          <w:lang w:val="pt-BR"/>
        </w:rPr>
        <w:t>Metodologia: Aplicar modelo YOLOv8 treinado com datasets industriais, integrando-o com sistemas de câmeras IP e alarmes automatizados por inteligência artificial.</w:t>
      </w:r>
    </w:p>
    <w:p w14:paraId="6532F13A">
      <w:pPr>
        <w:rPr>
          <w:lang w:val="pt-BR"/>
        </w:rPr>
      </w:pPr>
      <w:r>
        <w:rPr>
          <w:lang w:val="pt-BR"/>
        </w:rPr>
        <w:t xml:space="preserve"> People Safety Badge – Logicalis</w:t>
      </w:r>
    </w:p>
    <w:p w14:paraId="189E9BF3">
      <w:pPr>
        <w:rPr>
          <w:lang w:val="pt-BR"/>
        </w:rPr>
      </w:pPr>
      <w:r>
        <w:rPr>
          <w:lang w:val="pt-BR"/>
        </w:rPr>
        <w:t>Problema: A falta de dados sobre movimentação e comportamento dos trabalhadores em áreas de risco dificulta a prevenção de acidentes.</w:t>
      </w:r>
    </w:p>
    <w:p w14:paraId="794CB71F">
      <w:pPr>
        <w:rPr>
          <w:lang w:val="pt-BR"/>
        </w:rPr>
      </w:pPr>
      <w:r>
        <w:rPr>
          <w:lang w:val="pt-BR"/>
        </w:rPr>
        <w:t>Hipótese: Dispositivos vestíveis com sensores de localização e proximidade possibilitam o monitoramento em tempo real dos trabalhadores.</w:t>
      </w:r>
    </w:p>
    <w:p w14:paraId="7C456305">
      <w:pPr>
        <w:rPr>
          <w:lang w:val="pt-BR"/>
        </w:rPr>
      </w:pPr>
      <w:r>
        <w:rPr>
          <w:lang w:val="pt-BR"/>
        </w:rPr>
        <w:t>Objetivo: Fornecer dados precisos para a gestão de segurança individual, por meio do rastreamento de movimentação e alertas automatizados.</w:t>
      </w:r>
    </w:p>
    <w:p w14:paraId="2D5CCA2F">
      <w:pPr>
        <w:rPr>
          <w:lang w:val="pt-BR"/>
        </w:rPr>
      </w:pPr>
      <w:r>
        <w:rPr>
          <w:lang w:val="pt-BR"/>
        </w:rPr>
        <w:t>Metodologia: Utilizar sensores acoplados a crachás ou uniformes, conectados via Bluetooth ou redes dedicadas, com integração a uma plataforma de análise e visualização de dados.</w:t>
      </w:r>
    </w:p>
    <w:p w14:paraId="392BC07C">
      <w:pPr>
        <w:rPr>
          <w:lang w:val="pt-BR"/>
        </w:rPr>
      </w:pPr>
      <w:r>
        <w:rPr>
          <w:lang w:val="pt-BR"/>
        </w:rPr>
        <w:t xml:space="preserve"> Plataforma Trackfy – Trackfy</w:t>
      </w:r>
    </w:p>
    <w:p w14:paraId="0B8BD5D2">
      <w:pPr>
        <w:rPr>
          <w:lang w:val="pt-BR"/>
        </w:rPr>
      </w:pPr>
      <w:r>
        <w:rPr>
          <w:lang w:val="pt-BR"/>
        </w:rPr>
        <w:t>Problema: A gestão de ativos e pessoas sofre com a fragmentação de dados e a baixa rastreabilidade nos processos industriais.</w:t>
      </w:r>
    </w:p>
    <w:p w14:paraId="227F39AA">
      <w:pPr>
        <w:rPr>
          <w:lang w:val="pt-BR"/>
        </w:rPr>
      </w:pPr>
      <w:r>
        <w:rPr>
          <w:lang w:val="pt-BR"/>
        </w:rPr>
        <w:t>Hipótese: Plataforma integrada com sensores e rastreadores permite consolidar dados e melhorar a visibilidade operacional em tempo real.</w:t>
      </w:r>
    </w:p>
    <w:p w14:paraId="5C5C0C14">
      <w:pPr>
        <w:rPr>
          <w:lang w:val="pt-BR"/>
        </w:rPr>
      </w:pPr>
      <w:r>
        <w:rPr>
          <w:lang w:val="pt-BR"/>
        </w:rPr>
        <w:t>Objetivo: Centralizar informações de rastreamento de pessoas e equipamentos em um único sistema, promovendo mais controle e segurança.</w:t>
      </w:r>
    </w:p>
    <w:p w14:paraId="6ED1E4D7">
      <w:r>
        <w:rPr>
          <w:lang w:val="pt-BR"/>
        </w:rPr>
        <w:t>Metodologia: Integrar tags, beacons e sensores RFID a uma plataforma em nuvem, oferecendo painéis personalizados com indicadores de desempenho, segurança e localização.</w:t>
      </w:r>
    </w:p>
    <w:p w14:paraId="124F3767">
      <w:r>
        <w:br w:type="page"/>
      </w:r>
    </w:p>
    <w:p w14:paraId="7A4A1CE6">
      <w:pPr>
        <w:pStyle w:val="37"/>
        <w:rPr>
          <w:lang w:val="pt-BR"/>
        </w:rPr>
      </w:pPr>
      <w:bookmarkStart w:id="3" w:name="_Toc1144449547"/>
      <w:r>
        <w:rPr>
          <w:lang w:val="pt-BR"/>
        </w:rPr>
        <w:t>JUSTIFICATIVA</w:t>
      </w:r>
      <w:bookmarkEnd w:id="3"/>
    </w:p>
    <w:p w14:paraId="0D37C86A">
      <w:pPr>
        <w:rPr>
          <w:lang w:val="pt-BR"/>
        </w:rPr>
      </w:pPr>
      <w:r>
        <w:rPr>
          <w:lang w:val="pt-BR"/>
        </w:rPr>
        <w:t>A Organização Internacional do Trabalho (OIT) e de trabalhos de pesquisas independentes expõem dados preocupantes sobre os acidentes relacionados ao trabalho. Ambientes industriais e armazéns logísticos são ambientes hostis que possuem um alto risco de acidentes, que podem variar desde incidentes leves até graves, e, em casos extremos, no óbito de pessoas. As consequências de tais incidentes e/ou acidentes, respingam diretamente no financeiro da empresa e do poder público e na sociedade em geral.</w:t>
      </w:r>
    </w:p>
    <w:p w14:paraId="301030DF">
      <w:pPr>
        <w:rPr>
          <w:lang w:val="pt-BR"/>
        </w:rPr>
      </w:pPr>
      <w:r>
        <w:rPr>
          <w:lang w:val="pt-BR"/>
        </w:rPr>
        <w:t xml:space="preserve">Este estudo justifica-se pela contribuição econômica, social e tecnológica envolvendo a área da segurança do trabalho. A Internet das Coisas (IOT) já demonstra grande potencial para transformar os postos de trabalho, com monitoramento, predições, análise de dados e prevenção de acidentes. Ao focar no aprimoramento dos dispositivos e nas medidas de segurança e monitoramento no ambiente operacional utilizando IOT, este trabalho contribui para a redução de acidentes, na melhoria da qualidade de vida dos colaboradores e gestores, deixando o trabalho cada vez mais digno e seguro, no aumento na competitividade das empresas no mercado global, e, por fim, vai ao encontro da meta “Indústria, Inovação e Infraestrutura”, uma das 17 metas da ONU até 2030, metas estas que buscam promover o desenvolvimento sustentável do planeta </w:t>
      </w:r>
      <w:sdt>
        <w:sdtPr>
          <w:rPr>
            <w:lang w:val="pt-BR"/>
          </w:rPr>
          <w:id w:val="388389009"/>
        </w:sdtPr>
        <w:sdtEndPr>
          <w:rPr>
            <w:lang w:val="pt-BR"/>
          </w:rPr>
        </w:sdtEndPr>
        <w:sdtContent>
          <w:r>
            <w:rPr>
              <w:lang w:val="pt-BR"/>
            </w:rPr>
            <w:fldChar w:fldCharType="begin"/>
          </w:r>
          <w:r>
            <w:rPr>
              <w:lang w:val="pt-BR"/>
            </w:rPr>
            <w:instrText xml:space="preserve"> CITATION ONU25 \l 1046 </w:instrText>
          </w:r>
          <w:r>
            <w:rPr>
              <w:lang w:val="pt-BR"/>
            </w:rPr>
            <w:fldChar w:fldCharType="separate"/>
          </w:r>
          <w:r>
            <w:rPr>
              <w:lang w:val="pt-BR"/>
            </w:rPr>
            <w:t>(ONU, 2025)</w:t>
          </w:r>
          <w:r>
            <w:rPr>
              <w:lang w:val="pt-BR"/>
            </w:rPr>
            <w:fldChar w:fldCharType="end"/>
          </w:r>
        </w:sdtContent>
      </w:sdt>
      <w:r>
        <w:rPr>
          <w:lang w:val="pt-BR"/>
        </w:rPr>
        <w:t xml:space="preserve">. </w:t>
      </w:r>
    </w:p>
    <w:p w14:paraId="0F86B577">
      <w:pPr>
        <w:rPr>
          <w:lang w:val="pt-BR"/>
        </w:rPr>
      </w:pPr>
    </w:p>
    <w:p w14:paraId="00311A17">
      <w:pPr>
        <w:pStyle w:val="37"/>
        <w:rPr>
          <w:lang w:val="pt-BR"/>
        </w:rPr>
      </w:pPr>
      <w:bookmarkStart w:id="4" w:name="_Toc1098258790"/>
      <w:r>
        <w:rPr>
          <w:lang w:val="pt-BR"/>
        </w:rPr>
        <w:t>PROBLEMÁTICA</w:t>
      </w:r>
      <w:bookmarkEnd w:id="4"/>
    </w:p>
    <w:p w14:paraId="40BEEF60">
      <w:pPr>
        <w:rPr>
          <w:lang w:val="pt-BR"/>
        </w:rPr>
      </w:pPr>
      <w:r>
        <w:rPr>
          <w:lang w:val="pt-BR"/>
        </w:rPr>
        <w:t>As rápidas evoluções tecnológicas do último século afetaram as mais diversas áreas da humanidade, da área bélica até as mãos de usuários civis e comuns do dia a dia. Logicamente, as empresas também captam essas tecnologias e inovações e implementam-nas cadeias produtivas em busca de maiores ganhos de produtividade e financeiros. E muito embora a sociedade de forma global tenha evoluído desde a revolução industrial e como consequência também a qualidade de vida e a as condições no ambiente laboral, os acidentes de trabalho ainda são um número preocupante para os governos, instituições e empregadores. </w:t>
      </w:r>
    </w:p>
    <w:p w14:paraId="77F21A0D">
      <w:pPr>
        <w:rPr>
          <w:lang w:val="pt-BR"/>
        </w:rPr>
      </w:pPr>
      <w:r>
        <w:rPr>
          <w:lang w:val="pt-BR"/>
        </w:rPr>
        <w:t>No contexto da indústria 4.0 muitos postos de trabalho foram aprimorados, afetados ou até mesmo substituídos por algo mais eficiente, como a automação em linhas de produção. Tendo em vista que a IOT traz consigo ganhos e vantagens competitivas no uso produtivo, é fundamental que o uso de tal tecnologia seja também implementado e aprimorado com foco na segurança e experiência do colaborador. </w:t>
      </w:r>
    </w:p>
    <w:p w14:paraId="2FBF0B4A">
      <w:r>
        <w:rPr>
          <w:lang w:val="pt-BR"/>
        </w:rPr>
        <w:t>Diante do aumento dos acidentes de trabalho, especialmente em países em desenvolvimento com infraestrutura limitada, torna-se urgente a adoção de soluções que combinem tecnologia e gestão para garantir ambientes laborais mais seguros. A Indústria 4.0, por meio da IOT, apresenta oportunidades de prevenção de riscos e integração de dados. No entanto, essas soluções dependem não somente de sua implementação técnica, mas também do engajamento humano e organizacional. Nesse cenário, como a IOT pode ser utilizada para minimizar cada vez mais os riscos de acidentes no ambiente operacional e como fornecer dados e métricas relevantes para a melhor gestão dos profissionais de segurança, garantindo que tomarão as melhores decisões baseadas em dados e estatísticas da sua operação?</w:t>
      </w:r>
    </w:p>
    <w:p w14:paraId="37BA728D">
      <w:pPr>
        <w:rPr>
          <w:rStyle w:val="38"/>
        </w:rPr>
      </w:pPr>
    </w:p>
    <w:p w14:paraId="1DDE5F4F">
      <w:pPr>
        <w:pStyle w:val="37"/>
        <w:rPr>
          <w:b w:val="0"/>
          <w:lang w:val="pt-BR"/>
        </w:rPr>
      </w:pPr>
      <w:bookmarkStart w:id="5" w:name="_Toc617289388"/>
      <w:r>
        <w:rPr>
          <w:rStyle w:val="38"/>
          <w:b/>
          <w:bCs/>
        </w:rPr>
        <w:t>HIPÓTESE</w:t>
      </w:r>
      <w:bookmarkEnd w:id="5"/>
    </w:p>
    <w:p w14:paraId="1EBA55ED">
      <w:pPr>
        <w:rPr>
          <w:lang w:val="pt-BR"/>
        </w:rPr>
      </w:pPr>
      <w:r>
        <w:rPr>
          <w:lang w:val="pt-BR"/>
        </w:rPr>
        <w:t>Com a crescente demanda por ambientes de trabalho mais seguros, especialmente em setores de alto risco como mineração e operações subterrâneas, torna-se essencial integrar tecnologias emergentes à gestão da segurança do trabalho. Nesse contexto, a hipótese central deste estudo é que a implementação de um sistema de controle de acesso, aliado ao uso de sensores ambientais e fisiológicos, aumentará significativamente a segurança operacional. Essa integração tecnológica permitiria autorizar apenas operadores qualificados a utilizarem equipamentos industriais e possibilitaria o monitoramento das condições ambientais e da saúde dos trabalhadores. A coleta contínua de dados viabiliza a identificação de riscos e a tomada de decisões preventivas, reduzindo a incidência de acidentes.</w:t>
      </w:r>
    </w:p>
    <w:p w14:paraId="51A301D0">
      <w:r>
        <w:br w:type="page"/>
      </w:r>
    </w:p>
    <w:p w14:paraId="27E44BD9">
      <w:pPr>
        <w:pStyle w:val="37"/>
        <w:rPr>
          <w:b w:val="0"/>
          <w:lang w:val="pt-BR"/>
        </w:rPr>
      </w:pPr>
      <w:bookmarkStart w:id="6" w:name="_Toc734089005"/>
      <w:r>
        <w:rPr>
          <w:rStyle w:val="38"/>
          <w:b/>
          <w:bCs/>
        </w:rPr>
        <w:t>OBJETIVO</w:t>
      </w:r>
      <w:bookmarkEnd w:id="6"/>
    </w:p>
    <w:p w14:paraId="4057F1F9">
      <w:pPr>
        <w:rPr>
          <w:lang w:val="pt-BR"/>
        </w:rPr>
      </w:pPr>
      <w:r>
        <w:rPr>
          <w:lang w:val="pt-BR"/>
        </w:rPr>
        <w:t>Um ambiente de trabalho inseguro traz consigo impactos negativos na produtividade dos colaboradores, na economia da empresa e de forma geral para a sociedade. Com isso em mente, torna-se o objetivo desta pesquisa demonstrar que, através da aplicação da Internet das Coisas (IOT) no contexto da indústria 4.0, é possível reduzir a incidência de acidentes de trabalho em ambientes industriais e armazéns logísticos.</w:t>
      </w:r>
    </w:p>
    <w:p w14:paraId="1F59BB1C">
      <w:pPr>
        <w:rPr>
          <w:lang w:val="pt-BR"/>
        </w:rPr>
      </w:pPr>
    </w:p>
    <w:p w14:paraId="056DD01A">
      <w:pPr>
        <w:rPr>
          <w:lang w:val="pt-BR"/>
        </w:rPr>
      </w:pPr>
    </w:p>
    <w:p w14:paraId="3154F5B0">
      <w:pPr>
        <w:pStyle w:val="37"/>
        <w:rPr>
          <w:lang w:val="pt-BR"/>
        </w:rPr>
      </w:pPr>
      <w:bookmarkStart w:id="7" w:name="_Toc1683252875"/>
      <w:r>
        <w:rPr>
          <w:lang w:val="pt-BR"/>
        </w:rPr>
        <w:t>METODOLOGIA</w:t>
      </w:r>
      <w:bookmarkEnd w:id="7"/>
    </w:p>
    <w:p w14:paraId="37E73E31">
      <w:r>
        <w:t>O termo pesquisa, no contexto científico, é a busca de conhecimento sobre e como o mundo funciona, e pode ser classificada em trabalho original e de resumo de assunto (Wazlawick, 2014), podendo ser uma pesquisa de alguma ciência exata, cujos resultados são precisos e suas leis altamente preditivas e previsíveis, ou de uma ciência inexata, o qual pode prever comportamentos gerais de seus fenômenos, mas sem ter algum experimento imediatamente replicável.</w:t>
      </w:r>
    </w:p>
    <w:p w14:paraId="3D49B817">
      <w:r>
        <w:t>Existe a distinção, também, dentre as ciências nomotéticas, que estudam repetitivos, assim permitindo a elaboração de previsões; assim como as ciências idiográficas que estudam fenômenos únicos, eventos passados. A ciência da computação se enquadra como uma ciência exata nomotética, devendo seu estudo (Wazlawick, 2014). Visto isso, o presente estudo identifica como essencial a execução de uma pesquisa de levantamento, isto é, uma pesquisa que busca, através de observações, medições, questionários e entrevistas, dados de um determinado ambiente, o quê, neste caso seriam ambientes os quais podem ter alguma incidência de acidentes de trabalho, como armazéns logísticos e construção civil/industrial (Wazlawick, 2014).</w:t>
      </w:r>
    </w:p>
    <w:p w14:paraId="50281F79">
      <w:r>
        <w:t>Com base nesses pressupostos, esta pesquisa adota a estratégia metodológica de levantamento de dados, cujo objetivo é coletar informações quantitativas e qualitativas sobre um ambiente específico por meio de observações, medições, questionários e entrevistas. No caso deste estudo, o ambiente de interesse compreende locais com potencial ocorrência de acidentes de trabalho, como armazéns logísticos e canteiros de obras na construção civil e industrial.</w:t>
      </w:r>
    </w:p>
    <w:p w14:paraId="2E4C4BFC">
      <w:r>
        <w:t>A pesquisa realiza tem caráter descritivo e exploratório, com o objetivo de mapear práticas de controle de acesso e fatores de risco em ambientes com potencial ocorrência de acidentes de trabalho, como armazéns logísticos e canteiros de obras. A escolha deste método justifica se pela sua capacidade de coletar dados padronizados de grande número de participantes e permitir a generalização dos resultados para a população alvo (Kalinowski, Araújo, &amp; Mendez, 2024).</w:t>
      </w:r>
    </w:p>
    <w:p w14:paraId="400BD305">
      <w:r>
        <w:t>Para garantir representatividade e reduzir vieses de seleção, utilizou se amostragem probabilística estratificada, definindo se dois estratos, profissionais da logística e da construção civil/industrial, e selecionando aleatoriamente participantes em cada grupo, conforme recomendações para delimitação eficiente de amostragem em pesquisas por levantamento (Rahman, 2023). O tamanho amostral foi calculado com base em orientações que consideram proporção de 50 % para maximizar variância, nível de confiança de 95 % e margem de erro de 5 %, conforme guia prático de determinação de tamanho de amostra em pesquisas quantitativas (Althubaiti, 2022).</w:t>
      </w:r>
    </w:p>
    <w:p w14:paraId="20AB43CE">
      <w:r>
        <w:t>A coleta de dados irá consistir em um questionário estruturado, entrevistas semiestruturadas com gestores e engenheiros de segurança do trabalho, com propósito de contextualizar os achados do questionário. Antes da aplicação definitiva, o questionário será submetido a um pré teste piloto com 10 participantes, etapa essencial para avaliar a clareza dos itens e a consistência interna do instrumento, reduzindo vieses de interpretação nos respondentes (Rahman, 2023).</w:t>
      </w:r>
    </w:p>
    <w:p w14:paraId="6554F945">
      <w:r>
        <w:t>O questionário semiestruturado aplicado aos gestores e engenheiros de segurança do trabalho tem como objetivo principal mapear o panorama atual das práticas de controle de acesso e segurança nos ambientes investigados, bem como identificar as principais lacunas e necessidades específicas de cada organização. Especificamente, espera-se obter informações detalhadas sobre os tipos de acidentes mais frequentes em cada ambiente de trabalho, permitindo a identificação de padrões e causas recorrentes, os métodos de controle de acesso atualmente utilizados e sua eficácia percebida pelos gestores, os principais desafios enfrentados na implementação de medidas de segurança, o nível de capacitação dos operadores em relação ao uso seguro de equipamentos, a frequência e tipos de treinamentos de segurança realizados, os protocolos de emergência existentes e sua efetividade, e a receptividade da organização para implementação de novas tecnologias de segurança.</w:t>
      </w:r>
    </w:p>
    <w:p w14:paraId="23D53D81">
      <w:r>
        <w:t>Adicionalmente, o questionário visa identificar fatores organizacionais que podem influenciar na adoção de sistemas automatizados de controle de acesso, como disponibilidade de recursos financeiros para investimentos em segurança, estrutura hierárquica de tomada de decisões sobre segurança, histórico de implementação de tecnologias similares, e resistência ou aceitação dos operadores a mudanças nos processos de trabalho. Os dados coletados permitirão contextualizar os achados quantitativos do questionário estruturado, fornecendo uma compreensão mais profunda sobre as especificidades de cada ambiente e as variáveis que podem impactar na eficácia do sistema proposto. Isso possibilitará a customização das funcionalidades do sistema de acordo com as necessidades reais identificadas, aumentando sua aplicabilidade prática e aceitação pelos usuários finais.</w:t>
      </w:r>
    </w:p>
    <w:p w14:paraId="07EBB831">
      <w:r>
        <w:t>Espera-se também que as entrevistas revelem insights sobre barreiras não técnicas para implementação do sistema, como aspectos culturais, políticas internas de segurança, e percepções sobre a relação custo-benefício de investimentos em tecnologia de segurança, informações essenciais para o desenvolvimento de estratégias de implementação mais eficazes.</w:t>
      </w:r>
    </w:p>
    <w:p w14:paraId="7905E765">
      <w:r>
        <w:t>Inicialmente, será implementado um modelo simplificado de controle de acesso por RFID, no qual serão lidas apenas as informações de identificação dos cartões. Essa fase visa validar a leitura e o armazenamento básico dos dados, além de identificar eventuais fragilidades no processo de autenticação.</w:t>
      </w:r>
    </w:p>
    <w:p w14:paraId="728B0559">
      <w:r>
        <w:t>Para a prototipação do sistema físico, optou-se pela utilização da plataforma Arduino, plataforma conhecida para a prototipação e desenvolvimento de projetos acadêmicos. Sua adoção no projeto é justificada por ser uma plataforma de código aberto, ter hardware e software acessíveis, além de sua curva de aprendizagem ser suave, o que torna o processo de desenvolvimento algo simples até mesmo para um desenvolvedor iniciante. Adicionalmente a forte presença da comunidade técnica e educacional do Arduino, com diversos projetos, materiais didáticos disponibilizados, fóruns e documentação oficial, fomentam a dissipação do conhecimento e criam um ambiente amigável e ativo, principalmente para sanar as dúvidas que possam surgir. Além disso, a plataforma permite a integração com diversos sensores e atuadores, cobrindo uma ampla gama de tópicos nos currículos de engenharia, como a coleta de dados, controle de sistemas e comunicação serial. Por fim, sua adoção permite o vislumbre prático de estudantes das áreas de engenharia e ciência da computação, por exemplo, possibilitando um contato mais concreto com o hardware e a visualização prática dos resultados da programação de mais baixo nível (El-Abd, 2017).</w:t>
      </w:r>
    </w:p>
    <w:p w14:paraId="5A592AAE">
      <w:r>
        <w:t>Na etapa seguinte, o sistema será expandido com a possibilidade de escrita e edição de dados nos cartões RFID, permitindo que o próprio gestor do sistema possa incluir, modificar ou excluir informações relevantes para os critérios de validação. Isso viabiliza um controle mais granular e personalizado dos acessos.</w:t>
      </w:r>
    </w:p>
    <w:p w14:paraId="29C73F16">
      <w:r>
        <w:t>A tecnologia de Identificação por Rádio Frequência (RFID) foi selecionada para a validação e controle de acesso de operadores. Seu uso é motivado pelas diversas comodidades que a RFID proporciona, sendo estes, a identificação única que cada chip possui, o que traz segurança na operação; a rapidez na leitura e escrita; a automação do processo de identificação e checagem e o fornecimento de energia ser feito pelas ondas eletromagnéticas, o que descarta o uso de algum tipo de contato físico para manter o chip em funcionamento. A tecnologia não é nova, mas é amplamente utilizada em setores logísticos, fabris, bancos etc., com o intuito de facilitar a armazenagem, conferência de estoque, acompanhamento da linha produtiva e controle de entrada e saída de funcionários. Os chips ainda contam com a possibilidade de gravação em seu curto espaço de armazenamento, permitindo a inserção de diferentes informações, tornando viável que as tags sejam validadas sem a conexão com um banco de dados completo (Boechat, HENRIQUE, ROSA, &amp; CARVALHO, 2010).</w:t>
      </w:r>
    </w:p>
    <w:p w14:paraId="5BCBFBB8">
      <w:r>
        <w:t>Com o modelo básico validado, será integrada a comunicação TCP/IP ao dispositivo, permitindo a sua operação remota e o envio de dados para a plataforma web. Essa integração possibilita o gerenciamento online do sistema, incluindo leitura, edição e auditoria dos cartões RFID. Para possibilitar a comunicação de dados via rede sem fio, o sistema utilizará módulos Wi-Fi compatíveis com o Arduino, como o ESP8266 ou o ESP32, integrados a roteadores que operam com o protocolo TCP/IP. Esses módulos serão de extrema importância para viabilizar a comunicação entre dispositivos e servidores remotos, o envio e recebimento de dados e o acesso remoto do dispositivo físico.</w:t>
      </w:r>
    </w:p>
    <w:p w14:paraId="3B849BAF">
      <w:r>
        <w:t>A API responsável por receber e processar as requisições dos diversos dispositivos IoT será desenvolvida e hospedada em um servidor web dedicado, utilizando tecnologias como Node.js ou Python Flask para garantir alta performance e escalabilidade. O servidor estará localizado em um ambiente de nuvem, preferencialmente AWS ou Google Cloud Platform, proporcionando alta disponibilidade, redundância e acesso global aos dados. A arquitetura da API seguirá o padrão REST (Representational State Transfer), oferecendo endpoints específicos para diferentes tipos de operações: autenticação de dispositivos e usuários; recebimento de dados de identificação RFID; processamento de informações de sinais vitais das pulseiras inteligentes; gerenciamento de status dos equipamentos em tempo real; armazenamento de logs de acesso e eventos de segurança; e geração de relatórios e análises.</w:t>
      </w:r>
    </w:p>
    <w:p w14:paraId="69555A3E">
      <w:r>
        <w:t>O sistema de banco de dados será estruturado em duas camadas: um banco de dados principal PostgreSQL para armazenamento persistente de informações críticas como cadastros de usuários, histórico de acessos, configurações de segurança e relatórios; e um banco de dados em memória Redis para cache de dados em tempo real, como status atual dos equipamentos, localização dos usuários e alertas ativos, garantindo resposta rápida às consultas frequentes. A comunicação entre os dispositivos Arduino e a API será estabelecida através de requisições HTTPS, garantindo criptografia ponta a ponta dos dados transmitidos. Os dispositivos enviarão dados em formato JSON contendo informações como identificação do dispositivo, timestamp, dados do cartão RFID, sinais vitais coletados das pulseiras e status operacional dos equipamentos. A API processará essas informações, validará a autenticidade dos dados, atualizará o banco de dados e retornará respostas adequadas aos dispositivos.</w:t>
      </w:r>
    </w:p>
    <w:p w14:paraId="0A73FC48">
      <w:r>
        <w:t>Para garantir a confiabilidade e disponibilidade do sistema, a API implementará mecanismos de retry automático para falhas de comunicação, sistema de filas para processamento assíncrono de dados em lote, monitoramento contínuo de performance e saúde dos serviços, e backup automático dos dados críticos. Adicionalmente, será implementado um sistema de balanceamento de carga para distribuir as requisições entre múltiplas instâncias da API, garantindo alta disponibilidade mesmo em cenários de alto volume de dados. A interface web para gestores acessará esta mesma API através de requisições AJAX, permitindo visualização em tempo real dos dados, configuração de parâmetros de segurança, geração de relatórios personalizados e gerenciamento de usuários e dispositivos, proporcionando uma experiência integrada e consistente em toda a plataforma.</w:t>
      </w:r>
    </w:p>
    <w:p w14:paraId="6A0BB0DB">
      <w:r>
        <w:t>O uso de pulseiras inteligentes programáveis permitirá o monitoramento em tempo real do operador, com o foco em rastreamento, validação de acesso, monitoramento dos sinais vitais e a disposição de um "botão de emergência", que implicará no envio imediato de uma notificação na plataforma do gestor. O mecanismo de redução de acidentes através das pulseiras inteligentes opera de forma integrada: o rastreamento contínuo da localização permite detectar quando um operador se aproxima de áreas de risco ou equipamentos perigosos, gerando alertas automáticos tanto para o operador quanto para os supervisores; a validação de acesso impede que pessoas não autorizadas ou sem treinamento adequado operem equipamentos específicos, eliminando uma das principais causas de acidentes industriais; o monitoramento dos sinais vitais identifica situações de estresse fisiológico, fadiga excessiva ou condições médicas emergenciais que podem comprometer a capacidade de operação segura, permitindo intervenção preventiva antes que resultem em acidentes; e o botão de emergência garante que, em situações críticas, o operador possa solicitar ajuda imediatamente, reduzindo o tempo de resposta em emergências e minimizando a severidade de possíveis lesões. Adicionalmente, a combinação destes dados permite a criação de um mapa de calor de riscos em tempo real, identificando padrões comportamentais e ambientais que precedem incidentes, possibilitando a implementação de medidas preventivas específicas. O desenvolvimento dessas pulseiras será realizado com uso da linguagem Kotlin, escolhida por sua interoperabilidade com Java e seu uso consolidado em aplicações móveis e dispositivos Android.</w:t>
      </w:r>
    </w:p>
    <w:p w14:paraId="479AD192">
      <w:r>
        <w:t>Em seguida, o sistema será acoplado a um equipamento que simula um equipamento industrial. A fase final do projeto consistirá na validação e testes em ambiente controlado, utilizando ferramentas simuladas no lugar de máquinas industriais reais. Caso haja viabilidade técnica e estrutural, os testes também serão realizados em cenários práticos, como o uso do sistema em uma transpaleteira, aproximando o experimento das condições reais de aplicação.</w:t>
      </w:r>
    </w:p>
    <w:p w14:paraId="19669A05">
      <w:r>
        <w:t>A comprovação da redução de acidentes será realizada por meio de simulação em ambiente controlado, especificamente focando no processo de operação de uma transpaleteira elétrica. Esta escolha justifica-se pela alta incidência de acidentes relacionados ao uso inadequado deste equipamento em ambientes logísticos, incluindo colisões, quedas de materiais, atropelamentos e lesões por esforço repetitivo durante manobras inadequadas. O ambiente de simulação será estruturado em um espaço físico delimitado que reproduz as condições típicas de um armazém logístico, incluindo corredores, prateleiras, áreas de carga e descarga, e obstáculos comuns encontrados nestes ambientes. O equipamento utilizado será uma transpaleteira real, porém operando em velocidade reduzida e com cargas simuladas para garantir a segurança dos participantes durante os testes.</w:t>
      </w:r>
    </w:p>
    <w:p w14:paraId="102F6C57">
      <w:r>
        <w:t>O processo de validação será dividido em duas fases distintas: a primeira fase consistirá na operação da transpaleteira sem o sistema de controle de acesso e monitoramento proposto, onde serão registradas todas as ocorrências de situações de risco, como aproximação inadequada de obstáculos, velocidade excessiva, manobras bruscas e tempo de exposição a riscos. A segunda fase envolverá a operação do mesmo equipamento com o sistema implementado, incluindo o controle de acesso por RFID, monitoramento de sinais vitais através das pulseiras inteligentes e alertas em tempo real. Durante ambas as fases, serão coletados dados quantitativos sobre: número de situações de risco identificadas, tempo de resposta para correção de situações perigosas, frequência cardíaca dos operadores durante manobras críticas, e número de alertas gerados pelo sistema. Adicionalmente, serão registrados dados qualitativos através da observação estruturada do comportamento dos operadores e feedback dos participantes sobre a percepção de segurança.</w:t>
      </w:r>
    </w:p>
    <w:p w14:paraId="154C918E">
      <w:pPr>
        <w:rPr>
          <w:lang w:val="pt-BR"/>
        </w:rPr>
      </w:pPr>
      <w:r>
        <w:t>A comparação entre os resultados das duas fases permitirá quantificar a eficácia do sistema na redução de situações de risco, estabelecendo métricas claras de melhoria na segurança operacional. Os critérios de sucesso incluem: redução de pelo menos 30% no número de situações de risco identificadas, diminuição do tempo de exposição a riscos em pelo menos 25%, e melhoria na resposta fisiológica dos operadores, medida através da estabilização da frequência cardíaca durante operações críticas.</w:t>
      </w:r>
    </w:p>
    <w:p w14:paraId="7ED553D2">
      <w:pPr>
        <w:rPr>
          <w:lang w:val="pt-BR"/>
        </w:rPr>
      </w:pPr>
    </w:p>
    <w:p w14:paraId="52B55D84">
      <w:pPr>
        <w:pStyle w:val="18"/>
        <w:spacing w:after="0"/>
        <w:ind w:firstLine="0"/>
        <w:jc w:val="center"/>
        <w:rPr>
          <w:i w:val="0"/>
          <w:iCs w:val="0"/>
          <w:color w:val="000000" w:themeColor="text1"/>
          <w:sz w:val="24"/>
          <w:szCs w:val="24"/>
          <w14:textFill>
            <w14:solidFill>
              <w14:schemeClr w14:val="tx1"/>
            </w14:solidFill>
          </w14:textFill>
        </w:rPr>
      </w:pPr>
      <w:r>
        <w:rPr>
          <w:i w:val="0"/>
          <w:iCs w:val="0"/>
          <w:color w:val="000000" w:themeColor="text1"/>
          <w:sz w:val="24"/>
          <w:szCs w:val="24"/>
          <w14:textFill>
            <w14:solidFill>
              <w14:schemeClr w14:val="tx1"/>
            </w14:solidFill>
          </w14:textFill>
        </w:rPr>
        <w:t xml:space="preserve">Figura </w:t>
      </w:r>
      <w:r>
        <w:rPr>
          <w:i w:val="0"/>
          <w:iCs w:val="0"/>
          <w:color w:val="000000" w:themeColor="text1"/>
          <w:sz w:val="24"/>
          <w:szCs w:val="24"/>
          <w14:textFill>
            <w14:solidFill>
              <w14:schemeClr w14:val="tx1"/>
            </w14:solidFill>
          </w14:textFill>
        </w:rPr>
        <w:fldChar w:fldCharType="begin"/>
      </w:r>
      <w:r>
        <w:rPr>
          <w:i w:val="0"/>
          <w:iCs w:val="0"/>
          <w:color w:val="000000" w:themeColor="text1"/>
          <w:sz w:val="24"/>
          <w:szCs w:val="24"/>
          <w14:textFill>
            <w14:solidFill>
              <w14:schemeClr w14:val="tx1"/>
            </w14:solidFill>
          </w14:textFill>
        </w:rPr>
        <w:instrText xml:space="preserve"> SEQ Figura \* ARABIC </w:instrText>
      </w:r>
      <w:r>
        <w:rPr>
          <w:i w:val="0"/>
          <w:iCs w:val="0"/>
          <w:color w:val="000000" w:themeColor="text1"/>
          <w:sz w:val="24"/>
          <w:szCs w:val="24"/>
          <w14:textFill>
            <w14:solidFill>
              <w14:schemeClr w14:val="tx1"/>
            </w14:solidFill>
          </w14:textFill>
        </w:rPr>
        <w:fldChar w:fldCharType="separate"/>
      </w:r>
      <w:r>
        <w:rPr>
          <w:i w:val="0"/>
          <w:iCs w:val="0"/>
          <w:color w:val="000000" w:themeColor="text1"/>
          <w:sz w:val="24"/>
          <w:szCs w:val="24"/>
          <w14:textFill>
            <w14:solidFill>
              <w14:schemeClr w14:val="tx1"/>
            </w14:solidFill>
          </w14:textFill>
        </w:rPr>
        <w:t>1</w:t>
      </w:r>
      <w:r>
        <w:rPr>
          <w:i w:val="0"/>
          <w:iCs w:val="0"/>
          <w:color w:val="000000" w:themeColor="text1"/>
          <w:sz w:val="24"/>
          <w:szCs w:val="24"/>
          <w14:textFill>
            <w14:solidFill>
              <w14:schemeClr w14:val="tx1"/>
            </w14:solidFill>
          </w14:textFill>
        </w:rPr>
        <w:fldChar w:fldCharType="end"/>
      </w:r>
      <w:r>
        <w:rPr>
          <w:i w:val="0"/>
          <w:iCs w:val="0"/>
          <w:color w:val="000000" w:themeColor="text1"/>
          <w:sz w:val="24"/>
          <w:szCs w:val="24"/>
          <w14:textFill>
            <w14:solidFill>
              <w14:schemeClr w14:val="tx1"/>
            </w14:solidFill>
          </w14:textFill>
        </w:rPr>
        <w:t>: Diagrama Caso de Uso</w:t>
      </w:r>
    </w:p>
    <w:p w14:paraId="61D4226A">
      <w:pPr>
        <w:ind w:firstLine="0"/>
      </w:pPr>
      <w:r>
        <w:drawing>
          <wp:inline distT="0" distB="0" distL="0" distR="0">
            <wp:extent cx="5762625" cy="3808730"/>
            <wp:effectExtent l="0" t="0" r="9525" b="1270"/>
            <wp:docPr id="169949473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494733" name="Imagem 1"/>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2625" cy="3808730"/>
                    </a:xfrm>
                    <a:prstGeom prst="rect">
                      <a:avLst/>
                    </a:prstGeom>
                  </pic:spPr>
                </pic:pic>
              </a:graphicData>
            </a:graphic>
          </wp:inline>
        </w:drawing>
      </w:r>
    </w:p>
    <w:p w14:paraId="4E56090E">
      <w:pPr>
        <w:ind w:firstLine="0"/>
        <w:jc w:val="center"/>
        <w:rPr>
          <w:lang w:val="pt-BR"/>
        </w:rPr>
      </w:pPr>
      <w:r>
        <w:rPr>
          <w:lang w:val="pt-BR"/>
        </w:rPr>
        <w:t>Fonte: Autoria Própria</w:t>
      </w:r>
    </w:p>
    <w:p w14:paraId="3086EDC8">
      <w:pPr>
        <w:rPr>
          <w:lang w:val="pt-BR"/>
        </w:rPr>
      </w:pPr>
    </w:p>
    <w:p w14:paraId="11C08BE8">
      <w:pPr>
        <w:rPr>
          <w:lang w:val="pt-BR"/>
        </w:rPr>
      </w:pPr>
      <w:r>
        <w:rPr>
          <w:lang w:val="pt-BR"/>
        </w:rPr>
        <w:t>REQUISITOS FUNCIONAIS</w:t>
      </w:r>
    </w:p>
    <w:p w14:paraId="4A6AA2C3">
      <w:pPr>
        <w:rPr>
          <w:lang w:val="pt-BR"/>
        </w:rPr>
      </w:pPr>
    </w:p>
    <w:p w14:paraId="68C589C5">
      <w:pPr>
        <w:rPr>
          <w:lang w:val="pt-BR"/>
        </w:rPr>
      </w:pPr>
      <w:r>
        <w:rPr>
          <w:lang w:val="pt-BR"/>
        </w:rPr>
        <w:t>Autenticação e Cadastro: Permitir que usuários acessem o sistema com suas credenciais e que novos usuários possam ser registrados;</w:t>
      </w:r>
    </w:p>
    <w:p w14:paraId="704B8210">
      <w:r>
        <w:rPr>
          <w:lang w:val="pt-BR"/>
        </w:rPr>
        <w:t>Controle Remoto de Dispositivos: Permitir gerenciar os equipamentos IoT à distância pela plataforma web;</w:t>
      </w:r>
    </w:p>
    <w:p w14:paraId="429853E4">
      <w:r>
        <w:rPr>
          <w:lang w:val="pt-BR"/>
        </w:rPr>
        <w:t>Histórico e Relatórios: Mostrar dados passados e resumos sobre como os equipamentos que foram utilizados;</w:t>
      </w:r>
    </w:p>
    <w:p w14:paraId="40A80DC7">
      <w:r>
        <w:rPr>
          <w:lang w:val="pt-BR"/>
        </w:rPr>
        <w:t>Gerenciamento de Acessos: Permitir administrar quem (operadores) pode usar os equipamentos;</w:t>
      </w:r>
    </w:p>
    <w:p w14:paraId="4DB40900">
      <w:r>
        <w:rPr>
          <w:lang w:val="pt-BR"/>
        </w:rPr>
        <w:t>Status em Tempo Real: Exibir o estado atual dos equipamentos (ligado, desligado e velocidade) na plataforma;</w:t>
      </w:r>
    </w:p>
    <w:p w14:paraId="6C6CCE87">
      <w:r>
        <w:rPr>
          <w:lang w:val="pt-BR"/>
        </w:rPr>
        <w:t>Feedback de Acesso: Informar ao usuário o resultado (sucesso, falha, bloqueio) ao tentar operar um equipamento;</w:t>
      </w:r>
    </w:p>
    <w:p w14:paraId="0CFF6B8A">
      <w:r>
        <w:rPr>
          <w:lang w:val="pt-BR"/>
        </w:rPr>
        <w:t>Localização de Usuários: Mostrar na plataforma onde estão os usuários que utilizam as pulseiras;</w:t>
      </w:r>
    </w:p>
    <w:p w14:paraId="44B1F97B">
      <w:pPr>
        <w:rPr>
          <w:lang w:val="pt-BR"/>
        </w:rPr>
      </w:pPr>
      <w:r>
        <w:rPr>
          <w:lang w:val="pt-BR"/>
        </w:rPr>
        <w:t>Monitoramento de Sinais Vitais: Coletar e exibir informações de saúde dos operadores, como batimentos cardíacos.</w:t>
      </w:r>
    </w:p>
    <w:p w14:paraId="72BFE8A9">
      <w:pPr>
        <w:ind w:firstLine="0"/>
        <w:rPr>
          <w:lang w:val="pt-BR"/>
        </w:rPr>
      </w:pPr>
    </w:p>
    <w:p w14:paraId="3EF309E1">
      <w:pPr>
        <w:rPr>
          <w:lang w:val="pt-BR"/>
        </w:rPr>
      </w:pPr>
      <w:r>
        <w:rPr>
          <w:lang w:val="pt-BR"/>
        </w:rPr>
        <w:t>REQUISITOS NÃO FUNCIONAIS</w:t>
      </w:r>
    </w:p>
    <w:p w14:paraId="7BF6AE76">
      <w:pPr>
        <w:rPr>
          <w:lang w:val="pt-BR"/>
        </w:rPr>
      </w:pPr>
    </w:p>
    <w:p w14:paraId="138645FE">
      <w:pPr>
        <w:rPr>
          <w:lang w:val="pt-BR"/>
        </w:rPr>
      </w:pPr>
      <w:r>
        <w:rPr>
          <w:lang w:val="pt-BR"/>
        </w:rPr>
        <w:t>Velocidade de Sincronização: A troca de informações entre o dispositivo IoT e a plataforma web deve ser rápida.</w:t>
      </w:r>
    </w:p>
    <w:p w14:paraId="5C3D6FC8">
      <w:r>
        <w:rPr>
          <w:lang w:val="pt-BR"/>
        </w:rPr>
        <w:t>Velocidade da Plataforma: O acesso e a navegação na plataforma devem ser rápidos.</w:t>
      </w:r>
    </w:p>
    <w:p w14:paraId="189D918B">
      <w:r>
        <w:rPr>
          <w:lang w:val="pt-BR"/>
        </w:rPr>
        <w:t>Integridade dos Dados: Garantir que os dados armazenados no sistema sejam precisos e não sejam corrompidos ou alterados indevidamente.</w:t>
      </w:r>
    </w:p>
    <w:p w14:paraId="255074B8">
      <w:r>
        <w:rPr>
          <w:lang w:val="pt-BR"/>
        </w:rPr>
        <w:t>Confiabilidade da Localização: A informação de localização dos usuários mostrada na plataforma deve ser confiável e precisa.</w:t>
      </w:r>
    </w:p>
    <w:p w14:paraId="093CE8EF">
      <w:r>
        <w:rPr>
          <w:lang w:val="pt-BR"/>
        </w:rPr>
        <w:t>Segurança dos Dados: Proteger as informações do sistema e dos usuários contra acessos não autorizados ou vazamentos.</w:t>
      </w:r>
    </w:p>
    <w:p w14:paraId="57A08500">
      <w:pPr>
        <w:ind w:firstLine="350" w:firstLineChars="125"/>
        <w:rPr>
          <w:b/>
          <w:color w:val="000000"/>
          <w:sz w:val="28"/>
          <w:szCs w:val="28"/>
          <w:lang w:val="pt-BR"/>
        </w:rPr>
        <w:sectPr>
          <w:headerReference r:id="rId14" w:type="default"/>
          <w:footerReference r:id="rId15" w:type="default"/>
          <w:pgSz w:w="11910" w:h="16850"/>
          <w:pgMar w:top="1701" w:right="1134" w:bottom="1134" w:left="1701" w:header="702" w:footer="0" w:gutter="0"/>
          <w:pgNumType w:start="3"/>
          <w:cols w:space="0" w:num="1"/>
        </w:sectPr>
      </w:pPr>
    </w:p>
    <w:sdt>
      <w:sdtPr>
        <w:rPr>
          <w:b w:val="0"/>
          <w:color w:val="auto"/>
          <w:sz w:val="24"/>
          <w:szCs w:val="24"/>
          <w:lang w:val="pt-BR"/>
        </w:rPr>
        <w:id w:val="444659002"/>
        <w:docPartObj>
          <w:docPartGallery w:val="AutoText"/>
        </w:docPartObj>
      </w:sdtPr>
      <w:sdtEndPr>
        <w:rPr>
          <w:b w:val="0"/>
          <w:color w:val="auto"/>
          <w:sz w:val="24"/>
          <w:szCs w:val="24"/>
          <w:lang w:val="pt-BR"/>
        </w:rPr>
      </w:sdtEndPr>
      <w:sdtContent>
        <w:p w14:paraId="341A3391">
          <w:pPr>
            <w:pStyle w:val="37"/>
            <w:rPr>
              <w:lang w:val="en-US"/>
            </w:rPr>
          </w:pPr>
          <w:bookmarkStart w:id="8" w:name="_1fob9te" w:colFirst="0" w:colLast="0"/>
          <w:bookmarkEnd w:id="8"/>
          <w:bookmarkStart w:id="9" w:name="_Toc1122910161"/>
          <w:r>
            <w:rPr>
              <w:lang w:val="en-US"/>
            </w:rPr>
            <w:t>REFERÊNCIAS</w:t>
          </w:r>
          <w:bookmarkEnd w:id="9"/>
        </w:p>
        <w:p w14:paraId="26371F6F">
          <w:pPr>
            <w:jc w:val="left"/>
          </w:pPr>
          <w:r>
            <w:rPr>
              <w:b/>
              <w:bCs/>
              <w:lang w:val="en-US"/>
            </w:rPr>
            <w:t>GAMMARANO, Rosina.</w:t>
          </w:r>
          <w:r>
            <w:rPr>
              <w:lang w:val="en-US"/>
            </w:rPr>
            <w:t xml:space="preserve"> </w:t>
          </w:r>
          <w:r>
            <w:rPr>
              <w:i/>
              <w:iCs/>
              <w:lang w:val="en-US"/>
            </w:rPr>
            <w:t>Safety in numbers: what labour inspection data tells us.</w:t>
          </w:r>
          <w:r>
            <w:rPr>
              <w:lang w:val="en-US"/>
            </w:rPr>
            <w:t xml:space="preserve"> </w:t>
          </w:r>
          <w:r>
            <w:rPr>
              <w:lang w:val="pt-BR"/>
            </w:rPr>
            <w:t>ILOSTAT, 26 abr. 2024. Disponível em: &lt;https://ilostat.ilo.org/blog/safety-in-numbers-what-labour-inspection-data-tells-us/&gt;.</w:t>
          </w:r>
        </w:p>
        <w:p w14:paraId="4EB14EAF">
          <w:pPr>
            <w:jc w:val="left"/>
          </w:pPr>
          <w:r>
            <w:rPr>
              <w:b/>
              <w:bCs/>
              <w:szCs w:val="24"/>
              <w:lang w:val="pt-BR"/>
            </w:rPr>
            <w:t>ONU NEWS.</w:t>
          </w:r>
          <w:r>
            <w:rPr>
              <w:szCs w:val="24"/>
              <w:lang w:val="pt-BR"/>
            </w:rPr>
            <w:t xml:space="preserve"> </w:t>
          </w:r>
          <w:r>
            <w:rPr>
              <w:i/>
              <w:iCs/>
              <w:szCs w:val="24"/>
              <w:lang w:val="pt-BR"/>
            </w:rPr>
            <w:t>Acidentes de trabalho e mortes acidentais crescem no Brasil em 2021</w:t>
          </w:r>
          <w:r>
            <w:rPr>
              <w:szCs w:val="24"/>
              <w:lang w:val="pt-BR"/>
            </w:rPr>
            <w:t>. Nações Unidas, 25 abr. 2022. Disponível em: &lt;https://news.un.org/pt/story/2022/04/1787092&gt;. Acesso em: 20 maio 2025.</w:t>
          </w:r>
        </w:p>
        <w:p w14:paraId="7B48EA0F">
          <w:pPr>
            <w:jc w:val="left"/>
          </w:pPr>
          <w:r>
            <w:rPr>
              <w:b/>
              <w:bCs/>
              <w:szCs w:val="24"/>
              <w:lang w:val="pt-BR"/>
            </w:rPr>
            <w:t>REVISTA PROTEÇÃO.</w:t>
          </w:r>
          <w:r>
            <w:rPr>
              <w:szCs w:val="24"/>
              <w:lang w:val="pt-BR"/>
            </w:rPr>
            <w:t xml:space="preserve"> </w:t>
          </w:r>
          <w:r>
            <w:rPr>
              <w:i/>
              <w:iCs/>
              <w:szCs w:val="24"/>
              <w:lang w:val="pt-BR"/>
            </w:rPr>
            <w:t>Mundo (2024) - Anuário Brasileiro de Proteção 2024.</w:t>
          </w:r>
          <w:r>
            <w:rPr>
              <w:szCs w:val="24"/>
              <w:lang w:val="pt-BR"/>
            </w:rPr>
            <w:t xml:space="preserve"> Proteção, 20 maio 2025. Disponível em: &lt;https://protecao.com.br/mundo-2024/&gt;. Acesso em: 20 maio 2025.</w:t>
          </w:r>
        </w:p>
        <w:p w14:paraId="68BCACE2">
          <w:pPr>
            <w:jc w:val="left"/>
            <w:rPr>
              <w:szCs w:val="24"/>
              <w:lang w:val="pt-BR"/>
            </w:rPr>
          </w:pPr>
          <w:r>
            <w:rPr>
              <w:b/>
              <w:bCs/>
              <w:szCs w:val="24"/>
              <w:lang w:val="pt-BR"/>
            </w:rPr>
            <w:t>OLIVEIRA, Antonia de Maria Ximenes.</w:t>
          </w:r>
          <w:r>
            <w:rPr>
              <w:szCs w:val="24"/>
              <w:lang w:val="pt-BR"/>
            </w:rPr>
            <w:t xml:space="preserve"> </w:t>
          </w:r>
          <w:r>
            <w:rPr>
              <w:i/>
              <w:iCs/>
              <w:szCs w:val="24"/>
              <w:lang w:val="pt-BR"/>
            </w:rPr>
            <w:t>Acidentes de trabalho na construção civil: responsabilidade do empregador, seus direitos e proteções.</w:t>
          </w:r>
        </w:p>
        <w:sdt>
          <w:sdtPr>
            <w:rPr>
              <w:lang w:val="pt-BR"/>
            </w:rPr>
            <w:id w:val="-573587230"/>
          </w:sdtPr>
          <w:sdtEndPr>
            <w:rPr>
              <w:lang w:val="pt-BR"/>
            </w:rPr>
          </w:sdtEndPr>
          <w:sdtContent>
            <w:p w14:paraId="3B7FAC0A">
              <w:pPr>
                <w:pStyle w:val="41"/>
                <w:ind w:left="720" w:hanging="720"/>
                <w:rPr>
                  <w:lang w:val="en-US"/>
                </w:rPr>
              </w:pPr>
              <w:r>
                <w:rPr>
                  <w:lang w:val="pt-BR"/>
                </w:rPr>
                <w:fldChar w:fldCharType="begin"/>
              </w:r>
              <w:r>
                <w:rPr>
                  <w:lang w:val="en-US"/>
                </w:rPr>
                <w:instrText xml:space="preserve">BIBLIOGRAPHY</w:instrText>
              </w:r>
              <w:r>
                <w:rPr>
                  <w:lang w:val="pt-BR"/>
                </w:rPr>
                <w:fldChar w:fldCharType="separate"/>
              </w:r>
              <w:r>
                <w:rPr>
                  <w:lang w:val="en-US"/>
                </w:rPr>
                <w:t xml:space="preserve">Althubaiti, A. (Setembro de 2022). Sample size determination: A practical guide for health researchers. </w:t>
              </w:r>
              <w:r>
                <w:rPr>
                  <w:i/>
                  <w:iCs/>
                  <w:lang w:val="en-US"/>
                </w:rPr>
                <w:t>Journal of General and Family Medicine</w:t>
              </w:r>
              <w:r>
                <w:rPr>
                  <w:lang w:val="en-US"/>
                </w:rPr>
                <w:t>, p. 7.</w:t>
              </w:r>
            </w:p>
            <w:p w14:paraId="2BF7C271">
              <w:pPr>
                <w:pStyle w:val="41"/>
                <w:ind w:left="720" w:hanging="720"/>
                <w:rPr>
                  <w:lang w:val="pt-BR"/>
                </w:rPr>
              </w:pPr>
              <w:r>
                <w:rPr>
                  <w:lang w:val="en-US"/>
                </w:rPr>
                <w:t xml:space="preserve">Bamidele, A. D., &amp; Charles, A. O. (15 de Novembro de 2020). Workplace and human resource safety monitoring. </w:t>
              </w:r>
              <w:r>
                <w:rPr>
                  <w:i/>
                  <w:iCs/>
                  <w:lang w:val="pt-BR"/>
                </w:rPr>
                <w:t>Artificial Intelligence Research</w:t>
              </w:r>
              <w:r>
                <w:rPr>
                  <w:lang w:val="pt-BR"/>
                </w:rPr>
                <w:t>, p. 11.</w:t>
              </w:r>
            </w:p>
            <w:p w14:paraId="5AEB357A">
              <w:pPr>
                <w:pStyle w:val="41"/>
                <w:ind w:left="720" w:hanging="720"/>
                <w:rPr>
                  <w:lang w:val="pt-BR"/>
                </w:rPr>
              </w:pPr>
              <w:r>
                <w:rPr>
                  <w:lang w:val="pt-BR"/>
                </w:rPr>
                <w:t xml:space="preserve">BARBOSA, E. G., LIMA, G. M., FERNANDES, P. P., &amp; SOUTO, V. S. (2024). LOGÍSTICA, SEGURANÇA NO TRABALHO E SAÚDE. </w:t>
              </w:r>
              <w:r>
                <w:rPr>
                  <w:i/>
                  <w:iCs/>
                  <w:lang w:val="pt-BR"/>
                </w:rPr>
                <w:t>ESCOLA TÉCNICA ESTADUAL</w:t>
              </w:r>
              <w:r>
                <w:rPr>
                  <w:lang w:val="pt-BR"/>
                </w:rPr>
                <w:t>, p. 30.</w:t>
              </w:r>
            </w:p>
            <w:p w14:paraId="0C6F6DA7">
              <w:pPr>
                <w:pStyle w:val="41"/>
                <w:ind w:left="720" w:hanging="720"/>
                <w:rPr>
                  <w:lang w:val="pt-BR"/>
                </w:rPr>
              </w:pPr>
              <w:r>
                <w:rPr>
                  <w:lang w:val="pt-BR"/>
                </w:rPr>
                <w:t xml:space="preserve">Boechat, C., HENRIQUE, D. F., ROSA, S. I., &amp; CARVALHO, R. A. (2010). Tecnologia RFID e seus benefícios. </w:t>
              </w:r>
              <w:r>
                <w:rPr>
                  <w:i/>
                  <w:iCs/>
                  <w:lang w:val="pt-BR"/>
                </w:rPr>
                <w:t>Revista Vértices</w:t>
              </w:r>
              <w:r>
                <w:rPr>
                  <w:lang w:val="pt-BR"/>
                </w:rPr>
                <w:t>.</w:t>
              </w:r>
            </w:p>
            <w:p w14:paraId="29CE5B76">
              <w:pPr>
                <w:pStyle w:val="41"/>
                <w:ind w:left="720" w:hanging="720"/>
                <w:rPr>
                  <w:lang w:val="en-US"/>
                </w:rPr>
              </w:pPr>
              <w:r>
                <w:rPr>
                  <w:lang w:val="pt-BR"/>
                </w:rPr>
                <w:t xml:space="preserve">Cruz, C. F. (2020). OS EFEITOS DA INTERNET DAS COISAS (IoT) EM LINHAS DE MONTAGENS: ESTUDOS DE CASO NA INDUSTRIA DE AUTOPEÇAS. </w:t>
              </w:r>
              <w:r>
                <w:rPr>
                  <w:i/>
                  <w:iCs/>
                  <w:lang w:val="en-US"/>
                </w:rPr>
                <w:t>Universidade Nove de Julho</w:t>
              </w:r>
              <w:r>
                <w:rPr>
                  <w:lang w:val="en-US"/>
                </w:rPr>
                <w:t>.</w:t>
              </w:r>
            </w:p>
            <w:p w14:paraId="6C9795C1">
              <w:pPr>
                <w:pStyle w:val="41"/>
                <w:ind w:left="720" w:hanging="720"/>
                <w:rPr>
                  <w:lang w:val="en-US"/>
                </w:rPr>
              </w:pPr>
              <w:r>
                <w:rPr>
                  <w:lang w:val="en-US"/>
                </w:rPr>
                <w:t xml:space="preserve">El-Abd, M. (2017). A Review of Embedded Systems Education in the Arduino Age: Lessons Learned and Future Directions. </w:t>
              </w:r>
              <w:r>
                <w:rPr>
                  <w:i/>
                  <w:iCs/>
                  <w:lang w:val="en-US"/>
                </w:rPr>
                <w:t>International Journal of Engineering Pedagogy</w:t>
              </w:r>
              <w:r>
                <w:rPr>
                  <w:lang w:val="en-US"/>
                </w:rPr>
                <w:t>.</w:t>
              </w:r>
            </w:p>
            <w:p w14:paraId="0E590FCB">
              <w:pPr>
                <w:pStyle w:val="41"/>
                <w:ind w:left="720" w:hanging="720"/>
                <w:rPr>
                  <w:lang w:val="en-US"/>
                </w:rPr>
              </w:pPr>
              <w:r>
                <w:rPr>
                  <w:lang w:val="en-US"/>
                </w:rPr>
                <w:t xml:space="preserve">Hayat, A., &amp; Morgado-Dias, F. (21 de 07 de 2022). Deep Learning-Based Automatic Safety Helmet Detection. </w:t>
              </w:r>
              <w:r>
                <w:rPr>
                  <w:i/>
                  <w:iCs/>
                  <w:lang w:val="en-US"/>
                </w:rPr>
                <w:t>Applied Sciences</w:t>
              </w:r>
              <w:r>
                <w:rPr>
                  <w:lang w:val="en-US"/>
                </w:rPr>
                <w:t>, p. 14.</w:t>
              </w:r>
            </w:p>
            <w:p w14:paraId="09BF89D5">
              <w:pPr>
                <w:pStyle w:val="41"/>
                <w:ind w:left="720" w:hanging="720"/>
                <w:rPr>
                  <w:lang w:val="pt-BR"/>
                </w:rPr>
              </w:pPr>
              <w:r>
                <w:rPr>
                  <w:lang w:val="en-US"/>
                </w:rPr>
                <w:t xml:space="preserve">Jiang, Y., Chen, W., Zhang, X., Zhang, X., &amp; Yang, G. (11 de Dezembro de 2023). Real-Time Monitoring of Underground Miners’ Status Based on Mine IoT System. </w:t>
              </w:r>
              <w:r>
                <w:rPr>
                  <w:i/>
                  <w:iCs/>
                  <w:lang w:val="pt-BR"/>
                </w:rPr>
                <w:t>MDPI Sensors</w:t>
              </w:r>
              <w:r>
                <w:rPr>
                  <w:lang w:val="pt-BR"/>
                </w:rPr>
                <w:t>, p. 13.</w:t>
              </w:r>
            </w:p>
            <w:p w14:paraId="141774DE">
              <w:pPr>
                <w:pStyle w:val="41"/>
                <w:ind w:left="720" w:hanging="720"/>
                <w:rPr>
                  <w:lang w:val="pt-BR"/>
                </w:rPr>
              </w:pPr>
              <w:r>
                <w:rPr>
                  <w:lang w:val="pt-BR"/>
                </w:rPr>
                <w:t>Jungheinrich. (2025). Acesso em 04 de 2025, disponível em https://www.jungheinrich.com.br/</w:t>
              </w:r>
            </w:p>
            <w:p w14:paraId="62EB1CDF">
              <w:pPr>
                <w:pStyle w:val="41"/>
                <w:ind w:left="720" w:hanging="720"/>
                <w:rPr>
                  <w:lang w:val="en-US"/>
                </w:rPr>
              </w:pPr>
              <w:r>
                <w:rPr>
                  <w:lang w:val="pt-BR"/>
                </w:rPr>
                <w:t xml:space="preserve">Kalinowski, M., Araújo, A. A., &amp; Mendez, D. (Julho de 2024). </w:t>
              </w:r>
              <w:r>
                <w:rPr>
                  <w:lang w:val="en-US"/>
                </w:rPr>
                <w:t xml:space="preserve">Teaching Survey Research in Software Engineering. </w:t>
              </w:r>
              <w:r>
                <w:rPr>
                  <w:i/>
                  <w:iCs/>
                  <w:lang w:val="en-US"/>
                </w:rPr>
                <w:t>ResearchGate</w:t>
              </w:r>
              <w:r>
                <w:rPr>
                  <w:lang w:val="en-US"/>
                </w:rPr>
                <w:t>, p. 27.</w:t>
              </w:r>
            </w:p>
            <w:p w14:paraId="70BF8800">
              <w:pPr>
                <w:pStyle w:val="41"/>
                <w:ind w:left="720" w:hanging="720"/>
                <w:rPr>
                  <w:lang w:val="pt-BR"/>
                </w:rPr>
              </w:pPr>
              <w:r>
                <w:rPr>
                  <w:lang w:val="en-US"/>
                </w:rPr>
                <w:t xml:space="preserve">Khan, I. H., &amp; Javaid, M. (18 de Julho de 2020). Role of Internet of Things (IoT) in Adoption. </w:t>
              </w:r>
              <w:r>
                <w:rPr>
                  <w:i/>
                  <w:iCs/>
                  <w:lang w:val="pt-BR"/>
                </w:rPr>
                <w:t>World Scientific Connect</w:t>
              </w:r>
              <w:r>
                <w:rPr>
                  <w:lang w:val="pt-BR"/>
                </w:rPr>
                <w:t>, p. 19.</w:t>
              </w:r>
            </w:p>
            <w:p w14:paraId="7ED164E7">
              <w:pPr>
                <w:pStyle w:val="41"/>
                <w:ind w:left="720" w:hanging="720"/>
                <w:rPr>
                  <w:lang w:val="en-US"/>
                </w:rPr>
              </w:pPr>
              <w:r>
                <w:rPr>
                  <w:lang w:val="pt-BR"/>
                </w:rPr>
                <w:t xml:space="preserve">KUSMA, V. V. (2020). PROPOSTA DE MODELO DE MATURIDADE DA SEGURANÇA DO TRABALHO. </w:t>
              </w:r>
              <w:r>
                <w:rPr>
                  <w:i/>
                  <w:iCs/>
                  <w:lang w:val="en-US"/>
                </w:rPr>
                <w:t>UNIVERSIDADE TECNOLÓGICA FEDERAL DO PARANÁ</w:t>
              </w:r>
              <w:r>
                <w:rPr>
                  <w:lang w:val="en-US"/>
                </w:rPr>
                <w:t>, p. 119.</w:t>
              </w:r>
            </w:p>
            <w:p w14:paraId="4218EA54">
              <w:pPr>
                <w:pStyle w:val="41"/>
                <w:ind w:left="720" w:hanging="720"/>
                <w:rPr>
                  <w:lang w:val="en-US"/>
                </w:rPr>
              </w:pPr>
              <w:r>
                <w:rPr>
                  <w:lang w:val="en-US"/>
                </w:rPr>
                <w:t xml:space="preserve">LHOTSKA, L. (2020). Application of Industry 4.0 Concept to Health Care. </w:t>
              </w:r>
              <w:r>
                <w:rPr>
                  <w:i/>
                  <w:iCs/>
                  <w:lang w:val="en-US"/>
                </w:rPr>
                <w:t>pHealth</w:t>
              </w:r>
              <w:r>
                <w:rPr>
                  <w:lang w:val="en-US"/>
                </w:rPr>
                <w:t>, p. 15.</w:t>
              </w:r>
            </w:p>
            <w:p w14:paraId="50E26E75">
              <w:pPr>
                <w:pStyle w:val="41"/>
                <w:ind w:left="720" w:hanging="720"/>
                <w:rPr>
                  <w:lang w:val="pt-BR"/>
                </w:rPr>
              </w:pPr>
              <w:r>
                <w:rPr>
                  <w:lang w:val="pt-BR"/>
                </w:rPr>
                <w:t>Logicalis. (2025). Acesso em 04 de 2025, disponível em https://www.la.logicalis.com/pt-br/artigo/casos-de-sucesso/tecnologia-de-monitoramento-para-seguranca-do-trabalho-em-uma-empresa-de</w:t>
              </w:r>
            </w:p>
            <w:p w14:paraId="19B46575">
              <w:pPr>
                <w:pStyle w:val="41"/>
                <w:ind w:left="720" w:hanging="720"/>
                <w:rPr>
                  <w:lang w:val="pt-BR"/>
                </w:rPr>
              </w:pPr>
              <w:r>
                <w:rPr>
                  <w:lang w:val="en-US"/>
                </w:rPr>
                <w:t xml:space="preserve">OIT. (2016). </w:t>
              </w:r>
              <w:r>
                <w:rPr>
                  <w:i/>
                  <w:iCs/>
                  <w:lang w:val="en-US"/>
                </w:rPr>
                <w:t>Global Trends on Occupational Accidentes and Diseases</w:t>
              </w:r>
              <w:r>
                <w:rPr>
                  <w:lang w:val="en-US"/>
                </w:rPr>
                <w:t xml:space="preserve">. </w:t>
              </w:r>
              <w:r>
                <w:rPr>
                  <w:lang w:val="pt-BR"/>
                </w:rPr>
                <w:t>Acesso em 2025, disponível em www.ilo.org/publns</w:t>
              </w:r>
            </w:p>
            <w:p w14:paraId="38A50302">
              <w:pPr>
                <w:pStyle w:val="41"/>
                <w:ind w:left="720" w:hanging="720"/>
                <w:rPr>
                  <w:lang w:val="pt-BR"/>
                </w:rPr>
              </w:pPr>
              <w:r>
                <w:rPr>
                  <w:lang w:val="pt-BR"/>
                </w:rPr>
                <w:t xml:space="preserve">ONU. (2025). </w:t>
              </w:r>
              <w:r>
                <w:rPr>
                  <w:i/>
                  <w:iCs/>
                  <w:lang w:val="pt-BR"/>
                </w:rPr>
                <w:t>Os Objetivos de Desenvolvimento Sustentável no Brasil</w:t>
              </w:r>
              <w:r>
                <w:rPr>
                  <w:lang w:val="pt-BR"/>
                </w:rPr>
                <w:t>. Acesso em Abril de 2025, disponível em https://brasil.un.org/pt-br/sdgs/9</w:t>
              </w:r>
            </w:p>
            <w:p w14:paraId="2D7144D6">
              <w:pPr>
                <w:pStyle w:val="41"/>
                <w:ind w:left="720" w:hanging="720"/>
                <w:rPr>
                  <w:lang w:val="en-US"/>
                </w:rPr>
              </w:pPr>
              <w:r>
                <w:rPr>
                  <w:lang w:val="en-US"/>
                </w:rPr>
                <w:t xml:space="preserve">Rahman, M. M. (2023). Sample Size Determination for Survey Research and non-probability sampling techniques: A review and set of recomendations. </w:t>
              </w:r>
              <w:r>
                <w:rPr>
                  <w:i/>
                  <w:iCs/>
                  <w:lang w:val="en-US"/>
                </w:rPr>
                <w:t>Journal of Entrepreneurship, Business and Economics</w:t>
              </w:r>
              <w:r>
                <w:rPr>
                  <w:lang w:val="en-US"/>
                </w:rPr>
                <w:t>, p. 22.</w:t>
              </w:r>
            </w:p>
            <w:p w14:paraId="6D6A88CD">
              <w:pPr>
                <w:pStyle w:val="41"/>
                <w:ind w:left="720" w:hanging="720"/>
                <w:rPr>
                  <w:lang w:val="en-US"/>
                </w:rPr>
              </w:pPr>
              <w:r>
                <w:rPr>
                  <w:lang w:val="en-US"/>
                </w:rPr>
                <w:t>Still. (2025). Acesso em 04 de 2025, disponível em https://www.still.com.br/sistemas-intralogisticos/gestao-de-frota/fleetmanager.html</w:t>
              </w:r>
            </w:p>
            <w:p w14:paraId="2B0F101E">
              <w:pPr>
                <w:pStyle w:val="41"/>
                <w:ind w:left="720" w:hanging="720"/>
                <w:rPr>
                  <w:lang w:val="pt-BR"/>
                </w:rPr>
              </w:pPr>
              <w:r>
                <w:rPr>
                  <w:lang w:val="pt-BR"/>
                </w:rPr>
                <w:t>Trackfy. (2025). Acesso em 04 de 2025, disponível em https://www.trackfyapp.com.br/blog/segurana-e-controle-de-equipes-em-reas-isoladas-na-indstria-solues-trackfy</w:t>
              </w:r>
            </w:p>
            <w:p w14:paraId="7BEA1B3F">
              <w:pPr>
                <w:pStyle w:val="41"/>
                <w:ind w:left="720" w:hanging="720"/>
                <w:rPr>
                  <w:lang w:val="pt-BR"/>
                </w:rPr>
              </w:pPr>
              <w:r>
                <w:rPr>
                  <w:lang w:val="pt-BR"/>
                </w:rPr>
                <w:t>Ultralytic. (2025). Acesso em 04 de 2025, disponível em https://docs.ultralytics.com/pt</w:t>
              </w:r>
            </w:p>
            <w:p w14:paraId="5F24439C">
              <w:pPr>
                <w:pStyle w:val="41"/>
                <w:ind w:left="720" w:hanging="720"/>
                <w:rPr>
                  <w:lang w:val="pt-BR"/>
                </w:rPr>
              </w:pPr>
              <w:r>
                <w:rPr>
                  <w:lang w:val="pt-BR"/>
                </w:rPr>
                <w:t xml:space="preserve">Wazlawick, R. S. (2014). </w:t>
              </w:r>
              <w:r>
                <w:rPr>
                  <w:i/>
                  <w:iCs/>
                  <w:lang w:val="pt-BR"/>
                </w:rPr>
                <w:t>Metodologia de Pesquisa para Ciência da Computação.</w:t>
              </w:r>
              <w:r>
                <w:rPr>
                  <w:lang w:val="pt-BR"/>
                </w:rPr>
                <w:t xml:space="preserve"> São Paulo: Elsevier Editora Ltda.</w:t>
              </w:r>
            </w:p>
            <w:p w14:paraId="14D608D8">
              <w:pPr>
                <w:spacing w:after="400" w:line="240" w:lineRule="auto"/>
                <w:ind w:firstLine="0"/>
                <w:rPr>
                  <w:lang w:val="pt-BR"/>
                </w:rPr>
              </w:pPr>
              <w:r>
                <w:rPr>
                  <w:b/>
                  <w:bCs/>
                  <w:lang w:val="pt-BR"/>
                </w:rPr>
                <w:fldChar w:fldCharType="end"/>
              </w:r>
            </w:p>
          </w:sdtContent>
        </w:sdt>
      </w:sdtContent>
    </w:sdt>
    <w:sectPr>
      <w:headerReference r:id="rId17" w:type="first"/>
      <w:footerReference r:id="rId19" w:type="first"/>
      <w:headerReference r:id="rId16" w:type="default"/>
      <w:footerReference r:id="rId18" w:type="default"/>
      <w:pgSz w:w="11910" w:h="16850"/>
      <w:pgMar w:top="1701" w:right="1134" w:bottom="1134" w:left="1701" w:header="0" w:footer="0" w:gutter="0"/>
      <w:cols w:space="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0" w:type="auto"/>
      <w:tblInd w:w="0" w:type="dxa"/>
      <w:tblLayout w:type="fixed"/>
      <w:tblCellMar>
        <w:top w:w="0" w:type="dxa"/>
        <w:left w:w="108" w:type="dxa"/>
        <w:bottom w:w="0" w:type="dxa"/>
        <w:right w:w="108" w:type="dxa"/>
      </w:tblCellMar>
    </w:tblPr>
    <w:tblGrid>
      <w:gridCol w:w="3025"/>
      <w:gridCol w:w="3025"/>
      <w:gridCol w:w="3025"/>
    </w:tblGrid>
    <w:tr w14:paraId="6F0253D4">
      <w:tblPrEx>
        <w:tblCellMar>
          <w:top w:w="0" w:type="dxa"/>
          <w:left w:w="108" w:type="dxa"/>
          <w:bottom w:w="0" w:type="dxa"/>
          <w:right w:w="108" w:type="dxa"/>
        </w:tblCellMar>
      </w:tblPrEx>
      <w:trPr>
        <w:trHeight w:val="300" w:hRule="atLeast"/>
      </w:trPr>
      <w:tc>
        <w:tcPr>
          <w:tcW w:w="3025" w:type="dxa"/>
        </w:tcPr>
        <w:p w14:paraId="39B4B60E">
          <w:pPr>
            <w:pStyle w:val="16"/>
            <w:ind w:left="-115"/>
            <w:jc w:val="left"/>
          </w:pPr>
        </w:p>
      </w:tc>
      <w:tc>
        <w:tcPr>
          <w:tcW w:w="3025" w:type="dxa"/>
        </w:tcPr>
        <w:p w14:paraId="23097D43">
          <w:pPr>
            <w:pStyle w:val="16"/>
            <w:jc w:val="center"/>
          </w:pPr>
        </w:p>
      </w:tc>
      <w:tc>
        <w:tcPr>
          <w:tcW w:w="3025" w:type="dxa"/>
        </w:tcPr>
        <w:p w14:paraId="418319A7">
          <w:pPr>
            <w:pStyle w:val="16"/>
            <w:ind w:right="-115"/>
            <w:jc w:val="right"/>
          </w:pPr>
        </w:p>
      </w:tc>
    </w:tr>
  </w:tbl>
  <w:p w14:paraId="7C38C148">
    <w:pPr>
      <w:pStyle w:val="1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3C7004">
    <w:pPr>
      <w:pStyle w:val="1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0" w:type="auto"/>
      <w:tblInd w:w="0" w:type="dxa"/>
      <w:tblLayout w:type="fixed"/>
      <w:tblCellMar>
        <w:top w:w="0" w:type="dxa"/>
        <w:left w:w="108" w:type="dxa"/>
        <w:bottom w:w="0" w:type="dxa"/>
        <w:right w:w="108" w:type="dxa"/>
      </w:tblCellMar>
    </w:tblPr>
    <w:tblGrid>
      <w:gridCol w:w="3025"/>
      <w:gridCol w:w="3025"/>
      <w:gridCol w:w="3025"/>
    </w:tblGrid>
    <w:tr w14:paraId="00D116B4">
      <w:tblPrEx>
        <w:tblCellMar>
          <w:top w:w="0" w:type="dxa"/>
          <w:left w:w="108" w:type="dxa"/>
          <w:bottom w:w="0" w:type="dxa"/>
          <w:right w:w="108" w:type="dxa"/>
        </w:tblCellMar>
      </w:tblPrEx>
      <w:trPr>
        <w:trHeight w:val="300" w:hRule="atLeast"/>
      </w:trPr>
      <w:tc>
        <w:tcPr>
          <w:tcW w:w="3025" w:type="dxa"/>
        </w:tcPr>
        <w:p w14:paraId="57C33B12">
          <w:pPr>
            <w:pStyle w:val="16"/>
            <w:ind w:left="-115"/>
            <w:jc w:val="left"/>
          </w:pPr>
        </w:p>
      </w:tc>
      <w:tc>
        <w:tcPr>
          <w:tcW w:w="3025" w:type="dxa"/>
        </w:tcPr>
        <w:p w14:paraId="7163BD4B">
          <w:pPr>
            <w:pStyle w:val="16"/>
            <w:jc w:val="center"/>
          </w:pPr>
        </w:p>
      </w:tc>
      <w:tc>
        <w:tcPr>
          <w:tcW w:w="3025" w:type="dxa"/>
        </w:tcPr>
        <w:p w14:paraId="7CFE1089">
          <w:pPr>
            <w:pStyle w:val="16"/>
            <w:ind w:right="-115"/>
            <w:jc w:val="right"/>
          </w:pPr>
        </w:p>
      </w:tc>
    </w:tr>
  </w:tbl>
  <w:p w14:paraId="312745E3">
    <w:pPr>
      <w:pStyle w:val="1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0" w:type="auto"/>
      <w:tblInd w:w="0" w:type="dxa"/>
      <w:tblLayout w:type="fixed"/>
      <w:tblCellMar>
        <w:top w:w="0" w:type="dxa"/>
        <w:left w:w="108" w:type="dxa"/>
        <w:bottom w:w="0" w:type="dxa"/>
        <w:right w:w="108" w:type="dxa"/>
      </w:tblCellMar>
    </w:tblPr>
    <w:tblGrid>
      <w:gridCol w:w="3025"/>
      <w:gridCol w:w="3025"/>
      <w:gridCol w:w="3025"/>
    </w:tblGrid>
    <w:tr w14:paraId="09859A5F">
      <w:tblPrEx>
        <w:tblCellMar>
          <w:top w:w="0" w:type="dxa"/>
          <w:left w:w="108" w:type="dxa"/>
          <w:bottom w:w="0" w:type="dxa"/>
          <w:right w:w="108" w:type="dxa"/>
        </w:tblCellMar>
      </w:tblPrEx>
      <w:trPr>
        <w:trHeight w:val="300" w:hRule="atLeast"/>
      </w:trPr>
      <w:tc>
        <w:tcPr>
          <w:tcW w:w="3025" w:type="dxa"/>
        </w:tcPr>
        <w:p w14:paraId="717B83DC">
          <w:pPr>
            <w:pStyle w:val="16"/>
            <w:ind w:left="-115"/>
            <w:jc w:val="left"/>
          </w:pPr>
        </w:p>
      </w:tc>
      <w:tc>
        <w:tcPr>
          <w:tcW w:w="3025" w:type="dxa"/>
        </w:tcPr>
        <w:p w14:paraId="4D43F79E">
          <w:pPr>
            <w:pStyle w:val="16"/>
            <w:jc w:val="center"/>
          </w:pPr>
        </w:p>
      </w:tc>
      <w:tc>
        <w:tcPr>
          <w:tcW w:w="3025" w:type="dxa"/>
        </w:tcPr>
        <w:p w14:paraId="5BBB33CD">
          <w:pPr>
            <w:pStyle w:val="16"/>
            <w:ind w:right="-115"/>
            <w:jc w:val="right"/>
          </w:pPr>
        </w:p>
      </w:tc>
    </w:tr>
  </w:tbl>
  <w:p w14:paraId="066C464D">
    <w:pPr>
      <w:pStyle w:val="17"/>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0" w:type="auto"/>
      <w:tblInd w:w="0" w:type="dxa"/>
      <w:tblLayout w:type="fixed"/>
      <w:tblCellMar>
        <w:top w:w="0" w:type="dxa"/>
        <w:left w:w="108" w:type="dxa"/>
        <w:bottom w:w="0" w:type="dxa"/>
        <w:right w:w="108" w:type="dxa"/>
      </w:tblCellMar>
    </w:tblPr>
    <w:tblGrid>
      <w:gridCol w:w="3025"/>
      <w:gridCol w:w="3025"/>
      <w:gridCol w:w="3025"/>
    </w:tblGrid>
    <w:tr w14:paraId="5DC4057E">
      <w:tblPrEx>
        <w:tblCellMar>
          <w:top w:w="0" w:type="dxa"/>
          <w:left w:w="108" w:type="dxa"/>
          <w:bottom w:w="0" w:type="dxa"/>
          <w:right w:w="108" w:type="dxa"/>
        </w:tblCellMar>
      </w:tblPrEx>
      <w:trPr>
        <w:trHeight w:val="300" w:hRule="atLeast"/>
      </w:trPr>
      <w:tc>
        <w:tcPr>
          <w:tcW w:w="3025" w:type="dxa"/>
        </w:tcPr>
        <w:p w14:paraId="5360BC71">
          <w:pPr>
            <w:pStyle w:val="16"/>
            <w:ind w:left="-115"/>
            <w:jc w:val="left"/>
          </w:pPr>
        </w:p>
      </w:tc>
      <w:tc>
        <w:tcPr>
          <w:tcW w:w="3025" w:type="dxa"/>
        </w:tcPr>
        <w:p w14:paraId="7073604E">
          <w:pPr>
            <w:pStyle w:val="16"/>
            <w:jc w:val="center"/>
          </w:pPr>
        </w:p>
      </w:tc>
      <w:tc>
        <w:tcPr>
          <w:tcW w:w="3025" w:type="dxa"/>
        </w:tcPr>
        <w:p w14:paraId="0D6229C0">
          <w:pPr>
            <w:pStyle w:val="16"/>
            <w:ind w:right="-115"/>
            <w:jc w:val="right"/>
          </w:pPr>
        </w:p>
      </w:tc>
    </w:tr>
  </w:tbl>
  <w:p w14:paraId="6979B70C">
    <w:pPr>
      <w:pStyle w:val="17"/>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0" w:type="auto"/>
      <w:tblInd w:w="0" w:type="dxa"/>
      <w:tblLayout w:type="fixed"/>
      <w:tblCellMar>
        <w:top w:w="0" w:type="dxa"/>
        <w:left w:w="108" w:type="dxa"/>
        <w:bottom w:w="0" w:type="dxa"/>
        <w:right w:w="108" w:type="dxa"/>
      </w:tblCellMar>
    </w:tblPr>
    <w:tblGrid>
      <w:gridCol w:w="3025"/>
      <w:gridCol w:w="3025"/>
      <w:gridCol w:w="3025"/>
    </w:tblGrid>
    <w:tr w14:paraId="04CDDA11">
      <w:trPr>
        <w:trHeight w:val="300" w:hRule="atLeast"/>
      </w:trPr>
      <w:tc>
        <w:tcPr>
          <w:tcW w:w="3025" w:type="dxa"/>
        </w:tcPr>
        <w:p w14:paraId="55C08532">
          <w:pPr>
            <w:pStyle w:val="16"/>
            <w:ind w:left="-115"/>
            <w:jc w:val="left"/>
          </w:pPr>
        </w:p>
      </w:tc>
      <w:tc>
        <w:tcPr>
          <w:tcW w:w="3025" w:type="dxa"/>
        </w:tcPr>
        <w:p w14:paraId="0AC05B70">
          <w:pPr>
            <w:pStyle w:val="16"/>
            <w:jc w:val="center"/>
          </w:pPr>
        </w:p>
      </w:tc>
      <w:tc>
        <w:tcPr>
          <w:tcW w:w="3025" w:type="dxa"/>
        </w:tcPr>
        <w:p w14:paraId="2F32F4B2">
          <w:pPr>
            <w:pStyle w:val="16"/>
            <w:ind w:right="-115"/>
            <w:jc w:val="right"/>
          </w:pPr>
        </w:p>
      </w:tc>
    </w:tr>
  </w:tbl>
  <w:p w14:paraId="5E73FEF8">
    <w:pPr>
      <w:pStyle w:val="17"/>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0" w:type="auto"/>
      <w:tblInd w:w="0" w:type="dxa"/>
      <w:tblLayout w:type="fixed"/>
      <w:tblCellMar>
        <w:top w:w="0" w:type="dxa"/>
        <w:left w:w="108" w:type="dxa"/>
        <w:bottom w:w="0" w:type="dxa"/>
        <w:right w:w="108" w:type="dxa"/>
      </w:tblCellMar>
    </w:tblPr>
    <w:tblGrid>
      <w:gridCol w:w="3025"/>
      <w:gridCol w:w="3025"/>
      <w:gridCol w:w="3025"/>
    </w:tblGrid>
    <w:tr w14:paraId="7D08504C">
      <w:trPr>
        <w:trHeight w:val="300" w:hRule="atLeast"/>
      </w:trPr>
      <w:tc>
        <w:tcPr>
          <w:tcW w:w="3025" w:type="dxa"/>
        </w:tcPr>
        <w:p w14:paraId="1F8371F9">
          <w:pPr>
            <w:pStyle w:val="16"/>
            <w:ind w:left="-115"/>
            <w:jc w:val="left"/>
          </w:pPr>
        </w:p>
      </w:tc>
      <w:tc>
        <w:tcPr>
          <w:tcW w:w="3025" w:type="dxa"/>
        </w:tcPr>
        <w:p w14:paraId="66F0DD45">
          <w:pPr>
            <w:pStyle w:val="16"/>
            <w:jc w:val="center"/>
          </w:pPr>
        </w:p>
      </w:tc>
      <w:tc>
        <w:tcPr>
          <w:tcW w:w="3025" w:type="dxa"/>
        </w:tcPr>
        <w:p w14:paraId="60CF4508">
          <w:pPr>
            <w:pStyle w:val="16"/>
            <w:ind w:right="-115"/>
            <w:jc w:val="right"/>
          </w:pPr>
        </w:p>
      </w:tc>
    </w:tr>
  </w:tbl>
  <w:p w14:paraId="0DB2F2A8">
    <w:pPr>
      <w:pStyle w:val="17"/>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0" w:type="auto"/>
      <w:tblInd w:w="0" w:type="dxa"/>
      <w:tblLayout w:type="fixed"/>
      <w:tblCellMar>
        <w:top w:w="0" w:type="dxa"/>
        <w:left w:w="108" w:type="dxa"/>
        <w:bottom w:w="0" w:type="dxa"/>
        <w:right w:w="108" w:type="dxa"/>
      </w:tblCellMar>
    </w:tblPr>
    <w:tblGrid>
      <w:gridCol w:w="3025"/>
      <w:gridCol w:w="3025"/>
      <w:gridCol w:w="3025"/>
    </w:tblGrid>
    <w:tr w14:paraId="293F22C2">
      <w:tblPrEx>
        <w:tblCellMar>
          <w:top w:w="0" w:type="dxa"/>
          <w:left w:w="108" w:type="dxa"/>
          <w:bottom w:w="0" w:type="dxa"/>
          <w:right w:w="108" w:type="dxa"/>
        </w:tblCellMar>
      </w:tblPrEx>
      <w:trPr>
        <w:trHeight w:val="300" w:hRule="atLeast"/>
      </w:trPr>
      <w:tc>
        <w:tcPr>
          <w:tcW w:w="3025" w:type="dxa"/>
        </w:tcPr>
        <w:p w14:paraId="7FC7895D">
          <w:pPr>
            <w:pStyle w:val="16"/>
            <w:ind w:left="-115"/>
            <w:jc w:val="left"/>
          </w:pPr>
        </w:p>
      </w:tc>
      <w:tc>
        <w:tcPr>
          <w:tcW w:w="3025" w:type="dxa"/>
        </w:tcPr>
        <w:p w14:paraId="1DA883C6">
          <w:pPr>
            <w:pStyle w:val="16"/>
            <w:jc w:val="center"/>
          </w:pPr>
        </w:p>
      </w:tc>
      <w:tc>
        <w:tcPr>
          <w:tcW w:w="3025" w:type="dxa"/>
        </w:tcPr>
        <w:p w14:paraId="018D98DD">
          <w:pPr>
            <w:pStyle w:val="16"/>
            <w:ind w:right="-115"/>
            <w:jc w:val="right"/>
          </w:pPr>
        </w:p>
      </w:tc>
    </w:tr>
  </w:tbl>
  <w:p w14:paraId="0079B59C">
    <w:pPr>
      <w:pStyle w:val="1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2D6509">
    <w:pPr>
      <w:pStyle w:val="16"/>
      <w:jc w:val="right"/>
    </w:pPr>
  </w:p>
  <w:p w14:paraId="6597E67F">
    <w:pPr>
      <w:spacing w:line="14" w:lineRule="auto"/>
      <w:rPr>
        <w:color w:val="000000"/>
        <w:sz w:val="20"/>
        <w:szCs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42CA9C">
    <w:pPr>
      <w:pStyle w:val="1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0" w:type="auto"/>
      <w:tblInd w:w="0" w:type="dxa"/>
      <w:tblLayout w:type="fixed"/>
      <w:tblCellMar>
        <w:top w:w="0" w:type="dxa"/>
        <w:left w:w="108" w:type="dxa"/>
        <w:bottom w:w="0" w:type="dxa"/>
        <w:right w:w="108" w:type="dxa"/>
      </w:tblCellMar>
    </w:tblPr>
    <w:tblGrid>
      <w:gridCol w:w="3025"/>
      <w:gridCol w:w="3025"/>
      <w:gridCol w:w="3025"/>
    </w:tblGrid>
    <w:tr w14:paraId="4E30830F">
      <w:tblPrEx>
        <w:tblCellMar>
          <w:top w:w="0" w:type="dxa"/>
          <w:left w:w="108" w:type="dxa"/>
          <w:bottom w:w="0" w:type="dxa"/>
          <w:right w:w="108" w:type="dxa"/>
        </w:tblCellMar>
      </w:tblPrEx>
      <w:trPr>
        <w:trHeight w:val="300" w:hRule="atLeast"/>
      </w:trPr>
      <w:tc>
        <w:tcPr>
          <w:tcW w:w="3025" w:type="dxa"/>
        </w:tcPr>
        <w:p w14:paraId="60E63114">
          <w:pPr>
            <w:pStyle w:val="16"/>
            <w:ind w:left="-115"/>
            <w:jc w:val="left"/>
          </w:pPr>
        </w:p>
      </w:tc>
      <w:tc>
        <w:tcPr>
          <w:tcW w:w="3025" w:type="dxa"/>
        </w:tcPr>
        <w:p w14:paraId="70F055BA">
          <w:pPr>
            <w:pStyle w:val="16"/>
            <w:jc w:val="center"/>
          </w:pPr>
        </w:p>
      </w:tc>
      <w:tc>
        <w:tcPr>
          <w:tcW w:w="3025" w:type="dxa"/>
        </w:tcPr>
        <w:p w14:paraId="38DC4681">
          <w:pPr>
            <w:pStyle w:val="16"/>
            <w:ind w:right="-115"/>
            <w:jc w:val="right"/>
          </w:pPr>
        </w:p>
      </w:tc>
    </w:tr>
  </w:tbl>
  <w:p w14:paraId="288F05CC">
    <w:pPr>
      <w:pStyle w:val="16"/>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0" w:type="auto"/>
      <w:tblInd w:w="0" w:type="dxa"/>
      <w:tblLayout w:type="fixed"/>
      <w:tblCellMar>
        <w:top w:w="0" w:type="dxa"/>
        <w:left w:w="108" w:type="dxa"/>
        <w:bottom w:w="0" w:type="dxa"/>
        <w:right w:w="108" w:type="dxa"/>
      </w:tblCellMar>
    </w:tblPr>
    <w:tblGrid>
      <w:gridCol w:w="3025"/>
      <w:gridCol w:w="3025"/>
      <w:gridCol w:w="3025"/>
    </w:tblGrid>
    <w:tr w14:paraId="0815D157">
      <w:tblPrEx>
        <w:tblCellMar>
          <w:top w:w="0" w:type="dxa"/>
          <w:left w:w="108" w:type="dxa"/>
          <w:bottom w:w="0" w:type="dxa"/>
          <w:right w:w="108" w:type="dxa"/>
        </w:tblCellMar>
      </w:tblPrEx>
      <w:trPr>
        <w:trHeight w:val="300" w:hRule="atLeast"/>
      </w:trPr>
      <w:tc>
        <w:tcPr>
          <w:tcW w:w="3025" w:type="dxa"/>
        </w:tcPr>
        <w:p w14:paraId="70A54726">
          <w:pPr>
            <w:pStyle w:val="16"/>
            <w:ind w:left="-115"/>
            <w:jc w:val="left"/>
          </w:pPr>
        </w:p>
      </w:tc>
      <w:tc>
        <w:tcPr>
          <w:tcW w:w="3025" w:type="dxa"/>
        </w:tcPr>
        <w:p w14:paraId="0D3697E2">
          <w:pPr>
            <w:pStyle w:val="16"/>
            <w:jc w:val="center"/>
          </w:pPr>
        </w:p>
      </w:tc>
      <w:tc>
        <w:tcPr>
          <w:tcW w:w="3025" w:type="dxa"/>
        </w:tcPr>
        <w:p w14:paraId="236C3877">
          <w:pPr>
            <w:pStyle w:val="16"/>
            <w:ind w:right="-115"/>
            <w:jc w:val="right"/>
          </w:pPr>
        </w:p>
      </w:tc>
    </w:tr>
  </w:tbl>
  <w:p w14:paraId="373E7595">
    <w:pPr>
      <w:pStyle w:val="16"/>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54940678"/>
      <w:docPartObj>
        <w:docPartGallery w:val="AutoText"/>
      </w:docPartObj>
    </w:sdtPr>
    <w:sdtContent>
      <w:p w14:paraId="422BEA88">
        <w:pPr>
          <w:pStyle w:val="16"/>
          <w:jc w:val="right"/>
        </w:pPr>
        <w:r>
          <w:fldChar w:fldCharType="begin"/>
        </w:r>
        <w:r>
          <w:instrText xml:space="preserve">PAGE   \* MERGEFORMAT</w:instrText>
        </w:r>
        <w:r>
          <w:fldChar w:fldCharType="separate"/>
        </w:r>
        <w:r>
          <w:rPr>
            <w:lang w:val="pt-BR"/>
          </w:rPr>
          <w:t>2</w:t>
        </w:r>
        <w:r>
          <w:fldChar w:fldCharType="end"/>
        </w:r>
      </w:p>
    </w:sdtContent>
  </w:sdt>
  <w:p w14:paraId="29D13202">
    <w:pPr>
      <w:spacing w:line="14" w:lineRule="auto"/>
      <w:ind w:firstLine="0"/>
      <w:rPr>
        <w:color w:val="000000"/>
        <w:sz w:val="20"/>
        <w:szCs w:val="20"/>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269E17">
    <w:pPr>
      <w:pStyle w:val="16"/>
      <w:jc w:val="right"/>
    </w:pPr>
  </w:p>
  <w:p w14:paraId="33A38E84">
    <w:pPr>
      <w:spacing w:line="14" w:lineRule="auto"/>
      <w:rPr>
        <w:color w:val="000000"/>
        <w:sz w:val="2"/>
        <w:szCs w:val="2"/>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0" w:type="auto"/>
      <w:tblInd w:w="0" w:type="dxa"/>
      <w:tblLayout w:type="fixed"/>
      <w:tblCellMar>
        <w:top w:w="0" w:type="dxa"/>
        <w:left w:w="108" w:type="dxa"/>
        <w:bottom w:w="0" w:type="dxa"/>
        <w:right w:w="108" w:type="dxa"/>
      </w:tblCellMar>
    </w:tblPr>
    <w:tblGrid>
      <w:gridCol w:w="3025"/>
      <w:gridCol w:w="3025"/>
      <w:gridCol w:w="3025"/>
    </w:tblGrid>
    <w:tr w14:paraId="16E9A65D">
      <w:tblPrEx>
        <w:tblCellMar>
          <w:top w:w="0" w:type="dxa"/>
          <w:left w:w="108" w:type="dxa"/>
          <w:bottom w:w="0" w:type="dxa"/>
          <w:right w:w="108" w:type="dxa"/>
        </w:tblCellMar>
      </w:tblPrEx>
      <w:trPr>
        <w:trHeight w:val="300" w:hRule="atLeast"/>
      </w:trPr>
      <w:tc>
        <w:tcPr>
          <w:tcW w:w="3025" w:type="dxa"/>
        </w:tcPr>
        <w:p w14:paraId="139EF3A3">
          <w:pPr>
            <w:pStyle w:val="16"/>
            <w:ind w:left="-115"/>
            <w:jc w:val="left"/>
          </w:pPr>
        </w:p>
      </w:tc>
      <w:tc>
        <w:tcPr>
          <w:tcW w:w="3025" w:type="dxa"/>
        </w:tcPr>
        <w:p w14:paraId="2FE201C0">
          <w:pPr>
            <w:pStyle w:val="16"/>
            <w:jc w:val="center"/>
          </w:pPr>
        </w:p>
      </w:tc>
      <w:tc>
        <w:tcPr>
          <w:tcW w:w="3025" w:type="dxa"/>
        </w:tcPr>
        <w:p w14:paraId="452ECF68">
          <w:pPr>
            <w:pStyle w:val="16"/>
            <w:ind w:right="-115"/>
            <w:jc w:val="right"/>
          </w:pPr>
        </w:p>
      </w:tc>
    </w:tr>
  </w:tbl>
  <w:p w14:paraId="441C9A5A">
    <w:pPr>
      <w:pStyle w:val="1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8"/>
  <w:bordersDoNotSurroundHeader w:val="0"/>
  <w:bordersDoNotSurroundFooter w:val="0"/>
  <w:documentProtection w:enforcement="0"/>
  <w:defaultTabStop w:val="720"/>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63C4"/>
    <w:rsid w:val="000002ED"/>
    <w:rsid w:val="00004A35"/>
    <w:rsid w:val="00004F05"/>
    <w:rsid w:val="000229E6"/>
    <w:rsid w:val="000240B4"/>
    <w:rsid w:val="0003298F"/>
    <w:rsid w:val="0004386D"/>
    <w:rsid w:val="00044EB4"/>
    <w:rsid w:val="00053A95"/>
    <w:rsid w:val="00056A41"/>
    <w:rsid w:val="00060D0F"/>
    <w:rsid w:val="00077E65"/>
    <w:rsid w:val="000855FA"/>
    <w:rsid w:val="000861A7"/>
    <w:rsid w:val="000863C4"/>
    <w:rsid w:val="00087064"/>
    <w:rsid w:val="00095EE7"/>
    <w:rsid w:val="000A0C98"/>
    <w:rsid w:val="000A2C3D"/>
    <w:rsid w:val="000A553A"/>
    <w:rsid w:val="000B017E"/>
    <w:rsid w:val="000B1A24"/>
    <w:rsid w:val="000B78D4"/>
    <w:rsid w:val="000C5F5B"/>
    <w:rsid w:val="000D290D"/>
    <w:rsid w:val="000D68C0"/>
    <w:rsid w:val="000E14B7"/>
    <w:rsid w:val="000E7923"/>
    <w:rsid w:val="000F4C2E"/>
    <w:rsid w:val="001018BD"/>
    <w:rsid w:val="00103DC1"/>
    <w:rsid w:val="00111990"/>
    <w:rsid w:val="0011382B"/>
    <w:rsid w:val="00113902"/>
    <w:rsid w:val="0012401E"/>
    <w:rsid w:val="001273F5"/>
    <w:rsid w:val="001307A1"/>
    <w:rsid w:val="00132743"/>
    <w:rsid w:val="00141B71"/>
    <w:rsid w:val="00141C8A"/>
    <w:rsid w:val="00144692"/>
    <w:rsid w:val="001470A3"/>
    <w:rsid w:val="0014725C"/>
    <w:rsid w:val="00170CF4"/>
    <w:rsid w:val="00175DDF"/>
    <w:rsid w:val="00181A6A"/>
    <w:rsid w:val="00184350"/>
    <w:rsid w:val="001A11EA"/>
    <w:rsid w:val="001A17BC"/>
    <w:rsid w:val="001A2380"/>
    <w:rsid w:val="001A276C"/>
    <w:rsid w:val="001A3543"/>
    <w:rsid w:val="001B14F8"/>
    <w:rsid w:val="001B6217"/>
    <w:rsid w:val="001C551B"/>
    <w:rsid w:val="001C6A62"/>
    <w:rsid w:val="001D5453"/>
    <w:rsid w:val="001D5500"/>
    <w:rsid w:val="001D6AF2"/>
    <w:rsid w:val="001E3DE0"/>
    <w:rsid w:val="001E6436"/>
    <w:rsid w:val="001F35B4"/>
    <w:rsid w:val="001F5507"/>
    <w:rsid w:val="001F7C27"/>
    <w:rsid w:val="00200E6C"/>
    <w:rsid w:val="002232BA"/>
    <w:rsid w:val="00224054"/>
    <w:rsid w:val="002251C3"/>
    <w:rsid w:val="00230403"/>
    <w:rsid w:val="00230AB5"/>
    <w:rsid w:val="00231F5A"/>
    <w:rsid w:val="0023446D"/>
    <w:rsid w:val="00237FA6"/>
    <w:rsid w:val="00256503"/>
    <w:rsid w:val="00262AAE"/>
    <w:rsid w:val="0027050B"/>
    <w:rsid w:val="00291EA7"/>
    <w:rsid w:val="00294EFA"/>
    <w:rsid w:val="002A1DA2"/>
    <w:rsid w:val="002A523F"/>
    <w:rsid w:val="002A70F4"/>
    <w:rsid w:val="002B68F8"/>
    <w:rsid w:val="002C466A"/>
    <w:rsid w:val="002C534E"/>
    <w:rsid w:val="002C5707"/>
    <w:rsid w:val="002C6CBF"/>
    <w:rsid w:val="002D3517"/>
    <w:rsid w:val="002E6D4C"/>
    <w:rsid w:val="002E74EC"/>
    <w:rsid w:val="002E87A8"/>
    <w:rsid w:val="002F133B"/>
    <w:rsid w:val="0031099D"/>
    <w:rsid w:val="003117B7"/>
    <w:rsid w:val="00311A97"/>
    <w:rsid w:val="00312983"/>
    <w:rsid w:val="00312D76"/>
    <w:rsid w:val="003133E7"/>
    <w:rsid w:val="003145F4"/>
    <w:rsid w:val="00327E06"/>
    <w:rsid w:val="00336574"/>
    <w:rsid w:val="00344988"/>
    <w:rsid w:val="003508D5"/>
    <w:rsid w:val="0036044E"/>
    <w:rsid w:val="00360572"/>
    <w:rsid w:val="003731B8"/>
    <w:rsid w:val="00373C4C"/>
    <w:rsid w:val="0038366C"/>
    <w:rsid w:val="00387CBA"/>
    <w:rsid w:val="00391E72"/>
    <w:rsid w:val="003A0E25"/>
    <w:rsid w:val="003A38BE"/>
    <w:rsid w:val="003B3822"/>
    <w:rsid w:val="003C58CE"/>
    <w:rsid w:val="003C7257"/>
    <w:rsid w:val="003D4277"/>
    <w:rsid w:val="003D5069"/>
    <w:rsid w:val="003E09EE"/>
    <w:rsid w:val="003E5716"/>
    <w:rsid w:val="003F210A"/>
    <w:rsid w:val="003F4A61"/>
    <w:rsid w:val="00403121"/>
    <w:rsid w:val="00405009"/>
    <w:rsid w:val="0041406C"/>
    <w:rsid w:val="0041438B"/>
    <w:rsid w:val="00415851"/>
    <w:rsid w:val="004170F3"/>
    <w:rsid w:val="004358AB"/>
    <w:rsid w:val="004361D3"/>
    <w:rsid w:val="004402AF"/>
    <w:rsid w:val="00440689"/>
    <w:rsid w:val="00441DC4"/>
    <w:rsid w:val="00443C81"/>
    <w:rsid w:val="004448CA"/>
    <w:rsid w:val="00452AD5"/>
    <w:rsid w:val="00464301"/>
    <w:rsid w:val="00470D40"/>
    <w:rsid w:val="00476151"/>
    <w:rsid w:val="00480FFA"/>
    <w:rsid w:val="00485F22"/>
    <w:rsid w:val="00491116"/>
    <w:rsid w:val="004954D9"/>
    <w:rsid w:val="004955AA"/>
    <w:rsid w:val="004A06A2"/>
    <w:rsid w:val="004A21B9"/>
    <w:rsid w:val="004B3C49"/>
    <w:rsid w:val="004E6F4E"/>
    <w:rsid w:val="004F4745"/>
    <w:rsid w:val="00502579"/>
    <w:rsid w:val="005156D1"/>
    <w:rsid w:val="0051658D"/>
    <w:rsid w:val="00521B03"/>
    <w:rsid w:val="0053273D"/>
    <w:rsid w:val="00534887"/>
    <w:rsid w:val="00537873"/>
    <w:rsid w:val="00553895"/>
    <w:rsid w:val="00571872"/>
    <w:rsid w:val="00571DF6"/>
    <w:rsid w:val="00572EA0"/>
    <w:rsid w:val="00581969"/>
    <w:rsid w:val="00584CA3"/>
    <w:rsid w:val="00594642"/>
    <w:rsid w:val="005A1948"/>
    <w:rsid w:val="005B45D0"/>
    <w:rsid w:val="005B5CFA"/>
    <w:rsid w:val="005B7695"/>
    <w:rsid w:val="005C7266"/>
    <w:rsid w:val="005D0A2C"/>
    <w:rsid w:val="005D1B8B"/>
    <w:rsid w:val="005E21BE"/>
    <w:rsid w:val="005E5F9A"/>
    <w:rsid w:val="005F145B"/>
    <w:rsid w:val="005F420D"/>
    <w:rsid w:val="005F5D0C"/>
    <w:rsid w:val="00600ACB"/>
    <w:rsid w:val="00603067"/>
    <w:rsid w:val="006031C7"/>
    <w:rsid w:val="00610215"/>
    <w:rsid w:val="00616240"/>
    <w:rsid w:val="0062117D"/>
    <w:rsid w:val="006264C4"/>
    <w:rsid w:val="00627DD1"/>
    <w:rsid w:val="00627F45"/>
    <w:rsid w:val="00631D61"/>
    <w:rsid w:val="00633A4F"/>
    <w:rsid w:val="00642B9D"/>
    <w:rsid w:val="00646057"/>
    <w:rsid w:val="0066113A"/>
    <w:rsid w:val="00665923"/>
    <w:rsid w:val="006719B6"/>
    <w:rsid w:val="00694B43"/>
    <w:rsid w:val="006C31BB"/>
    <w:rsid w:val="006C3C2C"/>
    <w:rsid w:val="006C473F"/>
    <w:rsid w:val="006C5AA2"/>
    <w:rsid w:val="006D3F24"/>
    <w:rsid w:val="006D4F86"/>
    <w:rsid w:val="006F02D2"/>
    <w:rsid w:val="006F297F"/>
    <w:rsid w:val="006F37C7"/>
    <w:rsid w:val="006F53B0"/>
    <w:rsid w:val="00703171"/>
    <w:rsid w:val="0072108B"/>
    <w:rsid w:val="00721EA2"/>
    <w:rsid w:val="007226B2"/>
    <w:rsid w:val="00724477"/>
    <w:rsid w:val="0073160C"/>
    <w:rsid w:val="0073703A"/>
    <w:rsid w:val="00737363"/>
    <w:rsid w:val="00744AB9"/>
    <w:rsid w:val="00745B7C"/>
    <w:rsid w:val="00745C97"/>
    <w:rsid w:val="0075245B"/>
    <w:rsid w:val="007568A9"/>
    <w:rsid w:val="007738FA"/>
    <w:rsid w:val="00773DC4"/>
    <w:rsid w:val="00775B54"/>
    <w:rsid w:val="00776239"/>
    <w:rsid w:val="00787870"/>
    <w:rsid w:val="00791CC2"/>
    <w:rsid w:val="00793CE2"/>
    <w:rsid w:val="007A1AF6"/>
    <w:rsid w:val="007A7519"/>
    <w:rsid w:val="007B298C"/>
    <w:rsid w:val="007D4944"/>
    <w:rsid w:val="007D4D47"/>
    <w:rsid w:val="007E5B43"/>
    <w:rsid w:val="00800767"/>
    <w:rsid w:val="008056DD"/>
    <w:rsid w:val="008103CC"/>
    <w:rsid w:val="008120F2"/>
    <w:rsid w:val="00814000"/>
    <w:rsid w:val="00815A18"/>
    <w:rsid w:val="00825518"/>
    <w:rsid w:val="00844414"/>
    <w:rsid w:val="00850EC6"/>
    <w:rsid w:val="0085369C"/>
    <w:rsid w:val="008543BE"/>
    <w:rsid w:val="00855223"/>
    <w:rsid w:val="00855A5D"/>
    <w:rsid w:val="0087166B"/>
    <w:rsid w:val="00875EAF"/>
    <w:rsid w:val="00882B1E"/>
    <w:rsid w:val="008869D0"/>
    <w:rsid w:val="00886F84"/>
    <w:rsid w:val="008A0AF4"/>
    <w:rsid w:val="008A22B5"/>
    <w:rsid w:val="008A6AAB"/>
    <w:rsid w:val="008B2AFE"/>
    <w:rsid w:val="008B4422"/>
    <w:rsid w:val="008D3584"/>
    <w:rsid w:val="008D622F"/>
    <w:rsid w:val="008E2DA6"/>
    <w:rsid w:val="008F2C90"/>
    <w:rsid w:val="00906602"/>
    <w:rsid w:val="00914710"/>
    <w:rsid w:val="009163ED"/>
    <w:rsid w:val="0092467E"/>
    <w:rsid w:val="00933956"/>
    <w:rsid w:val="009354AA"/>
    <w:rsid w:val="009435BD"/>
    <w:rsid w:val="00964F61"/>
    <w:rsid w:val="00965198"/>
    <w:rsid w:val="0096639E"/>
    <w:rsid w:val="00980844"/>
    <w:rsid w:val="00980DE1"/>
    <w:rsid w:val="009A048D"/>
    <w:rsid w:val="009A501F"/>
    <w:rsid w:val="009A5396"/>
    <w:rsid w:val="009A5770"/>
    <w:rsid w:val="009B340F"/>
    <w:rsid w:val="009B396F"/>
    <w:rsid w:val="009B416E"/>
    <w:rsid w:val="009B6E62"/>
    <w:rsid w:val="009C2540"/>
    <w:rsid w:val="009C619C"/>
    <w:rsid w:val="009D06CA"/>
    <w:rsid w:val="009D78B5"/>
    <w:rsid w:val="009E5B62"/>
    <w:rsid w:val="009F7C70"/>
    <w:rsid w:val="00A1178A"/>
    <w:rsid w:val="00A1244D"/>
    <w:rsid w:val="00A219C1"/>
    <w:rsid w:val="00A25AE2"/>
    <w:rsid w:val="00A262AE"/>
    <w:rsid w:val="00A37885"/>
    <w:rsid w:val="00A41F13"/>
    <w:rsid w:val="00A449A2"/>
    <w:rsid w:val="00A45696"/>
    <w:rsid w:val="00A504D8"/>
    <w:rsid w:val="00A529E2"/>
    <w:rsid w:val="00A55F1D"/>
    <w:rsid w:val="00A6462D"/>
    <w:rsid w:val="00A823F0"/>
    <w:rsid w:val="00A916A8"/>
    <w:rsid w:val="00AB02BB"/>
    <w:rsid w:val="00AB7B3B"/>
    <w:rsid w:val="00AD1379"/>
    <w:rsid w:val="00AD4BFD"/>
    <w:rsid w:val="00AD4DC4"/>
    <w:rsid w:val="00AD5F6E"/>
    <w:rsid w:val="00AE3A1B"/>
    <w:rsid w:val="00AE4CAA"/>
    <w:rsid w:val="00AF24A0"/>
    <w:rsid w:val="00AF2CBF"/>
    <w:rsid w:val="00B07E47"/>
    <w:rsid w:val="00B13742"/>
    <w:rsid w:val="00B16471"/>
    <w:rsid w:val="00B20561"/>
    <w:rsid w:val="00B22616"/>
    <w:rsid w:val="00B368D3"/>
    <w:rsid w:val="00B46F23"/>
    <w:rsid w:val="00B521A1"/>
    <w:rsid w:val="00B522F3"/>
    <w:rsid w:val="00B570DD"/>
    <w:rsid w:val="00B5766C"/>
    <w:rsid w:val="00B619B1"/>
    <w:rsid w:val="00B83E84"/>
    <w:rsid w:val="00B94EAF"/>
    <w:rsid w:val="00BB3F9F"/>
    <w:rsid w:val="00BC1482"/>
    <w:rsid w:val="00BD47AF"/>
    <w:rsid w:val="00BE1E59"/>
    <w:rsid w:val="00BE5628"/>
    <w:rsid w:val="00BE601C"/>
    <w:rsid w:val="00BF1693"/>
    <w:rsid w:val="00BF16D2"/>
    <w:rsid w:val="00BF2F00"/>
    <w:rsid w:val="00BF3D56"/>
    <w:rsid w:val="00BF3EF5"/>
    <w:rsid w:val="00BF7CC5"/>
    <w:rsid w:val="00C07026"/>
    <w:rsid w:val="00C13CA6"/>
    <w:rsid w:val="00C1647F"/>
    <w:rsid w:val="00C3225B"/>
    <w:rsid w:val="00C3369B"/>
    <w:rsid w:val="00C35E26"/>
    <w:rsid w:val="00C411C5"/>
    <w:rsid w:val="00C44D13"/>
    <w:rsid w:val="00C50EEB"/>
    <w:rsid w:val="00C56DAF"/>
    <w:rsid w:val="00C575F8"/>
    <w:rsid w:val="00C617FE"/>
    <w:rsid w:val="00C63321"/>
    <w:rsid w:val="00C6680A"/>
    <w:rsid w:val="00C66CBE"/>
    <w:rsid w:val="00C67146"/>
    <w:rsid w:val="00C75251"/>
    <w:rsid w:val="00C7557D"/>
    <w:rsid w:val="00C80134"/>
    <w:rsid w:val="00C85F1B"/>
    <w:rsid w:val="00C861E3"/>
    <w:rsid w:val="00C9355D"/>
    <w:rsid w:val="00CA5272"/>
    <w:rsid w:val="00CB3BE7"/>
    <w:rsid w:val="00CB4E94"/>
    <w:rsid w:val="00CC1468"/>
    <w:rsid w:val="00CC6EEA"/>
    <w:rsid w:val="00CE0848"/>
    <w:rsid w:val="00CE1F86"/>
    <w:rsid w:val="00CE3090"/>
    <w:rsid w:val="00D04476"/>
    <w:rsid w:val="00D07921"/>
    <w:rsid w:val="00D152C0"/>
    <w:rsid w:val="00D16A82"/>
    <w:rsid w:val="00D250F0"/>
    <w:rsid w:val="00D303D8"/>
    <w:rsid w:val="00D34EA7"/>
    <w:rsid w:val="00D4011A"/>
    <w:rsid w:val="00D45E1D"/>
    <w:rsid w:val="00D4764A"/>
    <w:rsid w:val="00D47EAE"/>
    <w:rsid w:val="00D5015D"/>
    <w:rsid w:val="00D74F48"/>
    <w:rsid w:val="00D91D86"/>
    <w:rsid w:val="00D91DDA"/>
    <w:rsid w:val="00D93559"/>
    <w:rsid w:val="00D97023"/>
    <w:rsid w:val="00DA3126"/>
    <w:rsid w:val="00DA3330"/>
    <w:rsid w:val="00DB04C7"/>
    <w:rsid w:val="00DB0F4D"/>
    <w:rsid w:val="00DC1771"/>
    <w:rsid w:val="00DC318E"/>
    <w:rsid w:val="00DC67F3"/>
    <w:rsid w:val="00DC6C1B"/>
    <w:rsid w:val="00DE6A2C"/>
    <w:rsid w:val="00E0186C"/>
    <w:rsid w:val="00E04FE4"/>
    <w:rsid w:val="00E17CDC"/>
    <w:rsid w:val="00E24A21"/>
    <w:rsid w:val="00E25A6C"/>
    <w:rsid w:val="00E26A86"/>
    <w:rsid w:val="00E27E2C"/>
    <w:rsid w:val="00E30B37"/>
    <w:rsid w:val="00E31153"/>
    <w:rsid w:val="00E35688"/>
    <w:rsid w:val="00E35D50"/>
    <w:rsid w:val="00E36E97"/>
    <w:rsid w:val="00E37CAB"/>
    <w:rsid w:val="00E41C92"/>
    <w:rsid w:val="00E41FE9"/>
    <w:rsid w:val="00E43296"/>
    <w:rsid w:val="00E434B8"/>
    <w:rsid w:val="00E4683E"/>
    <w:rsid w:val="00E50110"/>
    <w:rsid w:val="00E55213"/>
    <w:rsid w:val="00E5546D"/>
    <w:rsid w:val="00E65B04"/>
    <w:rsid w:val="00E66B24"/>
    <w:rsid w:val="00E752CD"/>
    <w:rsid w:val="00E92BB8"/>
    <w:rsid w:val="00EA0123"/>
    <w:rsid w:val="00EA30A2"/>
    <w:rsid w:val="00EA576D"/>
    <w:rsid w:val="00EA687B"/>
    <w:rsid w:val="00EB16BB"/>
    <w:rsid w:val="00EB31E0"/>
    <w:rsid w:val="00EC3678"/>
    <w:rsid w:val="00EC4A45"/>
    <w:rsid w:val="00ED45A7"/>
    <w:rsid w:val="00ED7561"/>
    <w:rsid w:val="00EF5FFB"/>
    <w:rsid w:val="00F008DA"/>
    <w:rsid w:val="00F03387"/>
    <w:rsid w:val="00F1577A"/>
    <w:rsid w:val="00F17E04"/>
    <w:rsid w:val="00F20892"/>
    <w:rsid w:val="00F2147D"/>
    <w:rsid w:val="00F25710"/>
    <w:rsid w:val="00F25B8B"/>
    <w:rsid w:val="00F3014F"/>
    <w:rsid w:val="00F37029"/>
    <w:rsid w:val="00F72C4C"/>
    <w:rsid w:val="00F80ECF"/>
    <w:rsid w:val="00F82089"/>
    <w:rsid w:val="00F8501E"/>
    <w:rsid w:val="00F91881"/>
    <w:rsid w:val="00F92794"/>
    <w:rsid w:val="00F9616D"/>
    <w:rsid w:val="00FA06AF"/>
    <w:rsid w:val="00FA1BBC"/>
    <w:rsid w:val="00FB19BD"/>
    <w:rsid w:val="00FB66DB"/>
    <w:rsid w:val="00FD3BC3"/>
    <w:rsid w:val="00FD4CCE"/>
    <w:rsid w:val="028849FE"/>
    <w:rsid w:val="0463FD44"/>
    <w:rsid w:val="0553A399"/>
    <w:rsid w:val="055E6017"/>
    <w:rsid w:val="058DA16C"/>
    <w:rsid w:val="0685B108"/>
    <w:rsid w:val="071D208A"/>
    <w:rsid w:val="08B9E1F4"/>
    <w:rsid w:val="08E3705C"/>
    <w:rsid w:val="090C9DF1"/>
    <w:rsid w:val="0977DFCA"/>
    <w:rsid w:val="0AD97A99"/>
    <w:rsid w:val="0B3BF122"/>
    <w:rsid w:val="0C1F1926"/>
    <w:rsid w:val="0D0DF532"/>
    <w:rsid w:val="0D27BD33"/>
    <w:rsid w:val="0EDEA55F"/>
    <w:rsid w:val="0F1B8197"/>
    <w:rsid w:val="101EFC85"/>
    <w:rsid w:val="10B910CF"/>
    <w:rsid w:val="11A2D9DD"/>
    <w:rsid w:val="11CE559C"/>
    <w:rsid w:val="11F43A4C"/>
    <w:rsid w:val="1257819C"/>
    <w:rsid w:val="138C2212"/>
    <w:rsid w:val="14DBCB7F"/>
    <w:rsid w:val="1557D25E"/>
    <w:rsid w:val="155A686E"/>
    <w:rsid w:val="166B9148"/>
    <w:rsid w:val="16BA0C16"/>
    <w:rsid w:val="18C18F66"/>
    <w:rsid w:val="1A13D0FB"/>
    <w:rsid w:val="1B6D1742"/>
    <w:rsid w:val="1B7F1B29"/>
    <w:rsid w:val="1CB37281"/>
    <w:rsid w:val="1D821FDE"/>
    <w:rsid w:val="1D9B4E19"/>
    <w:rsid w:val="1E3C14CE"/>
    <w:rsid w:val="1F00296A"/>
    <w:rsid w:val="1F5F44DC"/>
    <w:rsid w:val="1F8145A5"/>
    <w:rsid w:val="20690836"/>
    <w:rsid w:val="20C7079C"/>
    <w:rsid w:val="21DDBDCE"/>
    <w:rsid w:val="2307CC0B"/>
    <w:rsid w:val="2357F0B9"/>
    <w:rsid w:val="2366EE8F"/>
    <w:rsid w:val="249C5C1C"/>
    <w:rsid w:val="2516CBC2"/>
    <w:rsid w:val="275DCF7E"/>
    <w:rsid w:val="28341D31"/>
    <w:rsid w:val="29BA6BF0"/>
    <w:rsid w:val="2C2C4313"/>
    <w:rsid w:val="2D2954D9"/>
    <w:rsid w:val="2DCCEB6A"/>
    <w:rsid w:val="2DDD7678"/>
    <w:rsid w:val="2E4F53B3"/>
    <w:rsid w:val="2F1A6280"/>
    <w:rsid w:val="2F333C64"/>
    <w:rsid w:val="2F759F36"/>
    <w:rsid w:val="3034FDB2"/>
    <w:rsid w:val="30605BF1"/>
    <w:rsid w:val="30B3438E"/>
    <w:rsid w:val="31EB9D0C"/>
    <w:rsid w:val="326F3091"/>
    <w:rsid w:val="33150991"/>
    <w:rsid w:val="3375AAD5"/>
    <w:rsid w:val="3481767A"/>
    <w:rsid w:val="35E5A848"/>
    <w:rsid w:val="35F2FA87"/>
    <w:rsid w:val="36A36720"/>
    <w:rsid w:val="36EBC58D"/>
    <w:rsid w:val="38BAB93B"/>
    <w:rsid w:val="38F8322B"/>
    <w:rsid w:val="3989465B"/>
    <w:rsid w:val="39A08B30"/>
    <w:rsid w:val="3A49FBBC"/>
    <w:rsid w:val="3A61072E"/>
    <w:rsid w:val="3AC36259"/>
    <w:rsid w:val="3BDCF19C"/>
    <w:rsid w:val="3CB9C88E"/>
    <w:rsid w:val="3CBD3F38"/>
    <w:rsid w:val="3CF77620"/>
    <w:rsid w:val="3D0CDA9B"/>
    <w:rsid w:val="3D173DA6"/>
    <w:rsid w:val="3DF8D0D9"/>
    <w:rsid w:val="408D5EEC"/>
    <w:rsid w:val="443EB483"/>
    <w:rsid w:val="467E3C8E"/>
    <w:rsid w:val="46FCE6A4"/>
    <w:rsid w:val="47AF09A1"/>
    <w:rsid w:val="4845EB54"/>
    <w:rsid w:val="491D32B3"/>
    <w:rsid w:val="4A5D53EC"/>
    <w:rsid w:val="4C6599F0"/>
    <w:rsid w:val="4D2CDB3A"/>
    <w:rsid w:val="4DD352AC"/>
    <w:rsid w:val="4DE0AB08"/>
    <w:rsid w:val="4DE81FE6"/>
    <w:rsid w:val="4E96323B"/>
    <w:rsid w:val="4EC3777B"/>
    <w:rsid w:val="4F8ABFE9"/>
    <w:rsid w:val="51118F7A"/>
    <w:rsid w:val="513BFB05"/>
    <w:rsid w:val="52C9B893"/>
    <w:rsid w:val="5364F5FB"/>
    <w:rsid w:val="53805749"/>
    <w:rsid w:val="53DC3F8E"/>
    <w:rsid w:val="54192630"/>
    <w:rsid w:val="5764949A"/>
    <w:rsid w:val="5D038ADD"/>
    <w:rsid w:val="5ECF7272"/>
    <w:rsid w:val="5F123965"/>
    <w:rsid w:val="5F3E6B94"/>
    <w:rsid w:val="6098AAA3"/>
    <w:rsid w:val="60C95F9E"/>
    <w:rsid w:val="6191C703"/>
    <w:rsid w:val="64CF8209"/>
    <w:rsid w:val="657B55BF"/>
    <w:rsid w:val="65B81B87"/>
    <w:rsid w:val="6749EA92"/>
    <w:rsid w:val="67D3A51C"/>
    <w:rsid w:val="68F23222"/>
    <w:rsid w:val="6B46E49F"/>
    <w:rsid w:val="6B714171"/>
    <w:rsid w:val="6B88DAAF"/>
    <w:rsid w:val="6C4434DB"/>
    <w:rsid w:val="6C53DBC1"/>
    <w:rsid w:val="6CB2AF8A"/>
    <w:rsid w:val="6DDDADD5"/>
    <w:rsid w:val="6E5C5228"/>
    <w:rsid w:val="6F177DAD"/>
    <w:rsid w:val="6F679498"/>
    <w:rsid w:val="6F9FD98D"/>
    <w:rsid w:val="70AF6F72"/>
    <w:rsid w:val="70D3F48E"/>
    <w:rsid w:val="71586636"/>
    <w:rsid w:val="7288B70E"/>
    <w:rsid w:val="740F240A"/>
    <w:rsid w:val="74849F71"/>
    <w:rsid w:val="74DCBC15"/>
    <w:rsid w:val="74F6F046"/>
    <w:rsid w:val="75F39184"/>
    <w:rsid w:val="77DF5393"/>
    <w:rsid w:val="7879C68B"/>
    <w:rsid w:val="78A5E1AB"/>
    <w:rsid w:val="7A476861"/>
    <w:rsid w:val="7A64226D"/>
    <w:rsid w:val="7C40A71C"/>
    <w:rsid w:val="7C49FA1D"/>
    <w:rsid w:val="7C5F9CAA"/>
    <w:rsid w:val="7D190F6E"/>
    <w:rsid w:val="7D72708A"/>
    <w:rsid w:val="7D933DCB"/>
    <w:rsid w:val="7E9D3F53"/>
    <w:rsid w:val="7F9B19A8"/>
    <w:rsid w:val="7FEDEF2B"/>
  </w:rsids>
  <m:mathPr>
    <m:mathFont m:val="Cambria Math"/>
    <m:brkBin m:val="before"/>
    <m:brkBinSub m:val="--"/>
    <m:smallFrac m:val="0"/>
    <m:dispDef/>
    <m:lMargin m:val="0"/>
    <m:rMargin m:val="0"/>
    <m:defJc m:val="centerGroup"/>
    <m:wrapIndent m:val="1440"/>
    <m:intLim m:val="subSup"/>
    <m:naryLim m:val="undOvr"/>
  </m:mathPr>
  <w:themeFontLang w:val="pt-BR"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34" w:semiHidden="0" w:name="List Paragraph"/>
  </w:latentStyles>
  <w:style w:type="paragraph" w:default="1" w:styleId="1">
    <w:name w:val="Normal"/>
    <w:qFormat/>
    <w:uiPriority w:val="0"/>
    <w:pPr>
      <w:widowControl w:val="0"/>
      <w:spacing w:line="360" w:lineRule="auto"/>
      <w:ind w:firstLine="709"/>
      <w:jc w:val="both"/>
    </w:pPr>
    <w:rPr>
      <w:rFonts w:ascii="Times New Roman" w:hAnsi="Times New Roman" w:eastAsia="Times New Roman" w:cs="Times New Roman"/>
      <w:sz w:val="24"/>
      <w:szCs w:val="22"/>
      <w:lang w:val="pt-PT" w:eastAsia="pt-BR" w:bidi="ar-SA"/>
    </w:rPr>
  </w:style>
  <w:style w:type="paragraph" w:styleId="2">
    <w:name w:val="heading 1"/>
    <w:basedOn w:val="1"/>
    <w:next w:val="1"/>
    <w:link w:val="40"/>
    <w:qFormat/>
    <w:uiPriority w:val="9"/>
    <w:pPr>
      <w:keepNext/>
      <w:keepLines/>
      <w:spacing w:before="480" w:after="120"/>
      <w:outlineLvl w:val="0"/>
    </w:pPr>
    <w:rPr>
      <w:b/>
      <w:sz w:val="48"/>
      <w:szCs w:val="48"/>
    </w:rPr>
  </w:style>
  <w:style w:type="paragraph" w:styleId="3">
    <w:name w:val="heading 2"/>
    <w:basedOn w:val="1"/>
    <w:next w:val="1"/>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Strong"/>
    <w:basedOn w:val="8"/>
    <w:qFormat/>
    <w:uiPriority w:val="22"/>
    <w:rPr>
      <w:b/>
      <w:bCs/>
    </w:rPr>
  </w:style>
  <w:style w:type="character" w:styleId="11">
    <w:name w:val="annotation reference"/>
    <w:basedOn w:val="8"/>
    <w:semiHidden/>
    <w:unhideWhenUsed/>
    <w:uiPriority w:val="99"/>
    <w:rPr>
      <w:sz w:val="16"/>
      <w:szCs w:val="16"/>
    </w:rPr>
  </w:style>
  <w:style w:type="character" w:styleId="12">
    <w:name w:val="Hyperlink"/>
    <w:basedOn w:val="8"/>
    <w:unhideWhenUsed/>
    <w:qFormat/>
    <w:uiPriority w:val="99"/>
    <w:rPr>
      <w:color w:val="0000FF" w:themeColor="hyperlink"/>
      <w:u w:val="single"/>
      <w14:textFill>
        <w14:solidFill>
          <w14:schemeClr w14:val="hlink"/>
        </w14:solidFill>
      </w14:textFill>
    </w:rPr>
  </w:style>
  <w:style w:type="paragraph" w:styleId="13">
    <w:name w:val="annotation text"/>
    <w:basedOn w:val="1"/>
    <w:link w:val="45"/>
    <w:semiHidden/>
    <w:unhideWhenUsed/>
    <w:uiPriority w:val="99"/>
    <w:pPr>
      <w:spacing w:line="240" w:lineRule="auto"/>
    </w:pPr>
    <w:rPr>
      <w:sz w:val="20"/>
      <w:szCs w:val="20"/>
    </w:rPr>
  </w:style>
  <w:style w:type="paragraph" w:styleId="14">
    <w:name w:val="Title"/>
    <w:basedOn w:val="1"/>
    <w:next w:val="1"/>
    <w:qFormat/>
    <w:uiPriority w:val="10"/>
    <w:pPr>
      <w:keepNext/>
      <w:keepLines/>
      <w:spacing w:before="480" w:after="120"/>
    </w:pPr>
    <w:rPr>
      <w:b/>
      <w:sz w:val="72"/>
      <w:szCs w:val="72"/>
    </w:rPr>
  </w:style>
  <w:style w:type="paragraph" w:styleId="15">
    <w:name w:val="Normal (Web)"/>
    <w:semiHidden/>
    <w:unhideWhenUsed/>
    <w:qFormat/>
    <w:uiPriority w:val="99"/>
    <w:pPr>
      <w:spacing w:beforeAutospacing="1" w:afterAutospacing="1"/>
    </w:pPr>
    <w:rPr>
      <w:rFonts w:ascii="Times New Roman" w:hAnsi="Times New Roman" w:eastAsia="SimSun" w:cs="Times New Roman"/>
      <w:szCs w:val="24"/>
      <w:lang w:val="en-US" w:eastAsia="zh-CN" w:bidi="ar-SA"/>
    </w:rPr>
  </w:style>
  <w:style w:type="paragraph" w:styleId="16">
    <w:name w:val="header"/>
    <w:basedOn w:val="1"/>
    <w:link w:val="35"/>
    <w:unhideWhenUsed/>
    <w:qFormat/>
    <w:uiPriority w:val="99"/>
    <w:pPr>
      <w:tabs>
        <w:tab w:val="center" w:pos="4252"/>
        <w:tab w:val="right" w:pos="8504"/>
      </w:tabs>
    </w:pPr>
  </w:style>
  <w:style w:type="paragraph" w:styleId="17">
    <w:name w:val="footer"/>
    <w:basedOn w:val="1"/>
    <w:link w:val="36"/>
    <w:unhideWhenUsed/>
    <w:qFormat/>
    <w:uiPriority w:val="99"/>
    <w:pPr>
      <w:tabs>
        <w:tab w:val="center" w:pos="4252"/>
        <w:tab w:val="right" w:pos="8504"/>
      </w:tabs>
    </w:pPr>
  </w:style>
  <w:style w:type="paragraph" w:styleId="18">
    <w:name w:val="caption"/>
    <w:basedOn w:val="1"/>
    <w:next w:val="1"/>
    <w:unhideWhenUsed/>
    <w:qFormat/>
    <w:uiPriority w:val="35"/>
    <w:pPr>
      <w:spacing w:after="200" w:line="240" w:lineRule="auto"/>
    </w:pPr>
    <w:rPr>
      <w:i/>
      <w:iCs/>
      <w:color w:val="1F497D" w:themeColor="text2"/>
      <w:sz w:val="18"/>
      <w:szCs w:val="18"/>
      <w14:textFill>
        <w14:solidFill>
          <w14:schemeClr w14:val="tx2"/>
        </w14:solidFill>
      </w14:textFill>
    </w:rPr>
  </w:style>
  <w:style w:type="paragraph" w:styleId="19">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20">
    <w:name w:val="toc 1"/>
    <w:basedOn w:val="1"/>
    <w:next w:val="1"/>
    <w:autoRedefine/>
    <w:unhideWhenUsed/>
    <w:uiPriority w:val="39"/>
    <w:pPr>
      <w:spacing w:after="100"/>
    </w:pPr>
  </w:style>
  <w:style w:type="table" w:styleId="21">
    <w:name w:val="Table Grid"/>
    <w:basedOn w:val="9"/>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22">
    <w:name w:val="Table Normal1"/>
    <w:qFormat/>
    <w:uiPriority w:val="0"/>
    <w:tblPr>
      <w:tblCellMar>
        <w:top w:w="0" w:type="dxa"/>
        <w:left w:w="0" w:type="dxa"/>
        <w:bottom w:w="0" w:type="dxa"/>
        <w:right w:w="0" w:type="dxa"/>
      </w:tblCellMar>
    </w:tblPr>
  </w:style>
  <w:style w:type="table" w:customStyle="1" w:styleId="23">
    <w:name w:val="_Style 12"/>
    <w:basedOn w:val="22"/>
    <w:qFormat/>
    <w:uiPriority w:val="0"/>
  </w:style>
  <w:style w:type="table" w:customStyle="1" w:styleId="24">
    <w:name w:val="_Style 13"/>
    <w:basedOn w:val="22"/>
    <w:qFormat/>
    <w:uiPriority w:val="0"/>
  </w:style>
  <w:style w:type="table" w:customStyle="1" w:styleId="25">
    <w:name w:val="_Style 14"/>
    <w:basedOn w:val="22"/>
    <w:qFormat/>
    <w:uiPriority w:val="0"/>
    <w:tblPr>
      <w:tblCellMar>
        <w:left w:w="70" w:type="dxa"/>
        <w:right w:w="70" w:type="dxa"/>
      </w:tblCellMar>
    </w:tblPr>
  </w:style>
  <w:style w:type="table" w:customStyle="1" w:styleId="26">
    <w:name w:val="_Style 15"/>
    <w:basedOn w:val="22"/>
    <w:qFormat/>
    <w:uiPriority w:val="0"/>
    <w:tblPr>
      <w:tblCellMar>
        <w:left w:w="70" w:type="dxa"/>
        <w:right w:w="70" w:type="dxa"/>
      </w:tblCellMar>
    </w:tblPr>
  </w:style>
  <w:style w:type="table" w:customStyle="1" w:styleId="27">
    <w:name w:val="_Style 16"/>
    <w:basedOn w:val="22"/>
    <w:qFormat/>
    <w:uiPriority w:val="0"/>
    <w:tblPr>
      <w:tblCellMar>
        <w:left w:w="70" w:type="dxa"/>
        <w:right w:w="70" w:type="dxa"/>
      </w:tblCellMar>
    </w:tblPr>
  </w:style>
  <w:style w:type="table" w:customStyle="1" w:styleId="28">
    <w:name w:val="_Style 17"/>
    <w:basedOn w:val="22"/>
    <w:qFormat/>
    <w:uiPriority w:val="0"/>
    <w:tblPr>
      <w:tblCellMar>
        <w:left w:w="70" w:type="dxa"/>
        <w:right w:w="70" w:type="dxa"/>
      </w:tblCellMar>
    </w:tblPr>
  </w:style>
  <w:style w:type="table" w:customStyle="1" w:styleId="29">
    <w:name w:val="_Style 18"/>
    <w:basedOn w:val="22"/>
    <w:qFormat/>
    <w:uiPriority w:val="0"/>
    <w:tblPr>
      <w:tblCellMar>
        <w:top w:w="15" w:type="dxa"/>
        <w:left w:w="70" w:type="dxa"/>
        <w:right w:w="70" w:type="dxa"/>
      </w:tblCellMar>
    </w:tblPr>
  </w:style>
  <w:style w:type="table" w:customStyle="1" w:styleId="30">
    <w:name w:val="_Style 19"/>
    <w:basedOn w:val="22"/>
    <w:qFormat/>
    <w:uiPriority w:val="0"/>
  </w:style>
  <w:style w:type="table" w:customStyle="1" w:styleId="31">
    <w:name w:val="_Style 20"/>
    <w:basedOn w:val="22"/>
    <w:qFormat/>
    <w:uiPriority w:val="0"/>
  </w:style>
  <w:style w:type="table" w:customStyle="1" w:styleId="32">
    <w:name w:val="_Style 21"/>
    <w:basedOn w:val="22"/>
    <w:qFormat/>
    <w:uiPriority w:val="0"/>
    <w:tblPr>
      <w:tblCellMar>
        <w:top w:w="100" w:type="dxa"/>
        <w:left w:w="100" w:type="dxa"/>
        <w:bottom w:w="100" w:type="dxa"/>
        <w:right w:w="100" w:type="dxa"/>
      </w:tblCellMar>
    </w:tblPr>
  </w:style>
  <w:style w:type="table" w:customStyle="1" w:styleId="33">
    <w:name w:val="_Style 22"/>
    <w:basedOn w:val="22"/>
    <w:qFormat/>
    <w:uiPriority w:val="0"/>
    <w:tblPr>
      <w:tblCellMar>
        <w:top w:w="100" w:type="dxa"/>
        <w:left w:w="100" w:type="dxa"/>
        <w:bottom w:w="100" w:type="dxa"/>
        <w:right w:w="100" w:type="dxa"/>
      </w:tblCellMar>
    </w:tblPr>
  </w:style>
  <w:style w:type="character" w:customStyle="1" w:styleId="34">
    <w:name w:val="Menção Pendente1"/>
    <w:basedOn w:val="8"/>
    <w:semiHidden/>
    <w:unhideWhenUsed/>
    <w:qFormat/>
    <w:uiPriority w:val="99"/>
    <w:rPr>
      <w:color w:val="605E5C"/>
      <w:shd w:val="clear" w:color="auto" w:fill="E1DFDD"/>
    </w:rPr>
  </w:style>
  <w:style w:type="character" w:customStyle="1" w:styleId="35">
    <w:name w:val="Cabeçalho Char"/>
    <w:basedOn w:val="8"/>
    <w:link w:val="16"/>
    <w:qFormat/>
    <w:uiPriority w:val="99"/>
  </w:style>
  <w:style w:type="character" w:customStyle="1" w:styleId="36">
    <w:name w:val="Rodapé Char"/>
    <w:basedOn w:val="8"/>
    <w:link w:val="17"/>
    <w:qFormat/>
    <w:uiPriority w:val="99"/>
  </w:style>
  <w:style w:type="paragraph" w:customStyle="1" w:styleId="37">
    <w:name w:val="Titulo N1"/>
    <w:link w:val="38"/>
    <w:qFormat/>
    <w:uiPriority w:val="0"/>
    <w:pPr>
      <w:spacing w:after="1134"/>
      <w:jc w:val="center"/>
      <w:outlineLvl w:val="0"/>
    </w:pPr>
    <w:rPr>
      <w:rFonts w:ascii="Times New Roman" w:hAnsi="Times New Roman" w:eastAsia="Times New Roman" w:cs="Times New Roman"/>
      <w:b/>
      <w:color w:val="000000"/>
      <w:sz w:val="28"/>
      <w:szCs w:val="22"/>
      <w:lang w:val="pt-PT" w:eastAsia="pt-BR" w:bidi="ar-SA"/>
    </w:rPr>
  </w:style>
  <w:style w:type="character" w:customStyle="1" w:styleId="38">
    <w:name w:val="Titulo N1 Char"/>
    <w:basedOn w:val="8"/>
    <w:link w:val="37"/>
    <w:uiPriority w:val="0"/>
    <w:rPr>
      <w:rFonts w:eastAsia="Times New Roman"/>
      <w:b/>
      <w:color w:val="000000"/>
      <w:sz w:val="28"/>
      <w:szCs w:val="22"/>
      <w:lang w:val="pt-PT"/>
    </w:rPr>
  </w:style>
  <w:style w:type="character" w:customStyle="1" w:styleId="39">
    <w:name w:val="Unresolved Mention"/>
    <w:basedOn w:val="8"/>
    <w:semiHidden/>
    <w:unhideWhenUsed/>
    <w:uiPriority w:val="99"/>
    <w:rPr>
      <w:color w:val="605E5C"/>
      <w:shd w:val="clear" w:color="auto" w:fill="E1DFDD"/>
    </w:rPr>
  </w:style>
  <w:style w:type="character" w:customStyle="1" w:styleId="40">
    <w:name w:val="Título 1 Char"/>
    <w:basedOn w:val="8"/>
    <w:link w:val="2"/>
    <w:uiPriority w:val="9"/>
    <w:rPr>
      <w:rFonts w:eastAsia="Times New Roman"/>
      <w:b/>
      <w:sz w:val="48"/>
      <w:szCs w:val="48"/>
      <w:lang w:val="pt-PT"/>
    </w:rPr>
  </w:style>
  <w:style w:type="paragraph" w:customStyle="1" w:styleId="41">
    <w:name w:val="Bibliography"/>
    <w:basedOn w:val="1"/>
    <w:next w:val="1"/>
    <w:unhideWhenUsed/>
    <w:uiPriority w:val="37"/>
  </w:style>
  <w:style w:type="paragraph" w:customStyle="1" w:styleId="42">
    <w:name w:val="Capa"/>
    <w:basedOn w:val="1"/>
    <w:link w:val="43"/>
    <w:qFormat/>
    <w:uiPriority w:val="0"/>
    <w:pPr>
      <w:spacing w:line="240" w:lineRule="auto"/>
      <w:ind w:firstLine="0"/>
      <w:jc w:val="center"/>
    </w:pPr>
    <w:rPr>
      <w:color w:val="000000"/>
      <w:sz w:val="28"/>
    </w:rPr>
  </w:style>
  <w:style w:type="character" w:customStyle="1" w:styleId="43">
    <w:name w:val="Capa Char"/>
    <w:basedOn w:val="8"/>
    <w:link w:val="42"/>
    <w:uiPriority w:val="0"/>
    <w:rPr>
      <w:rFonts w:eastAsia="Times New Roman"/>
      <w:color w:val="000000"/>
      <w:sz w:val="28"/>
      <w:szCs w:val="22"/>
      <w:lang w:val="pt-PT"/>
    </w:rPr>
  </w:style>
  <w:style w:type="paragraph" w:styleId="44">
    <w:name w:val="List Paragraph"/>
    <w:basedOn w:val="1"/>
    <w:qFormat/>
    <w:uiPriority w:val="34"/>
    <w:pPr>
      <w:ind w:left="720"/>
      <w:contextualSpacing/>
    </w:pPr>
  </w:style>
  <w:style w:type="character" w:customStyle="1" w:styleId="45">
    <w:name w:val="Texto de comentário Char"/>
    <w:basedOn w:val="8"/>
    <w:link w:val="13"/>
    <w:semiHidden/>
    <w:uiPriority w:val="99"/>
    <w:rPr>
      <w:rFonts w:eastAsia="Times New Roman"/>
      <w:lang w:val="pt-PT"/>
    </w:rPr>
  </w:style>
  <w:style w:type="paragraph" w:customStyle="1" w:styleId="46">
    <w:name w:val="whitespace-normal"/>
    <w:basedOn w:val="1"/>
    <w:uiPriority w:val="0"/>
    <w:pPr>
      <w:widowControl/>
      <w:spacing w:before="100" w:beforeAutospacing="1" w:after="100" w:afterAutospacing="1" w:line="240" w:lineRule="auto"/>
      <w:ind w:firstLine="0"/>
      <w:jc w:val="left"/>
    </w:pPr>
    <w:rPr>
      <w:szCs w:val="24"/>
      <w:lang w:val="pt-BR"/>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image" Target="media/image1.png"/><Relationship Id="rId20"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oter" Target="footer8.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header" Target="header6.xml"/><Relationship Id="rId15" Type="http://schemas.openxmlformats.org/officeDocument/2006/relationships/footer" Target="footer6.xml"/><Relationship Id="rId14" Type="http://schemas.openxmlformats.org/officeDocument/2006/relationships/header" Target="header5.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BNT_Author.XSL" StyleName="ABNT NBR 6023:2002*" Version="1">
  <b:Source>
    <b:Tag>Org16</b:Tag>
    <b:SourceType>InternetSite</b:SourceType>
    <b:Guid>{3B5E460C-C15B-420B-9886-C51850995E42}</b:Guid>
    <b:Author>
      <b:Author>
        <b:Corporate>OIT</b:Corporate>
      </b:Author>
    </b:Author>
    <b:Title>Global Trends on Occupational Accidentes and Diseases</b:Title>
    <b:Year>2016</b:Year>
    <b:YearAccessed>2025</b:YearAccessed>
    <b:URL>www.ilo.org/publns</b:URL>
    <b:RefOrder>2</b:RefOrder>
  </b:Source>
  <b:Source>
    <b:Tag>Ade20</b:Tag>
    <b:SourceType>ArticleInAPeriodical</b:SourceType>
    <b:Guid>{E3CA5EB2-4D0B-4FF6-A47F-134917615002}</b:Guid>
    <b:Title> Workplace and human resource safety monitoring</b:Title>
    <b:Year>2020</b:Year>
    <b:City>Ota</b:City>
    <b:Author>
      <b:Author>
        <b:NameList>
          <b:Person>
            <b:Last>Bamidele</b:Last>
            <b:First>Adewole</b:First>
            <b:Middle>David</b:Middle>
          </b:Person>
          <b:Person>
            <b:Last>Charles</b:Last>
            <b:First>Akinyokun</b:First>
            <b:Middle>Oluwole</b:Middle>
          </b:Person>
        </b:NameList>
      </b:Author>
    </b:Author>
    <b:PeriodicalTitle>Artificial Intelligence Research</b:PeriodicalTitle>
    <b:Month>Novembro</b:Month>
    <b:Day>15</b:Day>
    <b:Pages>11</b:Pages>
    <b:StandardNumber>ISSN 1927-6974</b:StandardNumber>
    <b:RefOrder>1</b:RefOrder>
  </b:Source>
  <b:Source>
    <b:Tag>BAR</b:Tag>
    <b:SourceType>ArticleInAPeriodical</b:SourceType>
    <b:Guid>{220243DC-6667-4660-B463-8CE521298038}</b:Guid>
    <b:Author>
      <b:Author>
        <b:NameList>
          <b:Person>
            <b:Last>BARBOSA</b:Last>
            <b:First>EDSON</b:First>
            <b:Middle>GONÇALVES</b:Middle>
          </b:Person>
          <b:Person>
            <b:Last>LIMA</b:Last>
            <b:First>GUSTAVO</b:First>
            <b:Middle>MARQUES DE</b:Middle>
          </b:Person>
          <b:Person>
            <b:Last>FERNANDES</b:Last>
            <b:First>PRISCILA</b:First>
            <b:Middle>PEREIRA</b:Middle>
          </b:Person>
          <b:Person>
            <b:Last>SOUTO</b:Last>
            <b:First>VINICIUS</b:First>
            <b:Middle>SILVA DE OLIVEIRA</b:Middle>
          </b:Person>
        </b:NameList>
      </b:Author>
    </b:Author>
    <b:Title>LOGÍSTICA, SEGURANÇA NO TRABALHO E SAÚDE</b:Title>
    <b:PeriodicalTitle>ESCOLA TÉCNICA ESTADUAL</b:PeriodicalTitle>
    <b:City>Piracicaba</b:City>
    <b:Year>2024</b:Year>
    <b:Pages>30</b:Pages>
    <b:RefOrder>15</b:RefOrder>
  </b:Source>
  <b:Source>
    <b:Tag>Aha22</b:Tag>
    <b:SourceType>ArticleInAPeriodical</b:SourceType>
    <b:Guid>{944E9DDB-A522-4502-A62B-FFDF03AD3297}</b:Guid>
    <b:Author>
      <b:Author>
        <b:NameList>
          <b:Person>
            <b:Last>Hayat</b:Last>
            <b:First>Ahatsham</b:First>
          </b:Person>
          <b:Person>
            <b:Last>Morgado-Dias</b:Last>
            <b:First>Fernando</b:First>
          </b:Person>
        </b:NameList>
      </b:Author>
    </b:Author>
    <b:Title> Deep Learning-Based Automatic Safety Helmet Detection</b:Title>
    <b:PeriodicalTitle>Applied Sciences</b:PeriodicalTitle>
    <b:City>Funchal, Portugal</b:City>
    <b:Year>2022</b:Year>
    <b:Month>07</b:Month>
    <b:Day>21</b:Day>
    <b:Pages>14</b:Pages>
    <b:StandardNumber>ISSN 2076-3417</b:StandardNumber>
    <b:RefOrder>3</b:RefOrder>
  </b:Source>
  <b:Source>
    <b:Tag>Yuf23</b:Tag>
    <b:SourceType>ArticleInAPeriodical</b:SourceType>
    <b:Guid>{75ECC5C4-FF92-469C-AAD7-391581585FAB}</b:Guid>
    <b:Author>
      <b:Author>
        <b:NameList>
          <b:Person>
            <b:Last>Jiang</b:Last>
            <b:First>Yufeng</b:First>
          </b:Person>
          <b:Person>
            <b:Last>Chen</b:Last>
            <b:First>Wei</b:First>
          </b:Person>
          <b:Person>
            <b:Last>Zhang</b:Last>
            <b:First>Xue</b:First>
          </b:Person>
          <b:Person>
            <b:Last>Zhang</b:Last>
            <b:First>Xuejun</b:First>
          </b:Person>
          <b:Person>
            <b:Last>Yang</b:Last>
            <b:First>Guowei</b:First>
          </b:Person>
        </b:NameList>
      </b:Author>
    </b:Author>
    <b:Title> Real-Time Monitoring of Underground Miners’ Status Based on Mine IoT System</b:Title>
    <b:PeriodicalTitle>MDPI Sensors</b:PeriodicalTitle>
    <b:City>Pequim, China</b:City>
    <b:Year>2023</b:Year>
    <b:Month>Dezembro</b:Month>
    <b:Day>11</b:Day>
    <b:Pages>13</b:Pages>
    <b:StandardNumber>ISSN 1424-8220</b:StandardNumber>
    <b:RefOrder>16</b:RefOrder>
  </b:Source>
  <b:Source>
    <b:Tag>Ibr20</b:Tag>
    <b:SourceType>ArticleInAPeriodical</b:SourceType>
    <b:Guid>{7674BBCD-4AEA-43D5-987B-DB0958EB6C3B}</b:Guid>
    <b:Title>Role of Internet of Things (IoT) in Adoption</b:Title>
    <b:Year>2020</b:Year>
    <b:Author>
      <b:Author>
        <b:NameList>
          <b:Person>
            <b:Last>Khan</b:Last>
            <b:First>Ibrahim</b:First>
            <b:Middle>Haleem</b:Middle>
          </b:Person>
          <b:Person>
            <b:Last>Javaid</b:Last>
            <b:First>Mohd.</b:First>
          </b:Person>
        </b:NameList>
      </b:Author>
    </b:Author>
    <b:PeriodicalTitle>World Scientific Connect</b:PeriodicalTitle>
    <b:Month>Julho</b:Month>
    <b:Day>18</b:Day>
    <b:Pages>19</b:Pages>
    <b:RefOrder>5</b:RefOrder>
  </b:Source>
  <b:Source>
    <b:Tag>VER20</b:Tag>
    <b:SourceType>ArticleInAPeriodical</b:SourceType>
    <b:Guid>{392CC52B-B45F-4E04-8E1E-836D62BE7F83}</b:Guid>
    <b:Author>
      <b:Author>
        <b:NameList>
          <b:Person>
            <b:Last>KUSMA</b:Last>
            <b:First>VERÔNICA</b:First>
            <b:Middle>VENTURINI</b:Middle>
          </b:Person>
        </b:NameList>
      </b:Author>
    </b:Author>
    <b:Title>PROPOSTA DE MODELO DE MATURIDADE DA SEGURANÇA DO TRABALHO</b:Title>
    <b:PeriodicalTitle>UNIVERSIDADE TECNOLÓGICA FEDERAL DO PARANÁ</b:PeriodicalTitle>
    <b:City>PONTA GROSSA</b:City>
    <b:Year>2020</b:Year>
    <b:Pages>119</b:Pages>
    <b:RefOrder>6</b:RefOrder>
  </b:Source>
  <b:Source>
    <b:Tag>Len20</b:Tag>
    <b:SourceType>ArticleInAPeriodical</b:SourceType>
    <b:Guid>{273654A0-6E65-4862-B48C-C164F2BFF99A}</b:Guid>
    <b:Author>
      <b:Author>
        <b:NameList>
          <b:Person>
            <b:Last>LHOTSKA</b:Last>
            <b:First>Lenka</b:First>
          </b:Person>
        </b:NameList>
      </b:Author>
    </b:Author>
    <b:Title> Application of Industry 4.0 Concept to Health Care</b:Title>
    <b:PeriodicalTitle>pHealth</b:PeriodicalTitle>
    <b:Year>2020</b:Year>
    <b:Pages>15</b:Pages>
    <b:RefOrder>4</b:RefOrder>
  </b:Source>
  <b:Source>
    <b:Tag>Rau14</b:Tag>
    <b:SourceType>Book</b:SourceType>
    <b:Guid>{E1FA0030-CF62-49E3-BEF9-0FAD99575EA5}</b:Guid>
    <b:Title>Metodologia de Pesquisa para Ciência da Computação</b:Title>
    <b:Year>2014</b:Year>
    <b:City>São Paulo</b:City>
    <b:Publisher>Elsevier Editora Ltda</b:Publisher>
    <b:Author>
      <b:Author>
        <b:NameList>
          <b:Person>
            <b:Last>Wazlawick</b:Last>
            <b:First>Raul</b:First>
            <b:Middle>Sidnei</b:Middle>
          </b:Person>
        </b:NameList>
      </b:Author>
    </b:Author>
    <b:RefOrder>9</b:RefOrder>
  </b:Source>
  <b:Source>
    <b:Tag>Mar24</b:Tag>
    <b:SourceType>ArticleInAPeriodical</b:SourceType>
    <b:Guid>{C85EAE04-490E-47BB-8E51-8059353D9182}</b:Guid>
    <b:Title>Teaching Survey Research in Software Engineering</b:Title>
    <b:Year>2024</b:Year>
    <b:Author>
      <b:Author>
        <b:NameList>
          <b:Person>
            <b:Last>Kalinowski</b:Last>
            <b:First>Marcos</b:First>
          </b:Person>
          <b:Person>
            <b:Last>Araújo</b:Last>
            <b:First>Allysson</b:First>
            <b:Middle>Allex</b:Middle>
          </b:Person>
          <b:Person>
            <b:Last>Mendez</b:Last>
            <b:First>Daniel</b:First>
          </b:Person>
        </b:NameList>
      </b:Author>
    </b:Author>
    <b:PeriodicalTitle>ResearchGate</b:PeriodicalTitle>
    <b:Month>Julho</b:Month>
    <b:Pages>27</b:Pages>
    <b:RefOrder>10</b:RefOrder>
  </b:Source>
  <b:Source>
    <b:Tag>MdM23</b:Tag>
    <b:SourceType>ArticleInAPeriodical</b:SourceType>
    <b:Guid>{E3122757-EC37-4D4C-99FD-15B0D261B6A0}</b:Guid>
    <b:Author>
      <b:Author>
        <b:NameList>
          <b:Person>
            <b:Last>Rahman</b:Last>
            <b:First>Md.</b:First>
            <b:Middle>Mizanur</b:Middle>
          </b:Person>
        </b:NameList>
      </b:Author>
    </b:Author>
    <b:Title>Sample Size Determination for Survey Research and non-probability sampling techniques: A review and set of recomendations</b:Title>
    <b:PeriodicalTitle>Journal of Entrepreneurship, Business and Economics</b:PeriodicalTitle>
    <b:Year>2023</b:Year>
    <b:Pages>22</b:Pages>
    <b:RefOrder>11</b:RefOrder>
  </b:Source>
  <b:Source>
    <b:Tag>Ala22</b:Tag>
    <b:SourceType>ArticleInAPeriodical</b:SourceType>
    <b:Guid>{B02F21A5-8A82-4019-B693-B7DCAE70C65E}</b:Guid>
    <b:Author>
      <b:Author>
        <b:NameList>
          <b:Person>
            <b:Last>Althubaiti</b:Last>
            <b:First>Alaa</b:First>
          </b:Person>
        </b:NameList>
      </b:Author>
    </b:Author>
    <b:Title>Sample size determination: A practical guide for health researchers</b:Title>
    <b:PeriodicalTitle>Journal of General and Family Medicine</b:PeriodicalTitle>
    <b:Year>2022</b:Year>
    <b:Month>Setembro</b:Month>
    <b:Pages>7</b:Pages>
    <b:RefOrder>12</b:RefOrder>
  </b:Source>
  <b:Source>
    <b:Tag>Moh17</b:Tag>
    <b:SourceType>ArticleInAPeriodical</b:SourceType>
    <b:Guid>{AC3EB8F0-D6DF-4687-931E-1B221304348C}</b:Guid>
    <b:Author>
      <b:Author>
        <b:NameList>
          <b:Person>
            <b:Last>El-Abd</b:Last>
            <b:First>Mohammed</b:First>
          </b:Person>
        </b:NameList>
      </b:Author>
    </b:Author>
    <b:Title>A Review of Embedded Systems Education in the Arduino Age: Lessons Learned and Future Directions</b:Title>
    <b:PeriodicalTitle>International Journal of Engineering Pedagogy</b:PeriodicalTitle>
    <b:Year>2017</b:Year>
    <b:RefOrder>13</b:RefOrder>
  </b:Source>
  <b:Source>
    <b:Tag>SEU10</b:Tag>
    <b:SourceType>ArticleInAPeriodical</b:SourceType>
    <b:Guid>{9EBD1275-0826-4938-A195-5FA530C0EE22}</b:Guid>
    <b:Author>
      <b:Author>
        <b:NameList>
          <b:Person>
            <b:Last>Boechat</b:Last>
            <b:First>Claudia</b:First>
          </b:Person>
          <b:Person>
            <b:Last>HENRIQUE</b:Last>
            <b:First>Daniele</b:First>
            <b:Middle>Fontes</b:Middle>
          </b:Person>
          <b:Person>
            <b:Last>ROSA</b:Last>
            <b:First>Sérgio</b:First>
            <b:Middle>Inácio da</b:Middle>
          </b:Person>
          <b:Person>
            <b:Last>CARVALHO</b:Last>
            <b:First>Rogério</b:First>
            <b:Middle>Atem de.</b:Middle>
          </b:Person>
        </b:NameList>
      </b:Author>
    </b:Author>
    <b:Title>Tecnologia RFID e seus benefícios</b:Title>
    <b:PeriodicalTitle>Revista Vértices</b:PeriodicalTitle>
    <b:Year>2010</b:Year>
    <b:RefOrder>14</b:RefOrder>
  </b:Source>
  <b:Source>
    <b:Tag>ONU25</b:Tag>
    <b:SourceType>InternetSite</b:SourceType>
    <b:Guid>{4D470E7D-5711-4903-BE87-5DC15667CFFB}</b:Guid>
    <b:Title>Os Objetivos de Desenvolvimento Sustentável no Brasil</b:Title>
    <b:Year>2025</b:Year>
    <b:Pages>1</b:Pages>
    <b:Author>
      <b:Author>
        <b:Corporate>ONU</b:Corporate>
      </b:Author>
    </b:Author>
    <b:YearAccessed>2025</b:YearAccessed>
    <b:MonthAccessed>Abril</b:MonthAccessed>
    <b:URL>https://brasil.un.org/pt-br/sdgs/9</b:URL>
    <b:RefOrder>8</b:RefOrder>
  </b:Source>
  <b:Source>
    <b:Tag>Cru20</b:Tag>
    <b:SourceType>ArticleInAPeriodical</b:SourceType>
    <b:Guid>{9D6A89AE-A2DB-49A2-946D-F6E44D1065BC}</b:Guid>
    <b:Author>
      <b:Author>
        <b:NameList>
          <b:Person>
            <b:Last>Cruz</b:Last>
            <b:First>Caio</b:First>
            <b:Middle>Felipe da</b:Middle>
          </b:Person>
        </b:NameList>
      </b:Author>
    </b:Author>
    <b:Title>OS EFEITOS DA INTERNET DAS COISAS (IoT) EM LINHAS DE MONTAGENS: ESTUDOS DE CASO NA INDUSTRIA DE AUTOPEÇAS</b:Title>
    <b:PeriodicalTitle>Universidade Nove de Julho</b:PeriodicalTitle>
    <b:Year>2020</b:Year>
    <b:PublicationTitle>Universidade Nove de Julho</b:PublicationTitle>
    <b:RefOrder>7</b:RefOrder>
  </b:Source>
  <b:Source>
    <b:Tag>Sti25</b:Tag>
    <b:SourceType>InternetSite</b:SourceType>
    <b:Guid>{AEBACDD8-F87C-4890-813D-BCD04D9B1AF7}</b:Guid>
    <b:Author>
      <b:Author>
        <b:Corporate>Still</b:Corporate>
      </b:Author>
    </b:Author>
    <b:YearAccessed>2025</b:YearAccessed>
    <b:MonthAccessed>04</b:MonthAccessed>
    <b:URL>https://www.still.com.br/sistemas-intralogisticos/gestao-de-frota/fleetmanager.html</b:URL>
    <b:Year>2025</b:Year>
    <b:RefOrder>17</b:RefOrder>
  </b:Source>
  <b:Source>
    <b:Tag>Ult25</b:Tag>
    <b:SourceType>InternetSite</b:SourceType>
    <b:Guid>{96B873DB-F893-4347-AC6F-4D2348B3A005}</b:Guid>
    <b:Author>
      <b:Author>
        <b:Corporate>Ultralytic</b:Corporate>
      </b:Author>
    </b:Author>
    <b:Year>2025</b:Year>
    <b:YearAccessed>2025</b:YearAccessed>
    <b:MonthAccessed>04</b:MonthAccessed>
    <b:URL>https://docs.ultralytics.com/pt</b:URL>
    <b:RefOrder>18</b:RefOrder>
  </b:Source>
  <b:Source>
    <b:Tag>Tra25</b:Tag>
    <b:SourceType>InternetSite</b:SourceType>
    <b:Guid>{E649DEC9-AAAF-4D8A-8DDD-4382EA160C6F}</b:Guid>
    <b:Author>
      <b:Author>
        <b:Corporate>Trackfy</b:Corporate>
      </b:Author>
    </b:Author>
    <b:Year>2025</b:Year>
    <b:YearAccessed>2025</b:YearAccessed>
    <b:MonthAccessed>04</b:MonthAccessed>
    <b:URL>https://www.trackfyapp.com.br/blog/segurana-e-controle-de-equipes-em-reas-isoladas-na-indstria-solues-trackfy</b:URL>
    <b:RefOrder>19</b:RefOrder>
  </b:Source>
  <b:Source>
    <b:Tag>Jun25</b:Tag>
    <b:SourceType>InternetSite</b:SourceType>
    <b:Guid>{A2773212-E3CA-4C38-A931-C35A4D63BF3F}</b:Guid>
    <b:Author>
      <b:Author>
        <b:Corporate>Jungheinrich</b:Corporate>
      </b:Author>
    </b:Author>
    <b:Year>2025</b:Year>
    <b:YearAccessed>2025</b:YearAccessed>
    <b:MonthAccessed>04</b:MonthAccessed>
    <b:URL>https://www.jungheinrich.com.br/</b:URL>
    <b:RefOrder>20</b:RefOrder>
  </b:Source>
  <b:Source>
    <b:Tag>Log25</b:Tag>
    <b:SourceType>InternetSite</b:SourceType>
    <b:Guid>{075A2D7E-611D-4133-AF9D-BB679A715851}</b:Guid>
    <b:Author>
      <b:Author>
        <b:Corporate>Logicalis</b:Corporate>
      </b:Author>
    </b:Author>
    <b:Year>2025</b:Year>
    <b:YearAccessed>2025</b:YearAccessed>
    <b:MonthAccessed>04</b:MonthAccessed>
    <b:URL>https://www.la.logicalis.com/pt-br/artigo/casos-de-sucesso/tecnologia-de-monitoramento-para-seguranca-do-trabalho-em-uma-empresa-de</b:URL>
    <b:RefOrder>21</b:RefOrder>
  </b:Source>
</b:Sources>
</file>

<file path=customXml/itemProps1.xml><?xml version="1.0" encoding="utf-8"?>
<ds:datastoreItem xmlns:ds="http://schemas.openxmlformats.org/officeDocument/2006/customXml" ds:itemID="{37B9492A-6492-47EE-9D83-B566D1137537}">
  <ds:schemaRefs/>
</ds:datastoreItem>
</file>

<file path=docProps/app.xml><?xml version="1.0" encoding="utf-8"?>
<Properties xmlns="http://schemas.openxmlformats.org/officeDocument/2006/extended-properties" xmlns:vt="http://schemas.openxmlformats.org/officeDocument/2006/docPropsVTypes">
  <Template>Normal.dotm</Template>
  <Pages>26</Pages>
  <Words>6718</Words>
  <Characters>36282</Characters>
  <Lines>302</Lines>
  <Paragraphs>85</Paragraphs>
  <TotalTime>24</TotalTime>
  <ScaleCrop>false</ScaleCrop>
  <LinksUpToDate>false</LinksUpToDate>
  <CharactersWithSpaces>42915</CharactersWithSpaces>
  <Application>WPS Office_12.2.0.21546_F1E327BC-269C-435d-A152-05C5408002CA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2025-06-18T21:27:00Z</dcterms:created>
  <dc:creator>Thais</dc:creator>
  <cp:lastModifiedBy>LCF3S Support</cp:lastModifiedBy>
  <cp:lastPrinted>2025-04-23T08:35:00Z</cp:lastPrinted>
  <dcterms:modified xsi:type="dcterms:W3CDTF">2025-06-18T22:12:02Z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1046-12.2.0.21546</vt:lpwstr>
  </property>
  <property fmtid="{D5CDD505-2E9C-101B-9397-08002B2CF9AE}" pid="3" name="ICV">
    <vt:lpwstr>19070085BB094274B45E1764C1C60C1B_13</vt:lpwstr>
  </property>
</Properties>
</file>