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rtl w:val="0"/>
        </w:rPr>
        <w:t xml:space="preserve">O contato com o cliente para tirar dúvidas pontuais devem ser através do e-mail (</w:t>
      </w:r>
      <w:r w:rsidDel="00000000" w:rsidR="00000000" w:rsidRPr="00000000">
        <w:rPr>
          <w:rtl w:val="0"/>
        </w:rPr>
        <w:t xml:space="preserve">rafael@triunfobalancas.com.br</w:t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Reuniões presenciais só ocorrerão após a fase vermelha do covid-19.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A cada 5 (cinco) artefatos entregues, ocorrerá uma nova videoconferência via com 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clientes finais.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As reuniões via videoconferência com o cliente final devem ocorrer nos fins de semana.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As reuniões ocorrerão nas seguintes datas: 20/03/2021, 03/04/2021, 24/04/2021, 22/05/2021 e 29/05/2021.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FktGpkDwq66j/ieFr76a7iAZw==">AMUW2mW394l6xevWe5tXJX11xsHd2hY5nfofB542IEpRMEnCcLz0qb+eri+DqI74NN2kHRl65b8B+BjS7pjnHJG8ghTes+p0A8uXL0BFhAveyKUVCMwitfM=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2021-03-09T22:39:00Z</dcterms:created>
  <dc:creator>João Victor</dc:creator>
</cp:coreProperties>
</file>