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792652" w:rsidP="783C539E" w:rsidRDefault="34792652" w14:paraId="5664D866" w14:textId="561E2042">
      <w:pPr>
        <w:jc w:val="center"/>
      </w:pPr>
      <w:r w:rsidR="34792652">
        <w:drawing>
          <wp:inline wp14:editId="1FAA7C0E" wp14:anchorId="2B74897D">
            <wp:extent cx="1733550" cy="1109472"/>
            <wp:effectExtent l="0" t="0" r="0" b="0"/>
            <wp:docPr id="1314492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e47bbcc73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C539E" w:rsidP="783C539E" w:rsidRDefault="783C539E" w14:paraId="5C6A1010" w14:textId="7D64F381">
      <w:pPr>
        <w:pStyle w:val="Normal"/>
        <w:jc w:val="center"/>
      </w:pPr>
    </w:p>
    <w:p w:rsidR="783C539E" w:rsidP="783C539E" w:rsidRDefault="783C539E" w14:paraId="6E37F256" w14:textId="3FDCA880">
      <w:pPr>
        <w:pStyle w:val="Normal"/>
        <w:jc w:val="center"/>
      </w:pPr>
    </w:p>
    <w:p w:rsidR="34792652" w:rsidP="783C539E" w:rsidRDefault="34792652" w14:paraId="066BE186" w14:textId="33EC017D">
      <w:pPr>
        <w:pStyle w:val="Normal"/>
        <w:jc w:val="center"/>
        <w:rPr>
          <w:b w:val="1"/>
          <w:bCs w:val="1"/>
          <w:sz w:val="30"/>
          <w:szCs w:val="30"/>
        </w:rPr>
      </w:pPr>
      <w:r w:rsidRPr="783C539E" w:rsidR="34792652">
        <w:rPr>
          <w:b w:val="1"/>
          <w:bCs w:val="1"/>
          <w:sz w:val="30"/>
          <w:szCs w:val="30"/>
        </w:rPr>
        <w:t>SNKRS.INFO</w:t>
      </w:r>
    </w:p>
    <w:p w:rsidR="783C539E" w:rsidP="783C539E" w:rsidRDefault="783C539E" w14:paraId="5C3B2F56" w14:textId="7DAFCD9C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031E7CBA" w14:textId="6394B908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46525B91" w14:textId="0E7F6E8C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379BE6E3" w14:textId="312B621F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2CF0ECCB" w14:textId="34457DE7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1F238A81" w14:textId="3E0533F2">
      <w:pPr>
        <w:pStyle w:val="Normal"/>
        <w:jc w:val="center"/>
        <w:rPr>
          <w:b w:val="1"/>
          <w:bCs w:val="1"/>
          <w:sz w:val="30"/>
          <w:szCs w:val="30"/>
        </w:rPr>
      </w:pPr>
    </w:p>
    <w:p w:rsidR="34792652" w:rsidP="783C539E" w:rsidRDefault="34792652" w14:paraId="40EF5CCC" w14:textId="42B3CECA">
      <w:pPr>
        <w:pStyle w:val="Normal"/>
        <w:jc w:val="center"/>
        <w:rPr>
          <w:b w:val="1"/>
          <w:bCs w:val="1"/>
          <w:sz w:val="30"/>
          <w:szCs w:val="30"/>
        </w:rPr>
      </w:pPr>
      <w:r w:rsidRPr="783C539E" w:rsidR="34792652">
        <w:rPr>
          <w:b w:val="1"/>
          <w:bCs w:val="1"/>
          <w:sz w:val="30"/>
          <w:szCs w:val="30"/>
        </w:rPr>
        <w:t>Leonardo Santos Borges – 01222095</w:t>
      </w:r>
    </w:p>
    <w:p w:rsidR="783C539E" w:rsidP="783C539E" w:rsidRDefault="783C539E" w14:paraId="1CB5822F" w14:textId="449F100B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78B792BF" w14:textId="72293749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070ACC74" w14:textId="6A7B1E7A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432BA5EB" w14:textId="2B92611B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0FD2B93C" w14:textId="3281FB6D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6E0348DD" w14:textId="79121C35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1188E90A" w14:textId="73E449D8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5551DBAE" w14:textId="01C9F379">
      <w:pPr>
        <w:pStyle w:val="Normal"/>
        <w:jc w:val="center"/>
        <w:rPr>
          <w:b w:val="1"/>
          <w:bCs w:val="1"/>
          <w:sz w:val="30"/>
          <w:szCs w:val="30"/>
        </w:rPr>
      </w:pPr>
    </w:p>
    <w:p w:rsidR="34792652" w:rsidP="783C539E" w:rsidRDefault="34792652" w14:paraId="4945EDF9" w14:textId="2820124D">
      <w:pPr>
        <w:pStyle w:val="Normal"/>
        <w:jc w:val="center"/>
        <w:rPr>
          <w:b w:val="1"/>
          <w:bCs w:val="1"/>
          <w:sz w:val="30"/>
          <w:szCs w:val="30"/>
        </w:rPr>
      </w:pPr>
      <w:r w:rsidRPr="783C539E" w:rsidR="34792652">
        <w:rPr>
          <w:b w:val="1"/>
          <w:bCs w:val="1"/>
          <w:sz w:val="30"/>
          <w:szCs w:val="30"/>
        </w:rPr>
        <w:t>São Paulo - 11/2022</w:t>
      </w:r>
    </w:p>
    <w:p w:rsidR="783C539E" w:rsidP="783C539E" w:rsidRDefault="783C539E" w14:paraId="17749F5D" w14:textId="263B1106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6CA0A9D9" w14:textId="7C0C5ADF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5E31CCB8" w14:textId="0E1E8BA7">
      <w:pPr>
        <w:pStyle w:val="Normal"/>
        <w:jc w:val="center"/>
        <w:rPr>
          <w:b w:val="1"/>
          <w:bCs w:val="1"/>
          <w:sz w:val="30"/>
          <w:szCs w:val="30"/>
        </w:rPr>
      </w:pPr>
    </w:p>
    <w:p w:rsidR="783C539E" w:rsidP="783C539E" w:rsidRDefault="783C539E" w14:paraId="53F5085F" w14:textId="18D3C906">
      <w:pPr>
        <w:pStyle w:val="Normal"/>
        <w:jc w:val="center"/>
        <w:rPr>
          <w:b w:val="1"/>
          <w:bCs w:val="1"/>
          <w:sz w:val="30"/>
          <w:szCs w:val="30"/>
        </w:rPr>
      </w:pPr>
    </w:p>
    <w:p w:rsidR="34792652" w:rsidP="783C539E" w:rsidRDefault="34792652" w14:paraId="437D922F" w14:textId="2E3E17DC">
      <w:pPr>
        <w:pStyle w:val="Normal"/>
        <w:jc w:val="left"/>
        <w:rPr>
          <w:b w:val="1"/>
          <w:bCs w:val="1"/>
          <w:sz w:val="32"/>
          <w:szCs w:val="32"/>
        </w:rPr>
      </w:pPr>
      <w:r w:rsidRPr="783C539E" w:rsidR="34792652">
        <w:rPr>
          <w:b w:val="1"/>
          <w:bCs w:val="1"/>
          <w:sz w:val="32"/>
          <w:szCs w:val="32"/>
        </w:rPr>
        <w:t>Contexto</w:t>
      </w:r>
      <w:r w:rsidRPr="783C539E" w:rsidR="34792652">
        <w:rPr>
          <w:b w:val="1"/>
          <w:bCs w:val="1"/>
          <w:sz w:val="32"/>
          <w:szCs w:val="32"/>
        </w:rPr>
        <w:t>:</w:t>
      </w:r>
    </w:p>
    <w:p w:rsidR="2796360A" w:rsidP="783C539E" w:rsidRDefault="2796360A" w14:paraId="72C2909A" w14:textId="2AF6837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tênis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fazem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parte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da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vida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da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maioria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das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pessoas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podem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compor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estilos</w:t>
      </w:r>
      <w:r w:rsidRPr="783C539E" w:rsidR="2796360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casuais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,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esportivo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at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é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produçõe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mai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sofisticada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 Ao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long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históri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,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fora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símbolo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jovialidad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,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rebeldi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, 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conquistara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um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legiã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fã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graça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lenda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basquet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e do </w:t>
      </w:r>
      <w:r w:rsidRPr="783C539E" w:rsidR="2796360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hip hop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, que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dera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orige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à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cultur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sneaker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w:rsidR="2796360A" w:rsidP="783C539E" w:rsidRDefault="2796360A" w14:paraId="0DBAC68C" w14:textId="30386A2F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Criados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para a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prática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esportiva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ainda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no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século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19,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esses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calçados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se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tornaram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um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verdadeiro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estilo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vida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no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do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século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20. Eles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têm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uma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história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interessante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.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Nasceram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basicamente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para a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prática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esportes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. Antes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mesmo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tomarem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 forma que se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conhece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atualmente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alguns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marcos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históricos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foram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importantes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na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trajetória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desta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peça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w:rsidR="2796360A" w:rsidP="783C539E" w:rsidRDefault="2796360A" w14:paraId="5E352EA9" w14:textId="2D1F1778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primeiro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deles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remonta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à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Grécia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Antiga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quando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atletas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dos Jogos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Olímpicos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pararam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andar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descalços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passaram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 usar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sandálias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couro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para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proteger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pés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e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garantir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uma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melhor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tração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com o solo.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Isso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ocorreu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em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meados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de 776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a.C.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e 393 </w:t>
      </w:r>
      <w:r w:rsidRPr="783C539E" w:rsidR="279636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d.C.</w:t>
      </w:r>
    </w:p>
    <w:p w:rsidR="170A54E7" w:rsidP="783C539E" w:rsidRDefault="170A54E7" w14:paraId="5C9A5075" w14:textId="3CB9D1EB">
      <w:pPr>
        <w:pStyle w:val="Normal"/>
        <w:jc w:val="left"/>
      </w:pPr>
      <w:r w:rsidR="170A54E7">
        <w:drawing>
          <wp:inline wp14:editId="7B318595" wp14:anchorId="76FF1126">
            <wp:extent cx="3895668" cy="2532185"/>
            <wp:effectExtent l="0" t="0" r="0" b="0"/>
            <wp:docPr id="1192995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9fd5ea8a0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68" cy="25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C539E" w:rsidP="783C539E" w:rsidRDefault="783C539E" w14:paraId="37BAD246" w14:textId="1EC3B88A">
      <w:pPr>
        <w:pStyle w:val="Normal"/>
        <w:jc w:val="left"/>
      </w:pPr>
    </w:p>
    <w:p w:rsidR="5DFF3D4A" w:rsidP="783C539E" w:rsidRDefault="5DFF3D4A" w14:paraId="3E486B17" w14:textId="4B04E0FF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Atualmente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existem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tênis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todos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gostos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possibilitando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inúmeras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possibilidades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o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guarda-roupa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feminino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masculino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Além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disso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não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há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sinais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que a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cultura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dos </w:t>
      </w:r>
      <w:r w:rsidRPr="783C539E" w:rsidR="5DFF3D4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sneakerheads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são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chamados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fãs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tênis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vai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acabar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tão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cedo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Segundo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artigo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Vogue Paris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existe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projeção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2018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indicando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esse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mercado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atingirá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U$ 95,14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bilhões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até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2025.</w:t>
      </w:r>
    </w:p>
    <w:p w:rsidR="5DFF3D4A" w:rsidP="783C539E" w:rsidRDefault="5DFF3D4A" w14:paraId="79AA4511" w14:textId="32E9EBB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Uma das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teorias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sobre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palavra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</w:t>
      </w:r>
      <w:r w:rsidRPr="783C539E" w:rsidR="5DFF3D4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sneaker"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que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inglês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é que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usava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-se "</w:t>
      </w:r>
      <w:r w:rsidRPr="783C539E" w:rsidR="5DFF3D4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sneak'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se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referir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à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classe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pobre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dos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Estados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Unidos de forma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pejorativa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ladrões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suspeitos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calçados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solado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borracha se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popularizaram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lá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Estes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eram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baratos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as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opções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Há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também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diga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motivo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foi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solado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silencioso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que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permitia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 "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esgueirar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(</w:t>
      </w:r>
      <w:r w:rsidRPr="783C539E" w:rsidR="5DFF3D4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sneak up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inglês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). Ou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seja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sair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silenciosamente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perto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alguém</w:t>
      </w:r>
      <w:r w:rsidRPr="783C539E" w:rsidR="5DFF3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83C539E" w:rsidP="783C539E" w:rsidRDefault="783C539E" w14:paraId="707BD0DE" w14:textId="05DB327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71C094B" w:rsidP="783C539E" w:rsidRDefault="671C094B" w14:paraId="52FAC662" w14:textId="5FFD32B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83C539E" w:rsidR="671C0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Escopo</w:t>
      </w:r>
      <w:r w:rsidRPr="783C539E" w:rsidR="671C0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671C094B" w:rsidP="783C539E" w:rsidRDefault="671C094B" w14:paraId="0AF05632" w14:textId="21B5AF1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671C0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Desenvolver</w:t>
      </w:r>
      <w:r w:rsidRPr="783C539E" w:rsidR="671C0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671C0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r w:rsidRPr="783C539E" w:rsidR="671C0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671C0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aplicação</w:t>
      </w:r>
      <w:r w:rsidRPr="783C539E" w:rsidR="671C09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fazendo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armazenações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 banco de dados,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mostrando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importância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história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modelos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tênis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</w:t>
      </w:r>
      <w:r w:rsidRPr="783C539E" w:rsidR="7D867B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usuários.</w:t>
      </w:r>
    </w:p>
    <w:p w:rsidR="783C539E" w:rsidP="783C539E" w:rsidRDefault="783C539E" w14:paraId="3480A952" w14:textId="76D6862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ABFAF5" w:rsidP="783C539E" w:rsidRDefault="0DABFAF5" w14:paraId="49DCD65D" w14:textId="79E2891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Entregavéis</w:t>
      </w: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DABFAF5" w:rsidP="783C539E" w:rsidRDefault="0DABFAF5" w14:paraId="1E677EF0" w14:textId="2023EA9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Site </w:t>
      </w: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Institucional</w:t>
      </w: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HTML e CSS.</w:t>
      </w:r>
    </w:p>
    <w:p w:rsidR="0DABFAF5" w:rsidP="783C539E" w:rsidRDefault="0DABFAF5" w14:paraId="6FA14118" w14:textId="019708F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Tela de Login – HTML</w:t>
      </w:r>
      <w:r w:rsidRPr="783C539E" w:rsidR="575CE3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Javascript</w:t>
      </w: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CSS.</w:t>
      </w:r>
    </w:p>
    <w:p w:rsidR="0DABFAF5" w:rsidP="783C539E" w:rsidRDefault="0DABFAF5" w14:paraId="042311CD" w14:textId="590E468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Tela de </w:t>
      </w: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Cadastro</w:t>
      </w: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HTML</w:t>
      </w:r>
      <w:r w:rsidRPr="783C539E" w:rsidR="3EC9C8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83C539E" w:rsidR="3EC9C8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Javascript</w:t>
      </w: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CSS.</w:t>
      </w:r>
    </w:p>
    <w:p w:rsidR="0DABFAF5" w:rsidP="783C539E" w:rsidRDefault="0DABFAF5" w14:paraId="043118F2" w14:textId="13A018A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Cruzadinha</w:t>
      </w:r>
      <w:r w:rsidRPr="783C539E" w:rsidR="6079AF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/Caça-Palavras</w:t>
      </w:r>
      <w:r w:rsidRPr="783C539E" w:rsidR="0DABFA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HTML</w:t>
      </w:r>
      <w:r w:rsidRPr="783C539E" w:rsidR="6C9BC0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CSS e </w:t>
      </w:r>
      <w:r w:rsidRPr="783C539E" w:rsidR="6C9BC0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Javascript</w:t>
      </w:r>
      <w:r w:rsidRPr="783C539E" w:rsidR="6C9BC0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9E9BE27" w:rsidP="783C539E" w:rsidRDefault="39E9BE27" w14:paraId="032E2F84" w14:textId="5E2AB97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39E9BE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Modelagem</w:t>
      </w:r>
      <w:r w:rsidRPr="783C539E" w:rsidR="39E9BE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39E9BE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Lógica</w:t>
      </w:r>
      <w:r w:rsidRPr="783C539E" w:rsidR="39E9BE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MySQL.</w:t>
      </w:r>
    </w:p>
    <w:p w:rsidR="39E9BE27" w:rsidP="783C539E" w:rsidRDefault="39E9BE27" w14:paraId="6D35E4B8" w14:textId="17E37B3F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39E9BE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Script Banco de Dados – MySQL.</w:t>
      </w:r>
    </w:p>
    <w:p w:rsidR="39E9BE27" w:rsidP="783C539E" w:rsidRDefault="39E9BE27" w14:paraId="18BFED56" w14:textId="2462F56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39E9BE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Conexão</w:t>
      </w:r>
      <w:r w:rsidRPr="783C539E" w:rsidR="39E9BE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API.</w:t>
      </w:r>
    </w:p>
    <w:p w:rsidR="783C539E" w:rsidP="783C539E" w:rsidRDefault="783C539E" w14:paraId="0C5FA545" w14:textId="01A2C36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3B6103" w:rsidP="783C539E" w:rsidRDefault="283B6103" w14:paraId="520EBA32" w14:textId="414F578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Objetivo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508FF301" w:rsidP="783C539E" w:rsidRDefault="508FF301" w14:paraId="2CB9065B" w14:textId="47839A5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Demonstrar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importância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história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modelos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tênis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específicos</w:t>
      </w:r>
      <w:r w:rsidRPr="783C539E" w:rsidR="508FF3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83C539E" w:rsidP="783C539E" w:rsidRDefault="783C539E" w14:paraId="75DAC8D8" w14:textId="16B4BDD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3B6103" w:rsidP="783C539E" w:rsidRDefault="283B6103" w14:paraId="74C9DC11" w14:textId="515A68E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Principais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Requisitos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83B6103" w:rsidP="783C539E" w:rsidRDefault="283B6103" w14:paraId="23E7673D" w14:textId="149D0CC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Login e 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Cadastro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funcionando.</w:t>
      </w:r>
    </w:p>
    <w:p w:rsidR="283B6103" w:rsidP="783C539E" w:rsidRDefault="283B6103" w14:paraId="6F053AB3" w14:textId="64D0273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Cruzadinha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Caça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Palavras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validando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informações.</w:t>
      </w:r>
    </w:p>
    <w:p w:rsidR="283B6103" w:rsidP="783C539E" w:rsidRDefault="283B6103" w14:paraId="37473185" w14:textId="76D9CD5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DashBoard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mostrando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modelos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mais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curtidos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83B6103" w:rsidP="783C539E" w:rsidRDefault="283B6103" w14:paraId="32F75C10" w14:textId="36A7E79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Armazenar</w:t>
      </w:r>
      <w:r w:rsidRPr="783C539E" w:rsidR="283B6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dados no Banco de Dados.</w:t>
      </w:r>
    </w:p>
    <w:p w:rsidR="783C539E" w:rsidP="783C539E" w:rsidRDefault="783C539E" w14:paraId="296DBC79" w14:textId="6982B0F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83C539E" w:rsidP="783C539E" w:rsidRDefault="783C539E" w14:paraId="1F696B45" w14:textId="53E5A03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83C539E" w:rsidP="783C539E" w:rsidRDefault="783C539E" w14:paraId="74424986" w14:textId="6E1FF27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EEACC"/>
    <w:rsid w:val="0464E766"/>
    <w:rsid w:val="079C8828"/>
    <w:rsid w:val="0935BE3B"/>
    <w:rsid w:val="0C865F21"/>
    <w:rsid w:val="0DABFAF5"/>
    <w:rsid w:val="0E0BC9AC"/>
    <w:rsid w:val="0FA79A0D"/>
    <w:rsid w:val="1140A7E7"/>
    <w:rsid w:val="170A54E7"/>
    <w:rsid w:val="194BB9CC"/>
    <w:rsid w:val="19E185AC"/>
    <w:rsid w:val="2634ECE1"/>
    <w:rsid w:val="2796360A"/>
    <w:rsid w:val="283B6103"/>
    <w:rsid w:val="2AEF35A7"/>
    <w:rsid w:val="2B134A7F"/>
    <w:rsid w:val="2E4AEB41"/>
    <w:rsid w:val="2F4B5584"/>
    <w:rsid w:val="2FA5B52F"/>
    <w:rsid w:val="30CCCF93"/>
    <w:rsid w:val="32689FF4"/>
    <w:rsid w:val="33EE0A7F"/>
    <w:rsid w:val="34792652"/>
    <w:rsid w:val="3725AB41"/>
    <w:rsid w:val="39E9BE27"/>
    <w:rsid w:val="3EC9C814"/>
    <w:rsid w:val="3F4722FC"/>
    <w:rsid w:val="45AAEB25"/>
    <w:rsid w:val="46330803"/>
    <w:rsid w:val="46689420"/>
    <w:rsid w:val="4681980D"/>
    <w:rsid w:val="48D4DCE5"/>
    <w:rsid w:val="508FF301"/>
    <w:rsid w:val="55554932"/>
    <w:rsid w:val="575CE3CF"/>
    <w:rsid w:val="59C59B45"/>
    <w:rsid w:val="5AEB167F"/>
    <w:rsid w:val="5B616BA6"/>
    <w:rsid w:val="5BF8E762"/>
    <w:rsid w:val="5CFD3C07"/>
    <w:rsid w:val="5DFF3D4A"/>
    <w:rsid w:val="6079AFD0"/>
    <w:rsid w:val="671C094B"/>
    <w:rsid w:val="6C9BC0A2"/>
    <w:rsid w:val="72A86B66"/>
    <w:rsid w:val="73742905"/>
    <w:rsid w:val="783C539E"/>
    <w:rsid w:val="79EEEACC"/>
    <w:rsid w:val="7D86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3D85"/>
  <w15:chartTrackingRefBased/>
  <w15:docId w15:val="{8EC619CD-3279-4976-AEE1-E21D14A47A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4e47bbcc734156" /><Relationship Type="http://schemas.openxmlformats.org/officeDocument/2006/relationships/image" Target="/media/image2.png" Id="Ra499fd5ea8a04a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2022-11-04T16:49:34.5449819Z</dcterms:created>
  <dcterms:modified xsi:type="dcterms:W3CDTF">2022-11-04T17:28:36.6387198Z</dcterms:modified>
  <dc:creator>LEONARDO SANTOS BORGES .</dc:creator>
  <lastModifiedBy>LEONARDO SANTOS BORGES .</lastModifiedBy>
</coreProperties>
</file>