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880"/>
        </w:tabs>
        <w:autoSpaceDE w:val="0"/>
        <w:autoSpaceDN w:val="0"/>
        <w:adjustRightInd w:val="0"/>
        <w:spacing w:after="0" w:line="480" w:lineRule="auto"/>
        <w:ind w:right="34"/>
        <w:jc w:val="center"/>
        <w:rPr>
          <w:rFonts w:ascii="Times New Roman" w:hAnsi="Times New Roman"/>
          <w:b/>
          <w:bCs/>
          <w:sz w:val="24"/>
          <w:szCs w:val="24"/>
        </w:rPr>
      </w:pPr>
      <w:r>
        <w:rPr>
          <w:rFonts w:ascii="Times New Roman" w:hAnsi="Times New Roman"/>
          <w:b/>
          <w:bCs/>
          <w:sz w:val="24"/>
          <w:szCs w:val="24"/>
        </w:rPr>
        <w:t>CENTRO ESTADUAL DE EDUCAÇÃO TECNOLÓGICA “PAULA SOUZA”</w:t>
      </w:r>
    </w:p>
    <w:p>
      <w:pPr>
        <w:autoSpaceDE w:val="0"/>
        <w:autoSpaceDN w:val="0"/>
        <w:adjustRightInd w:val="0"/>
        <w:spacing w:after="0" w:line="480" w:lineRule="auto"/>
        <w:jc w:val="center"/>
        <w:rPr>
          <w:rFonts w:ascii="Times New Roman" w:hAnsi="Times New Roman"/>
          <w:b/>
          <w:bCs/>
          <w:color w:val="FF0000"/>
          <w:sz w:val="24"/>
          <w:szCs w:val="24"/>
        </w:rPr>
      </w:pPr>
      <w:r>
        <w:rPr>
          <w:rFonts w:ascii="Times New Roman" w:hAnsi="Times New Roman"/>
          <w:b/>
          <w:bCs/>
          <w:sz w:val="24"/>
          <w:szCs w:val="24"/>
        </w:rPr>
        <w:t>FACULDADE DE TECNOLOGIA DE TAQUARITINGA</w:t>
      </w:r>
    </w:p>
    <w:p>
      <w:pPr>
        <w:autoSpaceDE w:val="0"/>
        <w:autoSpaceDN w:val="0"/>
        <w:adjustRightInd w:val="0"/>
        <w:spacing w:after="0" w:line="480" w:lineRule="auto"/>
        <w:jc w:val="center"/>
        <w:rPr>
          <w:rFonts w:ascii="Times New Roman" w:hAnsi="Times New Roman"/>
          <w:b/>
          <w:bCs/>
          <w:color w:val="FF0000"/>
          <w:sz w:val="24"/>
          <w:szCs w:val="24"/>
        </w:rPr>
      </w:pPr>
      <w:r>
        <w:rPr>
          <w:rFonts w:ascii="Times New Roman" w:hAnsi="Times New Roman"/>
          <w:b/>
          <w:bCs/>
          <w:sz w:val="24"/>
          <w:szCs w:val="24"/>
        </w:rPr>
        <w:t xml:space="preserve">CURSO SUPERIOR DE TECNOLOGIA EM </w:t>
      </w:r>
      <w:r>
        <w:rPr>
          <w:rFonts w:ascii="Times New Roman" w:hAnsi="Times New Roman"/>
          <w:b/>
          <w:bCs/>
          <w:color w:val="000000"/>
          <w:sz w:val="24"/>
          <w:szCs w:val="24"/>
        </w:rPr>
        <w:t>ANÁLISE E DESENVOLVIMENTO DE SISTEMAS</w:t>
      </w: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r>
        <w:rPr>
          <w:rFonts w:ascii="Times New Roman" w:hAnsi="Times New Roman"/>
          <w:b/>
          <w:bCs/>
          <w:sz w:val="24"/>
          <w:szCs w:val="24"/>
        </w:rPr>
        <w:t>COGME</w:t>
      </w:r>
    </w:p>
    <w:p>
      <w:pPr>
        <w:spacing w:after="0" w:line="360" w:lineRule="auto"/>
        <w:jc w:val="center"/>
        <w:rPr>
          <w:rFonts w:ascii="Times New Roman" w:hAnsi="Times New Roman"/>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r>
        <w:rPr>
          <w:rFonts w:ascii="Times New Roman" w:hAnsi="Times New Roman"/>
          <w:b/>
          <w:bCs/>
          <w:sz w:val="24"/>
          <w:szCs w:val="24"/>
        </w:rPr>
        <w:t>LEONARDO SETTI</w:t>
      </w:r>
    </w:p>
    <w:p>
      <w:pPr>
        <w:spacing w:after="0" w:line="360" w:lineRule="auto"/>
        <w:jc w:val="center"/>
        <w:rPr>
          <w:rFonts w:ascii="Times New Roman" w:hAnsi="Times New Roman"/>
          <w:b/>
          <w:bCs/>
          <w:sz w:val="24"/>
          <w:szCs w:val="24"/>
        </w:rPr>
      </w:pPr>
      <w:r>
        <w:rPr>
          <w:rFonts w:ascii="Times New Roman" w:hAnsi="Times New Roman"/>
          <w:b/>
          <w:bCs/>
          <w:sz w:val="24"/>
          <w:szCs w:val="24"/>
        </w:rPr>
        <w:t>FABRICIO DE LIMA CABRAL</w:t>
      </w:r>
    </w:p>
    <w:p>
      <w:pPr>
        <w:spacing w:after="0" w:line="360" w:lineRule="auto"/>
        <w:jc w:val="center"/>
        <w:rPr>
          <w:rFonts w:ascii="Times New Roman" w:hAnsi="Times New Roman"/>
          <w:sz w:val="24"/>
          <w:szCs w:val="24"/>
        </w:rPr>
      </w:pPr>
    </w:p>
    <w:p>
      <w:pPr>
        <w:spacing w:after="0" w:line="360" w:lineRule="auto"/>
        <w:jc w:val="center"/>
        <w:rPr>
          <w:rFonts w:hint="default" w:ascii="Times New Roman" w:hAnsi="Times New Roman"/>
          <w:sz w:val="24"/>
          <w:szCs w:val="24"/>
          <w:lang w:val="en-US"/>
        </w:rPr>
      </w:pPr>
      <w:r>
        <w:rPr>
          <w:rFonts w:ascii="Times New Roman" w:hAnsi="Times New Roman"/>
          <w:b/>
          <w:bCs/>
          <w:sz w:val="24"/>
          <w:szCs w:val="24"/>
        </w:rPr>
        <w:t xml:space="preserve">PROF. ORIENTADOR: </w:t>
      </w:r>
      <w:r>
        <w:rPr>
          <w:rFonts w:ascii="Times New Roman" w:hAnsi="Times New Roman"/>
          <w:b/>
          <w:bCs/>
          <w:sz w:val="24"/>
          <w:szCs w:val="24"/>
          <w:lang w:val="en-US"/>
        </w:rPr>
        <w:t xml:space="preserve">Dr. </w:t>
      </w:r>
      <w:r>
        <w:rPr>
          <w:rFonts w:ascii="Times New Roman" w:hAnsi="Times New Roman"/>
          <w:b/>
          <w:bCs/>
          <w:sz w:val="24"/>
          <w:szCs w:val="24"/>
        </w:rPr>
        <w:t xml:space="preserve">NIVALDO </w:t>
      </w:r>
      <w:r>
        <w:rPr>
          <w:rFonts w:hint="default" w:ascii="Times New Roman" w:hAnsi="Times New Roman"/>
          <w:b/>
          <w:bCs/>
          <w:sz w:val="24"/>
          <w:szCs w:val="24"/>
          <w:lang w:val="en-US"/>
        </w:rPr>
        <w:t>CARLETO</w:t>
      </w: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autoSpaceDE w:val="0"/>
        <w:autoSpaceDN w:val="0"/>
        <w:adjustRightInd w:val="0"/>
        <w:spacing w:after="0" w:line="480" w:lineRule="auto"/>
        <w:ind w:left="-108"/>
        <w:jc w:val="center"/>
        <w:rPr>
          <w:rFonts w:ascii="Times New Roman" w:hAnsi="Times New Roman"/>
          <w:b/>
          <w:bCs/>
          <w:sz w:val="24"/>
          <w:szCs w:val="24"/>
        </w:rPr>
      </w:pPr>
      <w:r>
        <w:rPr>
          <w:rFonts w:ascii="Times New Roman" w:hAnsi="Times New Roman"/>
          <w:b/>
          <w:bCs/>
          <w:sz w:val="24"/>
          <w:szCs w:val="24"/>
        </w:rPr>
        <w:t>TAQUARITINGA - S.P.</w:t>
      </w:r>
    </w:p>
    <w:p>
      <w:pPr>
        <w:autoSpaceDE w:val="0"/>
        <w:autoSpaceDN w:val="0"/>
        <w:adjustRightInd w:val="0"/>
        <w:spacing w:after="0" w:line="480" w:lineRule="auto"/>
        <w:ind w:left="-108"/>
        <w:jc w:val="center"/>
        <w:rPr>
          <w:rFonts w:ascii="Times New Roman" w:hAnsi="Times New Roman"/>
          <w:b/>
          <w:bCs/>
          <w:sz w:val="24"/>
          <w:szCs w:val="24"/>
        </w:rPr>
      </w:pPr>
      <w:r>
        <w:rPr>
          <w:rFonts w:ascii="Times New Roman" w:hAnsi="Times New Roman"/>
          <w:b/>
          <w:bCs/>
          <w:sz w:val="24"/>
          <w:szCs w:val="24"/>
        </w:rPr>
        <w:t>2026</w:t>
      </w:r>
    </w:p>
    <w:p>
      <w:pPr>
        <w:spacing w:after="0" w:line="360" w:lineRule="auto"/>
        <w:jc w:val="center"/>
        <w:rPr>
          <w:rFonts w:ascii="Times New Roman" w:hAnsi="Times New Roman"/>
          <w:b/>
          <w:bCs/>
          <w:sz w:val="24"/>
          <w:szCs w:val="24"/>
        </w:rPr>
      </w:pPr>
      <w:r>
        <w:rPr>
          <w:rFonts w:ascii="Times New Roman" w:hAnsi="Times New Roman"/>
          <w:b/>
          <w:bCs/>
          <w:sz w:val="24"/>
          <w:szCs w:val="24"/>
        </w:rPr>
        <w:t>LEONARDO SETTI</w:t>
      </w:r>
    </w:p>
    <w:p>
      <w:pPr>
        <w:spacing w:after="0" w:line="360" w:lineRule="auto"/>
        <w:jc w:val="center"/>
        <w:rPr>
          <w:rFonts w:ascii="Times New Roman" w:hAnsi="Times New Roman"/>
          <w:b/>
          <w:bCs/>
          <w:sz w:val="24"/>
          <w:szCs w:val="24"/>
        </w:rPr>
      </w:pPr>
      <w:r>
        <w:rPr>
          <w:rFonts w:ascii="Times New Roman" w:hAnsi="Times New Roman"/>
          <w:b/>
          <w:bCs/>
          <w:sz w:val="24"/>
          <w:szCs w:val="24"/>
        </w:rPr>
        <w:t>FABRICIO DE LIMA CABRAL</w:t>
      </w:r>
    </w:p>
    <w:p>
      <w:pPr>
        <w:autoSpaceDE w:val="0"/>
        <w:autoSpaceDN w:val="0"/>
        <w:adjustRightInd w:val="0"/>
        <w:spacing w:after="0" w:line="480" w:lineRule="auto"/>
        <w:jc w:val="center"/>
        <w:rPr>
          <w:rFonts w:ascii="Times New Roman" w:hAnsi="Times New Roman"/>
          <w:b/>
          <w:bCs/>
          <w:sz w:val="24"/>
          <w:szCs w:val="24"/>
        </w:rPr>
      </w:pPr>
    </w:p>
    <w:p>
      <w:pPr>
        <w:autoSpaceDE w:val="0"/>
        <w:autoSpaceDN w:val="0"/>
        <w:adjustRightInd w:val="0"/>
        <w:spacing w:after="0" w:line="360" w:lineRule="auto"/>
        <w:jc w:val="center"/>
        <w:rPr>
          <w:rFonts w:ascii="Times New Roman" w:hAnsi="Times New Roman"/>
          <w:bCs/>
          <w:color w:val="000000"/>
          <w:sz w:val="24"/>
          <w:szCs w:val="24"/>
        </w:rPr>
      </w:pPr>
    </w:p>
    <w:p>
      <w:pPr>
        <w:autoSpaceDE w:val="0"/>
        <w:autoSpaceDN w:val="0"/>
        <w:adjustRightInd w:val="0"/>
        <w:spacing w:after="0" w:line="360" w:lineRule="auto"/>
        <w:jc w:val="center"/>
        <w:rPr>
          <w:rFonts w:ascii="Times New Roman" w:hAnsi="Times New Roman"/>
          <w:bCs/>
          <w:color w:val="000000"/>
          <w:sz w:val="24"/>
          <w:szCs w:val="24"/>
        </w:rPr>
      </w:pPr>
    </w:p>
    <w:p>
      <w:pPr>
        <w:autoSpaceDE w:val="0"/>
        <w:autoSpaceDN w:val="0"/>
        <w:adjustRightInd w:val="0"/>
        <w:spacing w:after="0" w:line="360" w:lineRule="auto"/>
        <w:jc w:val="center"/>
        <w:rPr>
          <w:rFonts w:ascii="Times New Roman" w:hAnsi="Times New Roman"/>
          <w:bCs/>
          <w:color w:val="000000"/>
          <w:sz w:val="24"/>
          <w:szCs w:val="24"/>
        </w:rPr>
      </w:pPr>
    </w:p>
    <w:p>
      <w:pPr>
        <w:autoSpaceDE w:val="0"/>
        <w:autoSpaceDN w:val="0"/>
        <w:adjustRightInd w:val="0"/>
        <w:spacing w:after="0" w:line="360" w:lineRule="auto"/>
        <w:jc w:val="center"/>
        <w:rPr>
          <w:rFonts w:ascii="Times New Roman" w:hAnsi="Times New Roman"/>
          <w:bCs/>
          <w:color w:val="000000"/>
          <w:sz w:val="24"/>
          <w:szCs w:val="24"/>
        </w:rPr>
      </w:pPr>
    </w:p>
    <w:p>
      <w:pPr>
        <w:autoSpaceDE w:val="0"/>
        <w:autoSpaceDN w:val="0"/>
        <w:adjustRightInd w:val="0"/>
        <w:spacing w:after="0" w:line="360" w:lineRule="auto"/>
        <w:jc w:val="center"/>
        <w:rPr>
          <w:rFonts w:ascii="Times New Roman" w:hAnsi="Times New Roman"/>
          <w:b/>
          <w:bCs/>
          <w:color w:val="FF0000"/>
          <w:sz w:val="24"/>
          <w:szCs w:val="24"/>
        </w:rPr>
      </w:pPr>
    </w:p>
    <w:p>
      <w:pPr>
        <w:autoSpaceDE w:val="0"/>
        <w:autoSpaceDN w:val="0"/>
        <w:adjustRightInd w:val="0"/>
        <w:spacing w:after="0" w:line="360" w:lineRule="auto"/>
        <w:jc w:val="center"/>
        <w:rPr>
          <w:rFonts w:ascii="Times New Roman" w:hAnsi="Times New Roman"/>
          <w:b/>
          <w:bCs/>
          <w:color w:val="FF0000"/>
          <w:sz w:val="24"/>
          <w:szCs w:val="24"/>
        </w:rPr>
      </w:pPr>
    </w:p>
    <w:p>
      <w:pPr>
        <w:autoSpaceDE w:val="0"/>
        <w:autoSpaceDN w:val="0"/>
        <w:adjustRightInd w:val="0"/>
        <w:spacing w:after="0" w:line="360" w:lineRule="auto"/>
        <w:jc w:val="center"/>
        <w:rPr>
          <w:rFonts w:ascii="Times New Roman" w:hAnsi="Times New Roman"/>
          <w:b/>
          <w:bCs/>
          <w:color w:val="FF0000"/>
          <w:sz w:val="24"/>
          <w:szCs w:val="24"/>
        </w:rPr>
      </w:pPr>
    </w:p>
    <w:p>
      <w:pPr>
        <w:autoSpaceDE w:val="0"/>
        <w:autoSpaceDN w:val="0"/>
        <w:adjustRightInd w:val="0"/>
        <w:spacing w:after="0" w:line="360" w:lineRule="auto"/>
        <w:jc w:val="center"/>
        <w:rPr>
          <w:rFonts w:ascii="Times New Roman" w:hAnsi="Times New Roman"/>
          <w:b/>
          <w:bCs/>
          <w:sz w:val="24"/>
          <w:szCs w:val="24"/>
        </w:rPr>
      </w:pPr>
      <w:r>
        <w:rPr>
          <w:rFonts w:ascii="Times New Roman" w:hAnsi="Times New Roman"/>
          <w:b/>
          <w:bCs/>
          <w:sz w:val="24"/>
          <w:szCs w:val="24"/>
        </w:rPr>
        <w:t>COGME</w:t>
      </w:r>
    </w:p>
    <w:p>
      <w:pPr>
        <w:autoSpaceDE w:val="0"/>
        <w:autoSpaceDN w:val="0"/>
        <w:adjustRightInd w:val="0"/>
        <w:spacing w:after="0" w:line="360" w:lineRule="auto"/>
        <w:jc w:val="center"/>
        <w:rPr>
          <w:rFonts w:ascii="Times New Roman" w:hAnsi="Times New Roman"/>
          <w:bCs/>
          <w:color w:val="000000"/>
          <w:sz w:val="24"/>
          <w:szCs w:val="24"/>
        </w:rPr>
      </w:pPr>
    </w:p>
    <w:p>
      <w:pPr>
        <w:autoSpaceDE w:val="0"/>
        <w:autoSpaceDN w:val="0"/>
        <w:adjustRightInd w:val="0"/>
        <w:spacing w:after="0" w:line="240" w:lineRule="auto"/>
        <w:ind w:left="1168" w:right="743"/>
        <w:jc w:val="both"/>
        <w:rPr>
          <w:rFonts w:ascii="Times New Roman" w:hAnsi="Times New Roman"/>
          <w:bCs/>
          <w:color w:val="000000"/>
          <w:sz w:val="18"/>
          <w:szCs w:val="18"/>
        </w:rPr>
      </w:pPr>
    </w:p>
    <w:p>
      <w:pPr>
        <w:autoSpaceDE w:val="0"/>
        <w:autoSpaceDN w:val="0"/>
        <w:adjustRightInd w:val="0"/>
        <w:spacing w:after="0" w:line="240" w:lineRule="auto"/>
        <w:ind w:left="1168" w:right="743"/>
        <w:jc w:val="both"/>
        <w:rPr>
          <w:rFonts w:ascii="Times New Roman" w:hAnsi="Times New Roman"/>
          <w:bCs/>
          <w:color w:val="000000"/>
          <w:sz w:val="18"/>
          <w:szCs w:val="18"/>
        </w:rPr>
      </w:pPr>
    </w:p>
    <w:p>
      <w:pPr>
        <w:autoSpaceDE w:val="0"/>
        <w:autoSpaceDN w:val="0"/>
        <w:adjustRightInd w:val="0"/>
        <w:spacing w:after="0" w:line="240" w:lineRule="auto"/>
        <w:ind w:left="1168" w:right="743"/>
        <w:jc w:val="both"/>
        <w:rPr>
          <w:rFonts w:ascii="Times New Roman" w:hAnsi="Times New Roman"/>
          <w:bCs/>
          <w:color w:val="000000"/>
          <w:sz w:val="18"/>
          <w:szCs w:val="18"/>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4536" w:right="743"/>
        <w:jc w:val="both"/>
        <w:rPr>
          <w:rFonts w:ascii="Times New Roman" w:hAnsi="Times New Roman"/>
          <w:bCs/>
          <w:color w:val="000000"/>
          <w:sz w:val="20"/>
          <w:szCs w:val="20"/>
        </w:rPr>
      </w:pPr>
      <w:r>
        <w:rPr>
          <w:rFonts w:ascii="Times New Roman" w:hAnsi="Times New Roman"/>
          <w:bCs/>
          <w:sz w:val="20"/>
          <w:szCs w:val="20"/>
        </w:rPr>
        <w:t>Monografia apresentada</w:t>
      </w:r>
      <w:r>
        <w:rPr>
          <w:rFonts w:ascii="Times New Roman" w:hAnsi="Times New Roman"/>
          <w:bCs/>
          <w:color w:val="000000"/>
          <w:sz w:val="20"/>
          <w:szCs w:val="20"/>
        </w:rPr>
        <w:t xml:space="preserve"> à Faculdade de Tecnologia de Taquaritinga, como parte dos requisitos para a obtenção do título de </w:t>
      </w:r>
      <w:r>
        <w:rPr>
          <w:rFonts w:ascii="Times New Roman" w:hAnsi="Times New Roman"/>
          <w:bCs/>
          <w:color w:val="000000" w:themeColor="text1"/>
          <w:sz w:val="20"/>
          <w:szCs w:val="20"/>
        </w:rPr>
        <w:t xml:space="preserve">Tecnólogo em </w:t>
      </w:r>
      <w:r>
        <w:rPr>
          <w:rFonts w:ascii="Times New Roman" w:hAnsi="Times New Roman"/>
          <w:b/>
          <w:bCs/>
          <w:color w:val="000000" w:themeColor="text1"/>
          <w:sz w:val="20"/>
          <w:szCs w:val="20"/>
        </w:rPr>
        <w:t>Análise e Desenvolvimento de Sistemas.</w:t>
      </w:r>
    </w:p>
    <w:p>
      <w:pPr>
        <w:autoSpaceDE w:val="0"/>
        <w:autoSpaceDN w:val="0"/>
        <w:adjustRightInd w:val="0"/>
        <w:spacing w:after="0" w:line="360" w:lineRule="auto"/>
        <w:ind w:left="4536" w:right="742"/>
        <w:jc w:val="both"/>
        <w:rPr>
          <w:rFonts w:ascii="Times New Roman" w:hAnsi="Times New Roman"/>
          <w:bCs/>
          <w:color w:val="000000"/>
          <w:sz w:val="20"/>
          <w:szCs w:val="20"/>
        </w:rPr>
      </w:pPr>
    </w:p>
    <w:p>
      <w:pPr>
        <w:autoSpaceDE w:val="0"/>
        <w:autoSpaceDN w:val="0"/>
        <w:adjustRightInd w:val="0"/>
        <w:spacing w:after="0" w:line="360" w:lineRule="auto"/>
        <w:ind w:left="4536" w:right="742"/>
        <w:jc w:val="both"/>
        <w:rPr>
          <w:rFonts w:hint="default" w:ascii="Times New Roman" w:hAnsi="Times New Roman"/>
          <w:bCs/>
          <w:color w:val="000000" w:themeColor="text1"/>
          <w:sz w:val="20"/>
          <w:szCs w:val="20"/>
          <w:lang w:val="en-US"/>
        </w:rPr>
      </w:pPr>
      <w:r>
        <w:rPr>
          <w:rFonts w:ascii="Times New Roman" w:hAnsi="Times New Roman"/>
          <w:bCs/>
          <w:color w:val="000000" w:themeColor="text1"/>
          <w:sz w:val="20"/>
          <w:szCs w:val="20"/>
        </w:rPr>
        <w:t xml:space="preserve">Orientador: Prof. </w:t>
      </w:r>
      <w:r>
        <w:rPr>
          <w:rFonts w:ascii="Times New Roman" w:hAnsi="Times New Roman"/>
          <w:b/>
          <w:bCs/>
          <w:color w:val="000000" w:themeColor="text1"/>
          <w:sz w:val="20"/>
          <w:szCs w:val="20"/>
          <w:lang w:val="en-US"/>
        </w:rPr>
        <w:t xml:space="preserve">Dr. </w:t>
      </w:r>
      <w:r>
        <w:rPr>
          <w:rFonts w:ascii="Times New Roman" w:hAnsi="Times New Roman"/>
          <w:b/>
          <w:bCs/>
          <w:color w:val="000000" w:themeColor="text1"/>
          <w:sz w:val="20"/>
          <w:szCs w:val="20"/>
        </w:rPr>
        <w:t xml:space="preserve"> NIVALDO </w:t>
      </w:r>
      <w:r>
        <w:rPr>
          <w:rFonts w:hint="default" w:ascii="Times New Roman" w:hAnsi="Times New Roman"/>
          <w:b/>
          <w:bCs/>
          <w:color w:val="000000" w:themeColor="text1"/>
          <w:sz w:val="20"/>
          <w:szCs w:val="20"/>
          <w:lang w:val="en-US"/>
        </w:rPr>
        <w:t>CARLETO</w:t>
      </w:r>
      <w:bookmarkStart w:id="35" w:name="_GoBack"/>
      <w:bookmarkEnd w:id="35"/>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360" w:lineRule="auto"/>
        <w:ind w:left="1168" w:right="742"/>
        <w:jc w:val="both"/>
        <w:rPr>
          <w:rFonts w:ascii="Times New Roman" w:hAnsi="Times New Roman"/>
          <w:bCs/>
          <w:color w:val="000000"/>
          <w:sz w:val="18"/>
          <w:szCs w:val="18"/>
        </w:rPr>
      </w:pPr>
    </w:p>
    <w:p>
      <w:pPr>
        <w:autoSpaceDE w:val="0"/>
        <w:autoSpaceDN w:val="0"/>
        <w:adjustRightInd w:val="0"/>
        <w:spacing w:after="0" w:line="480" w:lineRule="auto"/>
        <w:ind w:left="-108"/>
        <w:jc w:val="center"/>
        <w:rPr>
          <w:rFonts w:ascii="Times New Roman" w:hAnsi="Times New Roman"/>
          <w:bCs/>
          <w:sz w:val="24"/>
          <w:szCs w:val="24"/>
        </w:rPr>
      </w:pPr>
      <w:r>
        <w:rPr>
          <w:rFonts w:ascii="Times New Roman" w:hAnsi="Times New Roman"/>
          <w:bCs/>
          <w:sz w:val="24"/>
          <w:szCs w:val="24"/>
        </w:rPr>
        <w:t>TAQUARITINGA - S.P.</w:t>
      </w:r>
    </w:p>
    <w:p>
      <w:pPr>
        <w:autoSpaceDE w:val="0"/>
        <w:autoSpaceDN w:val="0"/>
        <w:adjustRightInd w:val="0"/>
        <w:spacing w:after="0" w:line="480" w:lineRule="auto"/>
        <w:ind w:left="-108"/>
        <w:jc w:val="center"/>
        <w:rPr>
          <w:rFonts w:ascii="Times New Roman" w:hAnsi="Times New Roman"/>
          <w:bCs/>
          <w:sz w:val="24"/>
          <w:szCs w:val="24"/>
        </w:rPr>
      </w:pPr>
      <w:r>
        <w:rPr>
          <w:rFonts w:ascii="Times New Roman" w:hAnsi="Times New Roman"/>
          <w:bCs/>
          <w:sz w:val="24"/>
          <w:szCs w:val="24"/>
        </w:rPr>
        <w:t>2026</w:t>
      </w:r>
    </w:p>
    <w:p>
      <w:pPr>
        <w:autoSpaceDE w:val="0"/>
        <w:autoSpaceDN w:val="0"/>
        <w:adjustRightInd w:val="0"/>
        <w:spacing w:after="360" w:line="360" w:lineRule="auto"/>
        <w:jc w:val="center"/>
        <w:rPr>
          <w:rFonts w:ascii="Times New Roman" w:hAnsi="Times New Roman"/>
          <w:b/>
          <w:color w:val="000000"/>
          <w:sz w:val="24"/>
          <w:szCs w:val="24"/>
        </w:rPr>
      </w:pPr>
      <w:r>
        <w:rPr>
          <w:rFonts w:ascii="Times New Roman" w:hAnsi="Times New Roman"/>
          <w:b/>
          <w:color w:val="000000"/>
          <w:sz w:val="24"/>
          <w:szCs w:val="24"/>
        </w:rPr>
        <w:t>RESUMO</w:t>
      </w:r>
    </w:p>
    <w:p>
      <w:pPr>
        <w:autoSpaceDE w:val="0"/>
        <w:autoSpaceDN w:val="0"/>
        <w:adjustRightInd w:val="0"/>
        <w:spacing w:after="0" w:line="240" w:lineRule="auto"/>
        <w:jc w:val="center"/>
        <w:rPr>
          <w:rFonts w:ascii="Times New Roman" w:hAnsi="Times New Roman"/>
          <w:b/>
          <w:color w:val="000000"/>
          <w:sz w:val="24"/>
          <w:szCs w:val="24"/>
        </w:rPr>
      </w:pPr>
    </w:p>
    <w:p>
      <w:pPr>
        <w:spacing w:after="240"/>
        <w:jc w:val="both"/>
        <w:rPr>
          <w:rFonts w:ascii="Times New Roman" w:hAnsi="Times New Roman"/>
          <w:sz w:val="24"/>
          <w:szCs w:val="24"/>
        </w:rPr>
      </w:pPr>
      <w:r>
        <w:rPr>
          <w:rFonts w:ascii="Times New Roman" w:hAnsi="Times New Roman"/>
          <w:sz w:val="24"/>
          <w:szCs w:val="24"/>
        </w:rPr>
        <w:t xml:space="preserve">O resumo deve ser escrito em português, em espaço simples, ser um texto sintético que inclui as ideias principais do trabalho, ou seja, os objetivos, a metodologia, os resultados e as conclusões, permitindo que se tenha uma visão sucinta do todo, principalmente das questões de maior importância e das conclusões a que se tenha alcançado. Deve ser redigido em parágrafo único, mas sem a entrada de parágrafo. Deve possuir, no mínimo, 150 e, no máximo, 250 palavras, seguido, logo abaixo, das palavras representativas do conteúdo do trabalho, isto é, palavras-chave e/ou descritores, conforme a NBR 6028. </w:t>
      </w:r>
    </w:p>
    <w:p>
      <w:pPr>
        <w:spacing w:after="0" w:line="240" w:lineRule="auto"/>
        <w:rPr>
          <w:rFonts w:ascii="Times New Roman" w:hAnsi="Times New Roman"/>
          <w:sz w:val="24"/>
          <w:szCs w:val="24"/>
        </w:rPr>
      </w:pPr>
    </w:p>
    <w:p>
      <w:pPr>
        <w:spacing w:after="240"/>
        <w:jc w:val="both"/>
        <w:rPr>
          <w:rFonts w:ascii="Times New Roman" w:hAnsi="Times New Roman"/>
          <w:color w:val="000000"/>
          <w:sz w:val="24"/>
          <w:szCs w:val="24"/>
        </w:rPr>
      </w:pPr>
      <w:r>
        <w:rPr>
          <w:rFonts w:ascii="Times New Roman" w:hAnsi="Times New Roman"/>
          <w:b/>
          <w:sz w:val="24"/>
          <w:szCs w:val="24"/>
        </w:rPr>
        <w:t xml:space="preserve">Palavras-chave: </w:t>
      </w:r>
      <w:r>
        <w:rPr>
          <w:rFonts w:ascii="Times New Roman" w:hAnsi="Times New Roman"/>
          <w:color w:val="000000"/>
          <w:sz w:val="24"/>
          <w:szCs w:val="24"/>
        </w:rPr>
        <w:t xml:space="preserve">Palavra-chave. Palavra-chave. Palavra-chave. Palavra-chave. Palavra-chave. </w:t>
      </w:r>
    </w:p>
    <w:p>
      <w:pPr>
        <w:spacing w:after="240"/>
        <w:jc w:val="both"/>
        <w:rPr>
          <w:rFonts w:ascii="Times New Roman" w:hAnsi="Times New Roman"/>
          <w:sz w:val="24"/>
          <w:szCs w:val="24"/>
        </w:rPr>
      </w:pPr>
      <w:r>
        <w:rPr>
          <w:rFonts w:ascii="Times New Roman" w:hAnsi="Times New Roman"/>
          <w:color w:val="000000"/>
          <w:sz w:val="24"/>
          <w:szCs w:val="24"/>
        </w:rPr>
        <w:t>[</w:t>
      </w:r>
      <w:r>
        <w:rPr>
          <w:rFonts w:ascii="Times New Roman" w:hAnsi="Times New Roman"/>
          <w:sz w:val="24"/>
          <w:szCs w:val="24"/>
        </w:rPr>
        <w:t>No mínimo três. No máximo cinco. Separadas por ponto final. Utilize a formatação que já está neste texto, em ordem alfabética.]</w:t>
      </w:r>
    </w:p>
    <w:p>
      <w:pPr>
        <w:pStyle w:val="20"/>
        <w:jc w:val="left"/>
      </w:pPr>
      <w:r>
        <w:br w:type="page"/>
      </w:r>
    </w:p>
    <w:p>
      <w:pPr>
        <w:spacing w:after="0" w:line="360" w:lineRule="auto"/>
        <w:jc w:val="center"/>
        <w:rPr>
          <w:rFonts w:ascii="Times New Roman" w:hAnsi="Times New Roman"/>
          <w:b/>
          <w:sz w:val="24"/>
        </w:rPr>
      </w:pPr>
      <w:r>
        <w:rPr>
          <w:rFonts w:ascii="Times New Roman" w:hAnsi="Times New Roman"/>
          <w:b/>
          <w:sz w:val="24"/>
        </w:rPr>
        <w:t>LISTA DE QUADROS</w:t>
      </w:r>
    </w:p>
    <w:p>
      <w:pPr>
        <w:spacing w:line="360" w:lineRule="auto"/>
        <w:rPr>
          <w:rFonts w:ascii="Times New Roman" w:hAnsi="Times New Roman"/>
          <w:sz w:val="24"/>
        </w:rPr>
      </w:pPr>
    </w:p>
    <w:p>
      <w:pPr>
        <w:spacing w:after="0" w:line="360" w:lineRule="auto"/>
        <w:rPr>
          <w:rFonts w:ascii="Times New Roman" w:hAnsi="Times New Roman"/>
          <w:sz w:val="24"/>
        </w:rPr>
      </w:pPr>
      <w:r>
        <w:rPr>
          <w:rFonts w:ascii="Times New Roman" w:hAnsi="Times New Roman"/>
          <w:sz w:val="24"/>
        </w:rPr>
        <w:t>Quadro 1 — Princípios do PMBOK® 7ª edição aplicados ao COGME</w:t>
      </w:r>
      <w:r>
        <w:rPr>
          <w:rFonts w:ascii="Times New Roman" w:hAnsi="Times New Roman"/>
          <w:sz w:val="24"/>
        </w:rPr>
        <w:tab/>
      </w:r>
      <w:r>
        <w:rPr>
          <w:rFonts w:ascii="Times New Roman" w:hAnsi="Times New Roman"/>
          <w:sz w:val="24"/>
        </w:rPr>
        <w:t>10</w:t>
      </w:r>
    </w:p>
    <w:p>
      <w:pPr>
        <w:spacing w:after="0" w:line="360" w:lineRule="auto"/>
        <w:rPr>
          <w:rFonts w:ascii="Times New Roman" w:hAnsi="Times New Roman"/>
          <w:sz w:val="24"/>
        </w:rPr>
      </w:pPr>
      <w:r>
        <w:rPr>
          <w:rFonts w:ascii="Times New Roman" w:hAnsi="Times New Roman"/>
          <w:sz w:val="24"/>
        </w:rPr>
        <w:t>Quadro 2 — Estratégia de adaptação do projeto</w:t>
      </w:r>
      <w:r>
        <w:rPr>
          <w:rFonts w:ascii="Times New Roman" w:hAnsi="Times New Roman"/>
          <w:sz w:val="24"/>
        </w:rPr>
        <w:tab/>
      </w:r>
      <w:r>
        <w:rPr>
          <w:rFonts w:ascii="Times New Roman" w:hAnsi="Times New Roman"/>
          <w:sz w:val="24"/>
        </w:rPr>
        <w:t>12</w:t>
      </w:r>
    </w:p>
    <w:p>
      <w:pPr>
        <w:spacing w:after="0" w:line="360" w:lineRule="auto"/>
        <w:rPr>
          <w:rFonts w:ascii="Times New Roman" w:hAnsi="Times New Roman"/>
          <w:sz w:val="24"/>
        </w:rPr>
      </w:pPr>
      <w:r>
        <w:rPr>
          <w:rFonts w:ascii="Times New Roman" w:hAnsi="Times New Roman"/>
          <w:sz w:val="24"/>
        </w:rPr>
        <w:t>Quadro 3 — Premissas de planejamento</w:t>
      </w:r>
      <w:r>
        <w:rPr>
          <w:rFonts w:ascii="Times New Roman" w:hAnsi="Times New Roman"/>
          <w:sz w:val="24"/>
        </w:rPr>
        <w:tab/>
      </w:r>
      <w:r>
        <w:rPr>
          <w:rFonts w:ascii="Times New Roman" w:hAnsi="Times New Roman"/>
          <w:sz w:val="24"/>
        </w:rPr>
        <w:t>12</w:t>
      </w:r>
    </w:p>
    <w:p>
      <w:pPr>
        <w:spacing w:after="0" w:line="360" w:lineRule="auto"/>
        <w:rPr>
          <w:rFonts w:ascii="Times New Roman" w:hAnsi="Times New Roman"/>
          <w:sz w:val="24"/>
        </w:rPr>
      </w:pPr>
      <w:r>
        <w:rPr>
          <w:rFonts w:ascii="Times New Roman" w:hAnsi="Times New Roman"/>
          <w:sz w:val="24"/>
        </w:rPr>
        <w:t>Quadro 4 — Requisitos funcionais e não funcionais do MVP</w:t>
      </w:r>
      <w:r>
        <w:rPr>
          <w:rFonts w:ascii="Times New Roman" w:hAnsi="Times New Roman"/>
          <w:sz w:val="24"/>
        </w:rPr>
        <w:tab/>
      </w:r>
      <w:r>
        <w:rPr>
          <w:rFonts w:ascii="Times New Roman" w:hAnsi="Times New Roman"/>
          <w:sz w:val="24"/>
        </w:rPr>
        <w:t>14</w:t>
      </w:r>
    </w:p>
    <w:p>
      <w:pPr>
        <w:spacing w:after="0" w:line="360" w:lineRule="auto"/>
        <w:rPr>
          <w:rFonts w:ascii="Times New Roman" w:hAnsi="Times New Roman"/>
          <w:sz w:val="24"/>
        </w:rPr>
      </w:pPr>
      <w:r>
        <w:rPr>
          <w:rFonts w:ascii="Times New Roman" w:hAnsi="Times New Roman"/>
          <w:sz w:val="24"/>
        </w:rPr>
        <w:t>Quadro 5 — Requisitos de qualidade, integração contínua e implantação</w:t>
      </w:r>
      <w:r>
        <w:rPr>
          <w:rFonts w:ascii="Times New Roman" w:hAnsi="Times New Roman"/>
          <w:sz w:val="24"/>
        </w:rPr>
        <w:tab/>
      </w:r>
      <w:r>
        <w:rPr>
          <w:rFonts w:ascii="Times New Roman" w:hAnsi="Times New Roman"/>
          <w:sz w:val="24"/>
        </w:rPr>
        <w:t>15</w:t>
      </w:r>
    </w:p>
    <w:p>
      <w:pPr>
        <w:spacing w:after="0" w:line="360" w:lineRule="auto"/>
        <w:rPr>
          <w:rFonts w:ascii="Times New Roman" w:hAnsi="Times New Roman"/>
          <w:sz w:val="24"/>
        </w:rPr>
      </w:pPr>
      <w:r>
        <w:rPr>
          <w:rFonts w:ascii="Times New Roman" w:hAnsi="Times New Roman"/>
          <w:sz w:val="24"/>
        </w:rPr>
        <w:t>Quadro 6 — Macro-fases do cronograma</w:t>
      </w:r>
      <w:r>
        <w:rPr>
          <w:rFonts w:ascii="Times New Roman" w:hAnsi="Times New Roman"/>
          <w:sz w:val="24"/>
        </w:rPr>
        <w:tab/>
      </w:r>
      <w:r>
        <w:rPr>
          <w:rFonts w:ascii="Times New Roman" w:hAnsi="Times New Roman"/>
          <w:sz w:val="24"/>
        </w:rPr>
        <w:t>16</w:t>
      </w:r>
    </w:p>
    <w:p>
      <w:pPr>
        <w:spacing w:after="0" w:line="360" w:lineRule="auto"/>
        <w:rPr>
          <w:rFonts w:ascii="Times New Roman" w:hAnsi="Times New Roman"/>
          <w:sz w:val="24"/>
        </w:rPr>
      </w:pPr>
      <w:r>
        <w:rPr>
          <w:rFonts w:ascii="Times New Roman" w:hAnsi="Times New Roman"/>
          <w:sz w:val="24"/>
        </w:rPr>
        <w:t>Quadro 7 — Estrutura Analítica do Projeto</w:t>
      </w:r>
      <w:r>
        <w:rPr>
          <w:rFonts w:ascii="Times New Roman" w:hAnsi="Times New Roman"/>
          <w:sz w:val="24"/>
        </w:rPr>
        <w:tab/>
      </w:r>
      <w:r>
        <w:rPr>
          <w:rFonts w:ascii="Times New Roman" w:hAnsi="Times New Roman"/>
          <w:sz w:val="24"/>
        </w:rPr>
        <w:t>16</w:t>
      </w:r>
    </w:p>
    <w:p>
      <w:pPr>
        <w:spacing w:after="0" w:line="360" w:lineRule="auto"/>
        <w:rPr>
          <w:rFonts w:ascii="Times New Roman" w:hAnsi="Times New Roman"/>
          <w:sz w:val="24"/>
        </w:rPr>
      </w:pPr>
      <w:r>
        <w:rPr>
          <w:rFonts w:ascii="Times New Roman" w:hAnsi="Times New Roman"/>
          <w:sz w:val="24"/>
        </w:rPr>
        <w:t>Quadro 8 — Planilha de custos do projeto</w:t>
      </w:r>
      <w:r>
        <w:rPr>
          <w:rFonts w:ascii="Times New Roman" w:hAnsi="Times New Roman"/>
          <w:sz w:val="24"/>
        </w:rPr>
        <w:tab/>
      </w:r>
      <w:r>
        <w:rPr>
          <w:rFonts w:ascii="Times New Roman" w:hAnsi="Times New Roman"/>
          <w:sz w:val="24"/>
        </w:rPr>
        <w:t>19</w:t>
      </w:r>
    </w:p>
    <w:p>
      <w:pPr>
        <w:spacing w:after="0" w:line="360" w:lineRule="auto"/>
        <w:rPr>
          <w:rFonts w:ascii="Times New Roman" w:hAnsi="Times New Roman"/>
          <w:sz w:val="24"/>
        </w:rPr>
      </w:pPr>
      <w:r>
        <w:rPr>
          <w:rFonts w:ascii="Times New Roman" w:hAnsi="Times New Roman"/>
          <w:sz w:val="24"/>
        </w:rPr>
        <w:t>Quadro 9 — Decomposição de pacotes de trabalho em atividades</w:t>
      </w:r>
      <w:r>
        <w:rPr>
          <w:rFonts w:ascii="Times New Roman" w:hAnsi="Times New Roman"/>
          <w:sz w:val="24"/>
        </w:rPr>
        <w:tab/>
      </w:r>
      <w:r>
        <w:rPr>
          <w:rFonts w:ascii="Times New Roman" w:hAnsi="Times New Roman"/>
          <w:sz w:val="24"/>
        </w:rPr>
        <w:t>20</w:t>
      </w:r>
    </w:p>
    <w:p>
      <w:pPr>
        <w:spacing w:after="0" w:line="360" w:lineRule="auto"/>
        <w:rPr>
          <w:rFonts w:ascii="Times New Roman" w:hAnsi="Times New Roman"/>
          <w:sz w:val="24"/>
        </w:rPr>
      </w:pPr>
      <w:r>
        <w:rPr>
          <w:rFonts w:ascii="Times New Roman" w:hAnsi="Times New Roman"/>
          <w:sz w:val="24"/>
        </w:rPr>
        <w:t>Quadro 10 — Tabela de precedência dos pacotes de trabalho</w:t>
      </w:r>
      <w:r>
        <w:rPr>
          <w:rFonts w:ascii="Times New Roman" w:hAnsi="Times New Roman"/>
          <w:sz w:val="24"/>
        </w:rPr>
        <w:tab/>
      </w:r>
      <w:r>
        <w:rPr>
          <w:rFonts w:ascii="Times New Roman" w:hAnsi="Times New Roman"/>
          <w:sz w:val="24"/>
        </w:rPr>
        <w:t>22</w:t>
      </w:r>
    </w:p>
    <w:p>
      <w:pPr>
        <w:spacing w:after="0" w:line="360" w:lineRule="auto"/>
        <w:rPr>
          <w:rFonts w:ascii="Times New Roman" w:hAnsi="Times New Roman"/>
          <w:sz w:val="24"/>
        </w:rPr>
      </w:pPr>
      <w:r>
        <w:rPr>
          <w:rFonts w:ascii="Times New Roman" w:hAnsi="Times New Roman"/>
          <w:sz w:val="24"/>
        </w:rPr>
        <w:t>Quadro 11 — Ciclos PDCA aplicados ao projeto</w:t>
      </w:r>
      <w:r>
        <w:rPr>
          <w:rFonts w:ascii="Times New Roman" w:hAnsi="Times New Roman"/>
          <w:sz w:val="24"/>
        </w:rPr>
        <w:tab/>
      </w:r>
      <w:r>
        <w:rPr>
          <w:rFonts w:ascii="Times New Roman" w:hAnsi="Times New Roman"/>
          <w:sz w:val="24"/>
        </w:rPr>
        <w:t>24</w:t>
      </w:r>
    </w:p>
    <w:p>
      <w:pPr>
        <w:spacing w:after="0" w:line="360" w:lineRule="auto"/>
        <w:rPr>
          <w:rFonts w:ascii="Times New Roman" w:hAnsi="Times New Roman"/>
          <w:sz w:val="24"/>
        </w:rPr>
      </w:pPr>
      <w:r>
        <w:rPr>
          <w:rFonts w:ascii="Times New Roman" w:hAnsi="Times New Roman"/>
          <w:sz w:val="24"/>
        </w:rPr>
        <w:t>Quadro 12 — Painel de medição do projeto</w:t>
      </w:r>
      <w:r>
        <w:rPr>
          <w:rFonts w:ascii="Times New Roman" w:hAnsi="Times New Roman"/>
          <w:sz w:val="24"/>
        </w:rPr>
        <w:tab/>
      </w:r>
      <w:r>
        <w:rPr>
          <w:rFonts w:ascii="Times New Roman" w:hAnsi="Times New Roman"/>
          <w:sz w:val="24"/>
        </w:rPr>
        <w:t>25</w:t>
      </w:r>
    </w:p>
    <w:p>
      <w:pPr>
        <w:spacing w:after="0" w:line="360" w:lineRule="auto"/>
        <w:rPr>
          <w:rFonts w:ascii="Times New Roman" w:hAnsi="Times New Roman"/>
          <w:sz w:val="24"/>
        </w:rPr>
      </w:pPr>
      <w:r>
        <w:rPr>
          <w:rFonts w:ascii="Times New Roman" w:hAnsi="Times New Roman"/>
          <w:sz w:val="24"/>
        </w:rPr>
        <w:t>Quadro 13 — Funções de escritório de projetos no COGME</w:t>
      </w:r>
      <w:r>
        <w:rPr>
          <w:rFonts w:ascii="Times New Roman" w:hAnsi="Times New Roman"/>
          <w:sz w:val="24"/>
        </w:rPr>
        <w:tab/>
      </w:r>
      <w:r>
        <w:rPr>
          <w:rFonts w:ascii="Times New Roman" w:hAnsi="Times New Roman"/>
          <w:sz w:val="24"/>
        </w:rPr>
        <w:t>27</w:t>
      </w:r>
    </w:p>
    <w:p>
      <w:pPr>
        <w:spacing w:after="0" w:line="360" w:lineRule="auto"/>
        <w:rPr>
          <w:rFonts w:ascii="Times New Roman" w:hAnsi="Times New Roman"/>
          <w:sz w:val="24"/>
        </w:rPr>
      </w:pPr>
      <w:r>
        <w:rPr>
          <w:rFonts w:ascii="Times New Roman" w:hAnsi="Times New Roman"/>
          <w:sz w:val="24"/>
        </w:rPr>
        <w:t>Quadro 14 — Matriz de responsabilidade (RACI)</w:t>
      </w:r>
      <w:r>
        <w:rPr>
          <w:rFonts w:ascii="Times New Roman" w:hAnsi="Times New Roman"/>
          <w:sz w:val="24"/>
        </w:rPr>
        <w:tab/>
      </w:r>
      <w:r>
        <w:rPr>
          <w:rFonts w:ascii="Times New Roman" w:hAnsi="Times New Roman"/>
          <w:sz w:val="24"/>
        </w:rPr>
        <w:t>28</w:t>
      </w:r>
    </w:p>
    <w:p>
      <w:pPr>
        <w:spacing w:after="0" w:line="360" w:lineRule="auto"/>
        <w:rPr>
          <w:rFonts w:ascii="Times New Roman" w:hAnsi="Times New Roman"/>
          <w:sz w:val="24"/>
        </w:rPr>
      </w:pPr>
      <w:r>
        <w:rPr>
          <w:rFonts w:ascii="Times New Roman" w:hAnsi="Times New Roman"/>
          <w:sz w:val="24"/>
        </w:rPr>
        <w:t>Quadro 15 — Registro de riscos do projeto</w:t>
      </w:r>
      <w:r>
        <w:rPr>
          <w:rFonts w:ascii="Times New Roman" w:hAnsi="Times New Roman"/>
          <w:sz w:val="24"/>
        </w:rPr>
        <w:tab/>
      </w:r>
      <w:r>
        <w:rPr>
          <w:rFonts w:ascii="Times New Roman" w:hAnsi="Times New Roman"/>
          <w:sz w:val="24"/>
        </w:rPr>
        <w:t>31</w:t>
      </w:r>
    </w:p>
    <w:p>
      <w:pPr>
        <w:spacing w:after="0" w:line="360" w:lineRule="auto"/>
        <w:rPr>
          <w:rFonts w:ascii="Times New Roman" w:hAnsi="Times New Roman"/>
          <w:sz w:val="24"/>
        </w:rPr>
      </w:pPr>
      <w:r>
        <w:rPr>
          <w:rFonts w:ascii="Times New Roman" w:hAnsi="Times New Roman"/>
          <w:sz w:val="24"/>
        </w:rPr>
        <w:t>Quadro 16 — Stack tecnológica aprovada</w:t>
      </w:r>
      <w:r>
        <w:rPr>
          <w:rFonts w:ascii="Times New Roman" w:hAnsi="Times New Roman"/>
          <w:sz w:val="24"/>
        </w:rPr>
        <w:tab/>
      </w:r>
      <w:r>
        <w:rPr>
          <w:rFonts w:ascii="Times New Roman" w:hAnsi="Times New Roman"/>
          <w:sz w:val="24"/>
        </w:rPr>
        <w:t>34</w:t>
      </w:r>
    </w:p>
    <w:p>
      <w:pPr>
        <w:rPr>
          <w:rFonts w:ascii="Times New Roman" w:hAnsi="Times New Roman"/>
          <w:sz w:val="24"/>
        </w:rPr>
      </w:pPr>
    </w:p>
    <w:p>
      <w:pPr>
        <w:spacing w:after="360" w:line="360" w:lineRule="auto"/>
        <w:jc w:val="center"/>
        <w:rPr>
          <w:rFonts w:ascii="Times New Roman" w:hAnsi="Times New Roman"/>
          <w:b/>
          <w:bCs/>
          <w:color w:val="000000"/>
          <w:sz w:val="24"/>
          <w:szCs w:val="24"/>
        </w:rPr>
      </w:pPr>
      <w:r>
        <w:rPr>
          <w:rFonts w:ascii="Times New Roman" w:hAnsi="Times New Roman"/>
          <w:b/>
          <w:bCs/>
          <w:color w:val="000000"/>
          <w:sz w:val="24"/>
          <w:szCs w:val="24"/>
        </w:rPr>
        <w:br w:type="page"/>
      </w:r>
    </w:p>
    <w:p>
      <w:pPr>
        <w:spacing w:after="360" w:line="360" w:lineRule="auto"/>
        <w:jc w:val="center"/>
        <w:rPr>
          <w:rFonts w:ascii="Times New Roman" w:hAnsi="Times New Roman"/>
          <w:b/>
          <w:bCs/>
          <w:color w:val="000000"/>
          <w:sz w:val="24"/>
          <w:szCs w:val="24"/>
        </w:rPr>
      </w:pPr>
      <w:r>
        <w:rPr>
          <w:rFonts w:ascii="Times New Roman" w:hAnsi="Times New Roman"/>
          <w:b/>
          <w:bCs/>
          <w:color w:val="000000"/>
          <w:sz w:val="24"/>
          <w:szCs w:val="24"/>
        </w:rPr>
        <w:t>LISTA DE ABREVIATURAS E SIGLAS</w:t>
      </w:r>
    </w:p>
    <w:p>
      <w:pPr>
        <w:spacing w:after="0" w:line="360" w:lineRule="auto"/>
        <w:ind w:firstLine="709"/>
        <w:jc w:val="center"/>
        <w:rPr>
          <w:rFonts w:ascii="Times New Roman" w:hAnsi="Times New Roman"/>
          <w:sz w:val="24"/>
          <w:szCs w:val="24"/>
        </w:rPr>
      </w:pPr>
    </w:p>
    <w:p>
      <w:pPr>
        <w:pStyle w:val="11"/>
        <w:spacing w:after="0" w:line="276" w:lineRule="auto"/>
        <w:rPr>
          <w:rFonts w:ascii="Times New Roman" w:hAnsi="Times New Roman"/>
          <w:color w:val="000000"/>
          <w:sz w:val="24"/>
          <w:szCs w:val="24"/>
        </w:rPr>
      </w:pPr>
      <w:r>
        <w:rPr>
          <w:rFonts w:ascii="Times New Roman" w:hAnsi="Times New Roman"/>
          <w:bCs/>
          <w:color w:val="000000"/>
          <w:sz w:val="24"/>
          <w:szCs w:val="24"/>
        </w:rPr>
        <w:t>ABNT</w:t>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color w:val="000000"/>
          <w:sz w:val="24"/>
          <w:szCs w:val="24"/>
        </w:rPr>
        <w:t>Associação Brasileira de Normas Técnicas</w:t>
      </w:r>
    </w:p>
    <w:p>
      <w:pPr>
        <w:pStyle w:val="11"/>
        <w:spacing w:after="0" w:line="276" w:lineRule="auto"/>
        <w:rPr>
          <w:rFonts w:ascii="Times New Roman" w:hAnsi="Times New Roman"/>
          <w:color w:val="000000"/>
          <w:sz w:val="24"/>
        </w:rPr>
      </w:pPr>
      <w:r>
        <w:rPr>
          <w:rFonts w:ascii="Times New Roman" w:hAnsi="Times New Roman"/>
          <w:color w:val="000000"/>
          <w:sz w:val="24"/>
        </w:rPr>
        <w:t>COGME</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Conversor de Ganhos em Moeda Estrangeira</w:t>
      </w:r>
    </w:p>
    <w:p>
      <w:pPr>
        <w:pStyle w:val="11"/>
        <w:spacing w:after="0" w:line="276" w:lineRule="auto"/>
        <w:rPr>
          <w:rFonts w:ascii="Times New Roman" w:hAnsi="Times New Roman"/>
          <w:color w:val="000000"/>
          <w:sz w:val="24"/>
        </w:rPr>
      </w:pPr>
      <w:r>
        <w:rPr>
          <w:rFonts w:ascii="Times New Roman" w:hAnsi="Times New Roman"/>
          <w:color w:val="000000"/>
          <w:sz w:val="24"/>
        </w:rPr>
        <w:t>TAP</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Termo de Abertura do Projeto</w:t>
      </w:r>
    </w:p>
    <w:p>
      <w:pPr>
        <w:pStyle w:val="11"/>
        <w:spacing w:after="0" w:line="276" w:lineRule="auto"/>
        <w:rPr>
          <w:rFonts w:ascii="Times New Roman" w:hAnsi="Times New Roman"/>
          <w:color w:val="000000"/>
          <w:sz w:val="24"/>
          <w:lang w:val="en-US"/>
        </w:rPr>
      </w:pPr>
      <w:r>
        <w:rPr>
          <w:rFonts w:ascii="Times New Roman" w:hAnsi="Times New Roman"/>
          <w:color w:val="000000"/>
          <w:sz w:val="24"/>
          <w:lang w:val="en-US"/>
        </w:rPr>
        <w:t>EAP/WBS</w:t>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Estrutura Analítica do Projeto / Work Breakdown Structure</w:t>
      </w:r>
    </w:p>
    <w:p>
      <w:pPr>
        <w:pStyle w:val="11"/>
        <w:spacing w:after="0" w:line="276" w:lineRule="auto"/>
        <w:rPr>
          <w:rFonts w:ascii="Times New Roman" w:hAnsi="Times New Roman"/>
          <w:color w:val="000000"/>
          <w:sz w:val="24"/>
          <w:lang w:val="en-US"/>
        </w:rPr>
      </w:pPr>
      <w:r>
        <w:rPr>
          <w:rFonts w:ascii="Times New Roman" w:hAnsi="Times New Roman"/>
          <w:color w:val="000000"/>
          <w:sz w:val="24"/>
          <w:lang w:val="en-US"/>
        </w:rPr>
        <w:t>PMBOK</w:t>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Project Management Body of Knowledge</w:t>
      </w:r>
    </w:p>
    <w:p>
      <w:pPr>
        <w:pStyle w:val="11"/>
        <w:spacing w:after="0" w:line="276" w:lineRule="auto"/>
        <w:rPr>
          <w:rFonts w:ascii="Times New Roman" w:hAnsi="Times New Roman"/>
          <w:color w:val="000000"/>
          <w:sz w:val="24"/>
        </w:rPr>
      </w:pPr>
      <w:r>
        <w:rPr>
          <w:rFonts w:ascii="Times New Roman" w:hAnsi="Times New Roman"/>
          <w:color w:val="000000"/>
          <w:sz w:val="24"/>
        </w:rPr>
        <w:t>PMO</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Project Management Office (Escritório de Projetos)</w:t>
      </w:r>
    </w:p>
    <w:p>
      <w:pPr>
        <w:pStyle w:val="11"/>
        <w:spacing w:after="0" w:line="276" w:lineRule="auto"/>
        <w:rPr>
          <w:rFonts w:ascii="Times New Roman" w:hAnsi="Times New Roman"/>
          <w:color w:val="000000"/>
          <w:sz w:val="24"/>
        </w:rPr>
      </w:pPr>
      <w:r>
        <w:rPr>
          <w:rFonts w:ascii="Times New Roman" w:hAnsi="Times New Roman"/>
          <w:color w:val="000000"/>
          <w:sz w:val="24"/>
        </w:rPr>
        <w:t>MVP</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Minimum Viable Product (Produto Mínimo Viável)</w:t>
      </w:r>
    </w:p>
    <w:p>
      <w:pPr>
        <w:pStyle w:val="11"/>
        <w:spacing w:after="0" w:line="276" w:lineRule="auto"/>
        <w:rPr>
          <w:rFonts w:ascii="Times New Roman" w:hAnsi="Times New Roman"/>
          <w:color w:val="000000"/>
          <w:sz w:val="24"/>
          <w:lang w:val="en-US"/>
        </w:rPr>
      </w:pPr>
      <w:r>
        <w:rPr>
          <w:rFonts w:ascii="Times New Roman" w:hAnsi="Times New Roman"/>
          <w:color w:val="000000"/>
          <w:sz w:val="24"/>
          <w:lang w:val="en-US"/>
        </w:rPr>
        <w:t>FOSS</w:t>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Free and Open Source Software</w:t>
      </w:r>
    </w:p>
    <w:p>
      <w:pPr>
        <w:pStyle w:val="11"/>
        <w:spacing w:after="0" w:line="276" w:lineRule="auto"/>
        <w:rPr>
          <w:rFonts w:ascii="Times New Roman" w:hAnsi="Times New Roman"/>
          <w:color w:val="000000"/>
          <w:sz w:val="24"/>
          <w:lang w:val="en-US"/>
        </w:rPr>
      </w:pPr>
      <w:r>
        <w:rPr>
          <w:rFonts w:ascii="Times New Roman" w:hAnsi="Times New Roman"/>
          <w:color w:val="000000"/>
          <w:sz w:val="24"/>
          <w:lang w:val="en-US"/>
        </w:rPr>
        <w:t>OSI</w:t>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Open Source Initiative</w:t>
      </w:r>
    </w:p>
    <w:p>
      <w:pPr>
        <w:pStyle w:val="11"/>
        <w:spacing w:after="0" w:line="276" w:lineRule="auto"/>
        <w:rPr>
          <w:rFonts w:ascii="Times New Roman" w:hAnsi="Times New Roman"/>
          <w:color w:val="000000"/>
          <w:sz w:val="24"/>
          <w:lang w:val="en-US"/>
        </w:rPr>
      </w:pPr>
      <w:r>
        <w:rPr>
          <w:rFonts w:ascii="Times New Roman" w:hAnsi="Times New Roman"/>
          <w:color w:val="000000"/>
          <w:sz w:val="24"/>
          <w:lang w:val="en-US"/>
        </w:rPr>
        <w:t>SDD</w:t>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Specification-Driven Development</w:t>
      </w:r>
    </w:p>
    <w:p>
      <w:pPr>
        <w:pStyle w:val="11"/>
        <w:spacing w:after="0" w:line="276" w:lineRule="auto"/>
        <w:rPr>
          <w:rFonts w:ascii="Times New Roman" w:hAnsi="Times New Roman"/>
          <w:color w:val="000000"/>
          <w:sz w:val="24"/>
        </w:rPr>
      </w:pPr>
      <w:r>
        <w:rPr>
          <w:rFonts w:ascii="Times New Roman" w:hAnsi="Times New Roman"/>
          <w:color w:val="000000"/>
          <w:sz w:val="24"/>
        </w:rPr>
        <w:t>IA</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Inteligência Artificial</w:t>
      </w:r>
    </w:p>
    <w:p>
      <w:pPr>
        <w:pStyle w:val="11"/>
        <w:spacing w:after="0" w:line="276" w:lineRule="auto"/>
        <w:rPr>
          <w:rFonts w:ascii="Times New Roman" w:hAnsi="Times New Roman"/>
          <w:color w:val="000000"/>
          <w:sz w:val="24"/>
        </w:rPr>
      </w:pPr>
      <w:r>
        <w:rPr>
          <w:rFonts w:ascii="Times New Roman" w:hAnsi="Times New Roman"/>
          <w:color w:val="000000"/>
          <w:sz w:val="24"/>
        </w:rPr>
        <w:t>ADR</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Architecture Decision Record (Registro de Decisão Arquitetural)</w:t>
      </w:r>
    </w:p>
    <w:p>
      <w:pPr>
        <w:pStyle w:val="11"/>
        <w:spacing w:after="0" w:line="276" w:lineRule="auto"/>
        <w:rPr>
          <w:rFonts w:ascii="Times New Roman" w:hAnsi="Times New Roman"/>
          <w:color w:val="000000"/>
          <w:sz w:val="24"/>
        </w:rPr>
      </w:pPr>
      <w:r>
        <w:rPr>
          <w:rFonts w:ascii="Times New Roman" w:hAnsi="Times New Roman"/>
          <w:color w:val="000000"/>
          <w:sz w:val="24"/>
        </w:rPr>
        <w:t>CCB</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Change Control Board (Comitê de Controle de Mudanças)</w:t>
      </w:r>
    </w:p>
    <w:p>
      <w:pPr>
        <w:pStyle w:val="11"/>
        <w:spacing w:after="0" w:line="276" w:lineRule="auto"/>
        <w:rPr>
          <w:rFonts w:ascii="Times New Roman" w:hAnsi="Times New Roman"/>
          <w:color w:val="000000"/>
          <w:sz w:val="24"/>
        </w:rPr>
      </w:pPr>
      <w:r>
        <w:rPr>
          <w:rFonts w:ascii="Times New Roman" w:hAnsi="Times New Roman"/>
          <w:color w:val="000000"/>
          <w:sz w:val="24"/>
        </w:rPr>
        <w:t>RACI</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Responsável, Aprovador, Consultado e Informado</w:t>
      </w:r>
    </w:p>
    <w:p>
      <w:pPr>
        <w:pStyle w:val="11"/>
        <w:spacing w:after="0" w:line="276" w:lineRule="auto"/>
        <w:rPr>
          <w:rFonts w:ascii="Times New Roman" w:hAnsi="Times New Roman"/>
          <w:color w:val="000000"/>
          <w:sz w:val="24"/>
          <w:lang w:val="en-US"/>
        </w:rPr>
      </w:pPr>
      <w:r>
        <w:rPr>
          <w:rFonts w:ascii="Times New Roman" w:hAnsi="Times New Roman"/>
          <w:color w:val="000000"/>
          <w:sz w:val="24"/>
          <w:lang w:val="en-US"/>
        </w:rPr>
        <w:t>CI/CD</w:t>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ab/>
      </w:r>
      <w:r>
        <w:rPr>
          <w:rFonts w:ascii="Times New Roman" w:hAnsi="Times New Roman"/>
          <w:color w:val="000000"/>
          <w:sz w:val="24"/>
          <w:lang w:val="en-US"/>
        </w:rPr>
        <w:t>Continuous Integration / Continuous Deployment</w:t>
      </w:r>
    </w:p>
    <w:p>
      <w:pPr>
        <w:pStyle w:val="11"/>
        <w:spacing w:after="0" w:line="276" w:lineRule="auto"/>
        <w:rPr>
          <w:rFonts w:ascii="Times New Roman" w:hAnsi="Times New Roman"/>
          <w:color w:val="000000"/>
          <w:sz w:val="24"/>
        </w:rPr>
      </w:pPr>
      <w:r>
        <w:rPr>
          <w:rFonts w:ascii="Times New Roman" w:hAnsi="Times New Roman"/>
          <w:color w:val="000000"/>
          <w:sz w:val="24"/>
        </w:rPr>
        <w:t>UAT</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User Acceptance Testing (Teste de Aceitação do Usuário)</w:t>
      </w:r>
    </w:p>
    <w:p>
      <w:pPr>
        <w:pStyle w:val="11"/>
        <w:spacing w:after="0" w:line="276" w:lineRule="auto"/>
        <w:rPr>
          <w:rFonts w:ascii="Times New Roman" w:hAnsi="Times New Roman"/>
          <w:color w:val="000000"/>
          <w:sz w:val="24"/>
        </w:rPr>
      </w:pPr>
      <w:r>
        <w:rPr>
          <w:rFonts w:ascii="Times New Roman" w:hAnsi="Times New Roman"/>
          <w:color w:val="000000"/>
          <w:sz w:val="24"/>
        </w:rPr>
        <w:t>PDCA</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Plan-Do-Check-Act</w:t>
      </w:r>
    </w:p>
    <w:p>
      <w:pPr>
        <w:pStyle w:val="11"/>
        <w:spacing w:after="0" w:line="276" w:lineRule="auto"/>
        <w:rPr>
          <w:rFonts w:ascii="Times New Roman" w:hAnsi="Times New Roman"/>
          <w:color w:val="000000"/>
          <w:sz w:val="24"/>
        </w:rPr>
      </w:pPr>
      <w:r>
        <w:rPr>
          <w:rFonts w:ascii="Times New Roman" w:hAnsi="Times New Roman"/>
          <w:color w:val="000000"/>
          <w:sz w:val="24"/>
        </w:rPr>
        <w:t>WIP</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Work In Progress (Trabalho em Progresso)</w:t>
      </w:r>
    </w:p>
    <w:p>
      <w:pPr>
        <w:pStyle w:val="11"/>
        <w:spacing w:after="0" w:line="276" w:lineRule="auto"/>
        <w:rPr>
          <w:rFonts w:ascii="Times New Roman" w:hAnsi="Times New Roman"/>
          <w:color w:val="000000"/>
          <w:sz w:val="24"/>
        </w:rPr>
      </w:pPr>
      <w:r>
        <w:rPr>
          <w:rFonts w:ascii="Times New Roman" w:hAnsi="Times New Roman"/>
          <w:color w:val="000000"/>
          <w:sz w:val="24"/>
        </w:rPr>
        <w:t>GMV</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Governança Mínima Viável</w:t>
      </w:r>
    </w:p>
    <w:p>
      <w:pPr>
        <w:pStyle w:val="11"/>
        <w:spacing w:after="0" w:line="276" w:lineRule="auto"/>
        <w:rPr>
          <w:rFonts w:ascii="Times New Roman" w:hAnsi="Times New Roman"/>
          <w:color w:val="000000"/>
          <w:sz w:val="24"/>
        </w:rPr>
      </w:pPr>
      <w:r>
        <w:rPr>
          <w:rFonts w:ascii="Times New Roman" w:hAnsi="Times New Roman"/>
          <w:color w:val="000000"/>
          <w:sz w:val="24"/>
        </w:rPr>
        <w:t>API</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Application Programming Interface</w:t>
      </w:r>
    </w:p>
    <w:p>
      <w:pPr>
        <w:pStyle w:val="11"/>
        <w:spacing w:after="0" w:line="276" w:lineRule="auto"/>
        <w:rPr>
          <w:rFonts w:ascii="Times New Roman" w:hAnsi="Times New Roman"/>
          <w:color w:val="000000"/>
          <w:sz w:val="24"/>
        </w:rPr>
      </w:pPr>
      <w:r>
        <w:rPr>
          <w:rFonts w:ascii="Times New Roman" w:hAnsi="Times New Roman"/>
          <w:color w:val="000000"/>
          <w:sz w:val="24"/>
        </w:rPr>
        <w:t>DER</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Diagrama Entidade-Relacionamento</w:t>
      </w:r>
    </w:p>
    <w:p>
      <w:pPr>
        <w:pStyle w:val="11"/>
        <w:spacing w:after="0" w:line="276" w:lineRule="auto"/>
        <w:rPr>
          <w:rFonts w:ascii="Times New Roman" w:hAnsi="Times New Roman"/>
          <w:color w:val="000000"/>
          <w:sz w:val="24"/>
        </w:rPr>
      </w:pPr>
      <w:r>
        <w:rPr>
          <w:rFonts w:ascii="Times New Roman" w:hAnsi="Times New Roman"/>
          <w:color w:val="000000"/>
          <w:sz w:val="24"/>
        </w:rPr>
        <w:t>IOF</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Imposto sobre Operações Financeiras</w:t>
      </w:r>
    </w:p>
    <w:p>
      <w:pPr>
        <w:pStyle w:val="11"/>
        <w:spacing w:after="0" w:line="276" w:lineRule="auto"/>
        <w:rPr>
          <w:rFonts w:ascii="Times New Roman" w:hAnsi="Times New Roman"/>
          <w:color w:val="000000"/>
          <w:sz w:val="24"/>
        </w:rPr>
      </w:pPr>
      <w:r>
        <w:rPr>
          <w:rFonts w:ascii="Times New Roman" w:hAnsi="Times New Roman"/>
          <w:color w:val="000000"/>
          <w:sz w:val="24"/>
        </w:rPr>
        <w:t>PJ</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Pessoa Jurídica</w:t>
      </w:r>
    </w:p>
    <w:p>
      <w:pPr>
        <w:pStyle w:val="11"/>
        <w:spacing w:after="0" w:line="276" w:lineRule="auto"/>
        <w:rPr>
          <w:rFonts w:ascii="Times New Roman" w:hAnsi="Times New Roman"/>
          <w:color w:val="000000"/>
          <w:sz w:val="24"/>
        </w:rPr>
      </w:pPr>
      <w:r>
        <w:rPr>
          <w:rFonts w:ascii="Times New Roman" w:hAnsi="Times New Roman"/>
          <w:color w:val="000000"/>
          <w:sz w:val="24"/>
        </w:rPr>
        <w:t>USD / EUR / BRL</w:t>
      </w:r>
      <w:r>
        <w:rPr>
          <w:rFonts w:ascii="Times New Roman" w:hAnsi="Times New Roman"/>
          <w:color w:val="000000"/>
          <w:sz w:val="24"/>
        </w:rPr>
        <w:tab/>
      </w:r>
      <w:r>
        <w:rPr>
          <w:rFonts w:ascii="Times New Roman" w:hAnsi="Times New Roman"/>
          <w:color w:val="000000"/>
          <w:sz w:val="24"/>
        </w:rPr>
        <w:t>Dólar norte-americano / Euro / Real brasileiro</w:t>
      </w:r>
    </w:p>
    <w:p>
      <w:pPr>
        <w:autoSpaceDE w:val="0"/>
        <w:autoSpaceDN w:val="0"/>
        <w:adjustRightInd w:val="0"/>
        <w:spacing w:after="0" w:line="360" w:lineRule="auto"/>
        <w:jc w:val="center"/>
        <w:rPr>
          <w:rFonts w:ascii="Times New Roman" w:hAnsi="Times New Roman"/>
          <w:b/>
          <w:bCs/>
          <w:sz w:val="24"/>
          <w:szCs w:val="24"/>
        </w:rPr>
      </w:pPr>
      <w:r>
        <w:br w:type="page"/>
      </w:r>
    </w:p>
    <w:p>
      <w:pPr>
        <w:autoSpaceDE w:val="0"/>
        <w:autoSpaceDN w:val="0"/>
        <w:adjustRightInd w:val="0"/>
        <w:spacing w:after="360"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SUMÁRIO</w:t>
      </w:r>
    </w:p>
    <w:p>
      <w:pPr>
        <w:autoSpaceDE w:val="0"/>
        <w:autoSpaceDN w:val="0"/>
        <w:adjustRightInd w:val="0"/>
        <w:spacing w:after="0" w:line="360" w:lineRule="auto"/>
        <w:jc w:val="both"/>
        <w:rPr>
          <w:rFonts w:ascii="Times New Roman" w:hAnsi="Times New Roman"/>
          <w:b/>
          <w:bCs/>
          <w:sz w:val="24"/>
          <w:szCs w:val="24"/>
          <w:lang w:val="en-US"/>
        </w:rPr>
      </w:pPr>
    </w:p>
    <w:p>
      <w:pPr>
        <w:pStyle w:val="21"/>
        <w:rPr>
          <w:rFonts w:asciiTheme="minorHAnsi" w:hAnsiTheme="minorHAnsi" w:eastAsiaTheme="minorEastAsia" w:cstheme="minorBidi"/>
          <w:kern w:val="2"/>
          <w:sz w:val="24"/>
          <w:szCs w:val="24"/>
          <w:lang w:eastAsia="pt-BR"/>
          <w14:ligatures w14:val="standardContextual"/>
        </w:rPr>
      </w:pPr>
      <w:r>
        <w:rPr>
          <w:rFonts w:ascii="Times New Roman" w:hAnsi="Times New Roman"/>
          <w:b/>
          <w:bCs/>
          <w:color w:val="000000"/>
          <w:sz w:val="24"/>
          <w:szCs w:val="24"/>
        </w:rPr>
        <w:fldChar w:fldCharType="begin"/>
      </w:r>
      <w:r>
        <w:rPr>
          <w:rFonts w:ascii="Times New Roman" w:hAnsi="Times New Roman"/>
          <w:b/>
          <w:bCs/>
          <w:color w:val="000000"/>
          <w:sz w:val="24"/>
          <w:szCs w:val="24"/>
        </w:rPr>
        <w:instrText xml:space="preserve"> TOC \o "1-1" \h \z \u </w:instrText>
      </w:r>
      <w:r>
        <w:rPr>
          <w:rFonts w:ascii="Times New Roman" w:hAnsi="Times New Roman"/>
          <w:b/>
          <w:bCs/>
          <w:color w:val="000000"/>
          <w:sz w:val="24"/>
          <w:szCs w:val="24"/>
        </w:rPr>
        <w:fldChar w:fldCharType="separate"/>
      </w:r>
      <w:r>
        <w:fldChar w:fldCharType="begin"/>
      </w:r>
      <w:r>
        <w:instrText xml:space="preserve"> HYPERLINK \l "_Toc240734443" </w:instrText>
      </w:r>
      <w:r>
        <w:fldChar w:fldCharType="separate"/>
      </w:r>
      <w:r>
        <w:rPr>
          <w:rStyle w:val="16"/>
        </w:rPr>
        <w:t>1 INTRODUÇÃO</w:t>
      </w:r>
      <w:r>
        <w:tab/>
      </w:r>
      <w:r>
        <w:fldChar w:fldCharType="begin"/>
      </w:r>
      <w:r>
        <w:instrText xml:space="preserve"> PAGEREF _Toc240734443 \h </w:instrText>
      </w:r>
      <w:r>
        <w:fldChar w:fldCharType="separate"/>
      </w:r>
      <w:r>
        <w:t>8</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"_Toc240734444" </w:instrText>
      </w:r>
      <w:r>
        <w:fldChar w:fldCharType="separate"/>
      </w:r>
      <w:r>
        <w:rPr>
          <w:rStyle w:val="16"/>
        </w:rPr>
        <w:t>2 DESENVOLVIMENTO DAS ÁREAS DE CONHECIMENTO</w:t>
      </w:r>
      <w:r>
        <w:tab/>
      </w:r>
      <w:r>
        <w:fldChar w:fldCharType="begin"/>
      </w:r>
      <w:r>
        <w:instrText xml:space="preserve"> PAGEREF _Toc240734444 \h </w:instrText>
      </w:r>
      <w:r>
        <w:fldChar w:fldCharType="separate"/>
      </w:r>
      <w:r>
        <w:t>10</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"_Toc240734445" </w:instrText>
      </w:r>
      <w:r>
        <w:fldChar w:fldCharType="separate"/>
      </w:r>
      <w:r>
        <w:rPr>
          <w:rStyle w:val="16"/>
        </w:rPr>
        <w:t>2.1 Gerenciamento da Integração</w:t>
      </w:r>
      <w:r>
        <w:tab/>
      </w:r>
      <w:r>
        <w:fldChar w:fldCharType="begin"/>
      </w:r>
      <w:r>
        <w:instrText xml:space="preserve"> PAGEREF _Toc240734445 \h </w:instrText>
      </w:r>
      <w:r>
        <w:fldChar w:fldCharType="separate"/>
      </w:r>
      <w:r>
        <w:t>11</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"_Toc240734446" </w:instrText>
      </w:r>
      <w:r>
        <w:fldChar w:fldCharType="separate"/>
      </w:r>
      <w:r>
        <w:rPr>
          <w:rStyle w:val="16"/>
        </w:rPr>
        <w:t>2.2 Gerenciamento de Escopo</w:t>
      </w:r>
      <w:r>
        <w:tab/>
      </w:r>
      <w:r>
        <w:fldChar w:fldCharType="begin"/>
      </w:r>
      <w:r>
        <w:instrText xml:space="preserve"> PAGEREF _Toc240734446 \h </w:instrText>
      </w:r>
      <w:r>
        <w:fldChar w:fldCharType="separate"/>
      </w:r>
      <w:r>
        <w:t>13</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"_Toc240734447" </w:instrText>
      </w:r>
      <w:r>
        <w:fldChar w:fldCharType="separate"/>
      </w:r>
      <w:r>
        <w:rPr>
          <w:rStyle w:val="16"/>
        </w:rPr>
        <w:t>2.2.1 Levantamento de Requisitos</w:t>
      </w:r>
      <w:r>
        <w:tab/>
      </w:r>
      <w:r>
        <w:fldChar w:fldCharType="begin"/>
      </w:r>
      <w:r>
        <w:instrText xml:space="preserve"> PAGEREF _Toc240734447 \h </w:instrText>
      </w:r>
      <w:r>
        <w:fldChar w:fldCharType="separate"/>
      </w:r>
      <w:r>
        <w:t>14</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"_Toc240734448" </w:instrText>
      </w:r>
      <w:r>
        <w:fldChar w:fldCharType="separate"/>
      </w:r>
      <w:r>
        <w:rPr>
          <w:rStyle w:val="16"/>
        </w:rPr>
        <w:t>2.2.2 EAP</w:t>
      </w:r>
      <w:r>
        <w:tab/>
      </w:r>
      <w:r>
        <w:fldChar w:fldCharType="begin"/>
      </w:r>
      <w:r>
        <w:instrText xml:space="preserve"> PAGEREF _Toc240734448 \h </w:instrText>
      </w:r>
      <w:r>
        <w:fldChar w:fldCharType="separate"/>
      </w:r>
      <w:r>
        <w:t>15</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"_Toc240734449" </w:instrText>
      </w:r>
      <w:r>
        <w:fldChar w:fldCharType="separate"/>
      </w:r>
      <w:r>
        <w:rPr>
          <w:rStyle w:val="16"/>
        </w:rPr>
        <w:t>2.3 Gerenciamento de Custos</w:t>
      </w:r>
      <w:r>
        <w:tab/>
      </w:r>
      <w:r>
        <w:fldChar w:fldCharType="begin"/>
      </w:r>
      <w:r>
        <w:instrText xml:space="preserve"> PAGEREF _Toc240734449 \h </w:instrText>
      </w:r>
      <w:r>
        <w:fldChar w:fldCharType="separate"/>
      </w:r>
      <w:r>
        <w:t>18</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"_Toc240734450" </w:instrText>
      </w:r>
      <w:r>
        <w:fldChar w:fldCharType="separate"/>
      </w:r>
      <w:r>
        <w:rPr>
          <w:rStyle w:val="16"/>
        </w:rPr>
        <w:t>2.3.1 Planilha de Custos (Tabela)</w:t>
      </w:r>
      <w:r>
        <w:tab/>
      </w:r>
      <w:r>
        <w:fldChar w:fldCharType="begin"/>
      </w:r>
      <w:r>
        <w:instrText xml:space="preserve"> PAGEREF _Toc240734450 \h </w:instrText>
      </w:r>
      <w:r>
        <w:fldChar w:fldCharType="separate"/>
      </w:r>
      <w:r>
        <w:t>18</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"_Toc240734451" </w:instrText>
      </w:r>
      <w:r>
        <w:fldChar w:fldCharType="separate"/>
      </w:r>
      <w:r>
        <w:rPr>
          <w:rStyle w:val="16"/>
        </w:rPr>
        <w:t>2.4 Gerenciamento do Tempo</w:t>
      </w:r>
      <w:r>
        <w:tab/>
      </w:r>
      <w:r>
        <w:fldChar w:fldCharType="begin"/>
      </w:r>
      <w:r>
        <w:instrText xml:space="preserve"> PAGEREF _Toc240734451 \h </w:instrText>
      </w:r>
      <w:r>
        <w:fldChar w:fldCharType="separate"/>
      </w:r>
      <w:r>
        <w:t>19</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"_Toc240734452" </w:instrText>
      </w:r>
      <w:r>
        <w:fldChar w:fldCharType="separate"/>
      </w:r>
      <w:r>
        <w:rPr>
          <w:rStyle w:val="16"/>
        </w:rPr>
        <w:t>2.4.1 Atividades (Tarefas)</w:t>
      </w:r>
      <w:r>
        <w:tab/>
      </w:r>
      <w:r>
        <w:fldChar w:fldCharType="begin"/>
      </w:r>
      <w:r>
        <w:instrText xml:space="preserve"> PAGEREF _Toc240734452 \h </w:instrText>
      </w:r>
      <w:r>
        <w:fldChar w:fldCharType="separate"/>
      </w:r>
      <w:r>
        <w:t>20</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"_Toc240734453" </w:instrText>
      </w:r>
      <w:r>
        <w:fldChar w:fldCharType="separate"/>
      </w:r>
      <w:r>
        <w:rPr>
          <w:rStyle w:val="16"/>
        </w:rPr>
        <w:t>2.4.2 Recursos</w:t>
      </w:r>
      <w:r>
        <w:tab/>
      </w:r>
      <w:r>
        <w:fldChar w:fldCharType="begin"/>
      </w:r>
      <w:r>
        <w:instrText xml:space="preserve"> PAGEREF _Toc240734453 \h </w:instrText>
      </w:r>
      <w:r>
        <w:fldChar w:fldCharType="separate"/>
      </w:r>
      <w:r>
        <w:t>20</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"_Toc240734454" </w:instrText>
      </w:r>
      <w:r>
        <w:fldChar w:fldCharType="separate"/>
      </w:r>
      <w:r>
        <w:rPr>
          <w:rStyle w:val="16"/>
        </w:rPr>
        <w:t>2.4.3 Rede de Projeto</w:t>
      </w:r>
      <w:r>
        <w:tab/>
      </w:r>
      <w:r>
        <w:fldChar w:fldCharType="begin"/>
      </w:r>
      <w:r>
        <w:instrText xml:space="preserve"> PAGEREF _Toc240734454 \h </w:instrText>
      </w:r>
      <w:r>
        <w:fldChar w:fldCharType="separate"/>
      </w:r>
      <w:r>
        <w:t>21</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"_Toc240734455" </w:instrText>
      </w:r>
      <w:r>
        <w:fldChar w:fldCharType="separate"/>
      </w:r>
      <w:r>
        <w:rPr>
          <w:rStyle w:val="16"/>
        </w:rPr>
        <w:t>2.4.4 Tabela de Precedência</w:t>
      </w:r>
      <w:r>
        <w:tab/>
      </w:r>
      <w:r>
        <w:fldChar w:fldCharType="begin"/>
      </w:r>
      <w:r>
        <w:instrText xml:space="preserve"> PAGEREF _Toc240734455 \h </w:instrText>
      </w:r>
      <w:r>
        <w:fldChar w:fldCharType="separate"/>
      </w:r>
      <w:r>
        <w:t>21</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"_Toc240734456" </w:instrText>
      </w:r>
      <w:r>
        <w:fldChar w:fldCharType="separate"/>
      </w:r>
      <w:r>
        <w:rPr>
          <w:rStyle w:val="16"/>
        </w:rPr>
        <w:t>2.4.5 Caminho Crítico do Projeto</w:t>
      </w:r>
      <w:r>
        <w:tab/>
      </w:r>
      <w:r>
        <w:fldChar w:fldCharType="begin"/>
      </w:r>
      <w:r>
        <w:instrText xml:space="preserve"> PAGEREF _Toc240734456 \h </w:instrText>
      </w:r>
      <w:r>
        <w:fldChar w:fldCharType="separate"/>
      </w:r>
      <w:r>
        <w:t>22</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"_Toc240734457" </w:instrText>
      </w:r>
      <w:r>
        <w:fldChar w:fldCharType="separate"/>
      </w:r>
      <w:r>
        <w:rPr>
          <w:rStyle w:val="16"/>
        </w:rPr>
        <w:t>2.5 Gerenciamento da Qualidade</w:t>
      </w:r>
      <w:r>
        <w:tab/>
      </w:r>
      <w:r>
        <w:fldChar w:fldCharType="begin"/>
      </w:r>
      <w:r>
        <w:instrText xml:space="preserve"> PAGEREF _Toc240734457 \h </w:instrText>
      </w:r>
      <w:r>
        <w:fldChar w:fldCharType="separate"/>
      </w:r>
      <w:r>
        <w:t>23</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"_Toc240734458" </w:instrText>
      </w:r>
      <w:r>
        <w:fldChar w:fldCharType="separate"/>
      </w:r>
      <w:r>
        <w:rPr>
          <w:rStyle w:val="16"/>
        </w:rPr>
        <w:t>2.5.1 PDCA</w:t>
      </w:r>
      <w:r>
        <w:tab/>
      </w:r>
      <w:r>
        <w:fldChar w:fldCharType="begin"/>
      </w:r>
      <w:r>
        <w:instrText xml:space="preserve"> PAGEREF _Toc240734458 \h </w:instrText>
      </w:r>
      <w:r>
        <w:fldChar w:fldCharType="separate"/>
      </w:r>
      <w:r>
        <w:t>23</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"_Toc240734459" </w:instrText>
      </w:r>
      <w:r>
        <w:fldChar w:fldCharType="separate"/>
      </w:r>
      <w:r>
        <w:rPr>
          <w:rStyle w:val="16"/>
        </w:rPr>
        <w:t>2.5.2 Diagrama de Causa e Efeito</w:t>
      </w:r>
      <w:r>
        <w:tab/>
      </w:r>
      <w:r>
        <w:fldChar w:fldCharType="begin"/>
      </w:r>
      <w:r>
        <w:instrText xml:space="preserve"> PAGEREF _Toc240734459 \h </w:instrText>
      </w:r>
      <w:r>
        <w:fldChar w:fldCharType="separate"/>
      </w:r>
      <w:r>
        <w:t>24</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"_Toc240734460" </w:instrText>
      </w:r>
      <w:r>
        <w:fldChar w:fldCharType="separate"/>
      </w:r>
      <w:r>
        <w:rPr>
          <w:rStyle w:val="16"/>
        </w:rPr>
        <w:t>2.5.3 Painel de Medição</w:t>
      </w:r>
      <w:r>
        <w:tab/>
      </w:r>
      <w:r>
        <w:fldChar w:fldCharType="begin"/>
      </w:r>
      <w:r>
        <w:instrText xml:space="preserve"> PAGEREF _Toc240734460 \h </w:instrText>
      </w:r>
      <w:r>
        <w:fldChar w:fldCharType="separate"/>
      </w:r>
      <w:r>
        <w:t>25</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"_Toc240734461" </w:instrText>
      </w:r>
      <w:r>
        <w:fldChar w:fldCharType="separate"/>
      </w:r>
      <w:r>
        <w:rPr>
          <w:rStyle w:val="16"/>
        </w:rPr>
        <w:t>2.6 Gerenciamento de Recursos</w:t>
      </w:r>
      <w:r>
        <w:tab/>
      </w:r>
      <w:r>
        <w:fldChar w:fldCharType="begin"/>
      </w:r>
      <w:r>
        <w:instrText xml:space="preserve"> PAGEREF _Toc240734461 \h </w:instrText>
      </w:r>
      <w:r>
        <w:fldChar w:fldCharType="separate"/>
      </w:r>
      <w:r>
        <w:t>26</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"_Toc240734462" </w:instrText>
      </w:r>
      <w:r>
        <w:fldChar w:fldCharType="separate"/>
      </w:r>
      <w:r>
        <w:rPr>
          <w:rStyle w:val="16"/>
        </w:rPr>
        <w:t>2.6.1 Escritório do Projeto</w:t>
      </w:r>
      <w:r>
        <w:tab/>
      </w:r>
      <w:r>
        <w:fldChar w:fldCharType="begin"/>
      </w:r>
      <w:r>
        <w:instrText xml:space="preserve"> PAGEREF _Toc240734462 \h </w:instrText>
      </w:r>
      <w:r>
        <w:fldChar w:fldCharType="separate"/>
      </w:r>
      <w:r>
        <w:t>26</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"_Toc240734463" </w:instrText>
      </w:r>
      <w:r>
        <w:fldChar w:fldCharType="separate"/>
      </w:r>
      <w:r>
        <w:rPr>
          <w:rStyle w:val="16"/>
        </w:rPr>
        <w:t>2.6.2 Matriz de Responsabilidade</w:t>
      </w:r>
      <w:r>
        <w:tab/>
      </w:r>
      <w:r>
        <w:fldChar w:fldCharType="begin"/>
      </w:r>
      <w:r>
        <w:instrText xml:space="preserve"> PAGEREF _Toc240734463 \h </w:instrText>
      </w:r>
      <w:r>
        <w:fldChar w:fldCharType="separate"/>
      </w:r>
      <w:r>
        <w:t>27</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"_Toc240734464" </w:instrText>
      </w:r>
      <w:r>
        <w:fldChar w:fldCharType="separate"/>
      </w:r>
      <w:r>
        <w:rPr>
          <w:rStyle w:val="16"/>
        </w:rPr>
        <w:t>2.7 Gerenciamento das Comunicações</w:t>
      </w:r>
      <w:r>
        <w:tab/>
      </w:r>
      <w:r>
        <w:fldChar w:fldCharType="begin"/>
      </w:r>
      <w:r>
        <w:instrText xml:space="preserve"> PAGEREF _Toc240734464 \h </w:instrText>
      </w:r>
      <w:r>
        <w:fldChar w:fldCharType="separate"/>
      </w:r>
      <w:r>
        <w:t>28</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"_Toc240734465" </w:instrText>
      </w:r>
      <w:r>
        <w:fldChar w:fldCharType="separate"/>
      </w:r>
      <w:r>
        <w:rPr>
          <w:rStyle w:val="16"/>
        </w:rPr>
        <w:t>2.7.1 Comunicação Interna</w:t>
      </w:r>
      <w:r>
        <w:tab/>
      </w:r>
      <w:r>
        <w:fldChar w:fldCharType="begin"/>
      </w:r>
      <w:r>
        <w:instrText xml:space="preserve"> PAGEREF _Toc240734465 \h </w:instrText>
      </w:r>
      <w:r>
        <w:fldChar w:fldCharType="separate"/>
      </w:r>
      <w:r>
        <w:t>29</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"_Toc240734466" </w:instrText>
      </w:r>
      <w:r>
        <w:fldChar w:fldCharType="separate"/>
      </w:r>
      <w:r>
        <w:rPr>
          <w:rStyle w:val="16"/>
        </w:rPr>
        <w:t>2.7.2 Comunicação Externa</w:t>
      </w:r>
      <w:r>
        <w:tab/>
      </w:r>
      <w:r>
        <w:fldChar w:fldCharType="begin"/>
      </w:r>
      <w:r>
        <w:instrText xml:space="preserve"> PAGEREF _Toc240734466 \h </w:instrText>
      </w:r>
      <w:r>
        <w:fldChar w:fldCharType="separate"/>
      </w:r>
      <w:r>
        <w:t>29</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"_Toc240734467" </w:instrText>
      </w:r>
      <w:r>
        <w:fldChar w:fldCharType="separate"/>
      </w:r>
      <w:r>
        <w:rPr>
          <w:rStyle w:val="16"/>
        </w:rPr>
        <w:t>2.7.3 Representar as Comunicações</w:t>
      </w:r>
      <w:r>
        <w:tab/>
      </w:r>
      <w:r>
        <w:fldChar w:fldCharType="begin"/>
      </w:r>
      <w:r>
        <w:instrText xml:space="preserve"> PAGEREF _Toc240734467 \h </w:instrText>
      </w:r>
      <w:r>
        <w:fldChar w:fldCharType="separate"/>
      </w:r>
      <w:r>
        <w:t>29</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"_Toc240734468" </w:instrText>
      </w:r>
      <w:r>
        <w:fldChar w:fldCharType="separate"/>
      </w:r>
      <w:r>
        <w:rPr>
          <w:rStyle w:val="16"/>
        </w:rPr>
        <w:t>2.8 Gerenciamento de Riscos</w:t>
      </w:r>
      <w:r>
        <w:tab/>
      </w:r>
      <w:r>
        <w:fldChar w:fldCharType="begin"/>
      </w:r>
      <w:r>
        <w:instrText xml:space="preserve"> PAGEREF _Toc240734468 \h </w:instrText>
      </w:r>
      <w:r>
        <w:fldChar w:fldCharType="separate"/>
      </w:r>
      <w:r>
        <w:t>30</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"_Toc240734469" </w:instrText>
      </w:r>
      <w:r>
        <w:fldChar w:fldCharType="separate"/>
      </w:r>
      <w:r>
        <w:rPr>
          <w:rStyle w:val="16"/>
        </w:rPr>
        <w:t>2.8.1 Comuns</w:t>
      </w:r>
      <w:r>
        <w:tab/>
      </w:r>
      <w:r>
        <w:fldChar w:fldCharType="begin"/>
      </w:r>
      <w:r>
        <w:instrText xml:space="preserve"> PAGEREF _Toc240734469 \h </w:instrText>
      </w:r>
      <w:r>
        <w:fldChar w:fldCharType="separate"/>
      </w:r>
      <w:r>
        <w:t>30</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"_Toc240734470" </w:instrText>
      </w:r>
      <w:r>
        <w:fldChar w:fldCharType="separate"/>
      </w:r>
      <w:r>
        <w:rPr>
          <w:rStyle w:val="16"/>
        </w:rPr>
        <w:t>2.8.2 Específicos</w:t>
      </w:r>
      <w:r>
        <w:tab/>
      </w:r>
      <w:r>
        <w:fldChar w:fldCharType="begin"/>
      </w:r>
      <w:r>
        <w:instrText xml:space="preserve"> PAGEREF _Toc240734470 \h </w:instrText>
      </w:r>
      <w:r>
        <w:fldChar w:fldCharType="separate"/>
      </w:r>
      <w:r>
        <w:t>30</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"_Toc240734471" </w:instrText>
      </w:r>
      <w:r>
        <w:fldChar w:fldCharType="separate"/>
      </w:r>
      <w:r>
        <w:rPr>
          <w:rStyle w:val="16"/>
        </w:rPr>
        <w:t>2.8.3 Quadro de Riscos</w:t>
      </w:r>
      <w:r>
        <w:tab/>
      </w:r>
      <w:r>
        <w:fldChar w:fldCharType="begin"/>
      </w:r>
      <w:r>
        <w:instrText xml:space="preserve"> PAGEREF _Toc240734471 \h </w:instrText>
      </w:r>
      <w:r>
        <w:fldChar w:fldCharType="separate"/>
      </w:r>
      <w:r>
        <w:t>31</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"_Toc240734472" </w:instrText>
      </w:r>
      <w:r>
        <w:fldChar w:fldCharType="separate"/>
      </w:r>
      <w:r>
        <w:rPr>
          <w:rStyle w:val="16"/>
        </w:rPr>
        <w:t>3 DESENVOLVIMENTO DO PROJETO</w:t>
      </w:r>
      <w:r>
        <w:tab/>
      </w:r>
      <w:r>
        <w:fldChar w:fldCharType="begin"/>
      </w:r>
      <w:r>
        <w:instrText xml:space="preserve"> PAGEREF _Toc240734472 \h </w:instrText>
      </w:r>
      <w:r>
        <w:fldChar w:fldCharType="separate"/>
      </w:r>
      <w:r>
        <w:t>34</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"_Toc240734473" </w:instrText>
      </w:r>
      <w:r>
        <w:fldChar w:fldCharType="separate"/>
      </w:r>
      <w:r>
        <w:rPr>
          <w:rStyle w:val="16"/>
        </w:rPr>
        <w:t>3.1 Tecnologias</w:t>
      </w:r>
      <w:r>
        <w:tab/>
      </w:r>
      <w:r>
        <w:fldChar w:fldCharType="begin"/>
      </w:r>
      <w:r>
        <w:instrText xml:space="preserve"> PAGEREF _Toc240734473 \h </w:instrText>
      </w:r>
      <w:r>
        <w:fldChar w:fldCharType="separate"/>
      </w:r>
      <w:r>
        <w:t>34</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"_Toc240734474" </w:instrText>
      </w:r>
      <w:r>
        <w:fldChar w:fldCharType="separate"/>
      </w:r>
      <w:r>
        <w:rPr>
          <w:rStyle w:val="16"/>
        </w:rPr>
        <w:t>3.2 Funcionalidades</w:t>
      </w:r>
      <w:r>
        <w:tab/>
      </w:r>
      <w:r>
        <w:fldChar w:fldCharType="begin"/>
      </w:r>
      <w:r>
        <w:instrText xml:space="preserve"> PAGEREF _Toc240734474 \h </w:instrText>
      </w:r>
      <w:r>
        <w:fldChar w:fldCharType="separate"/>
      </w:r>
      <w:r>
        <w:t>35</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"_Toc240734475" </w:instrText>
      </w:r>
      <w:r>
        <w:fldChar w:fldCharType="separate"/>
      </w:r>
      <w:r>
        <w:rPr>
          <w:rStyle w:val="16"/>
        </w:rPr>
        <w:t>4 CONSIDERAÇÕES FINAIS</w:t>
      </w:r>
      <w:r>
        <w:tab/>
      </w:r>
      <w:r>
        <w:fldChar w:fldCharType="begin"/>
      </w:r>
      <w:r>
        <w:instrText xml:space="preserve"> PAGEREF _Toc240734475 \h </w:instrText>
      </w:r>
      <w:r>
        <w:fldChar w:fldCharType="separate"/>
      </w:r>
      <w:r>
        <w:t>36</w:t>
      </w:r>
      <w:r>
        <w:fldChar w:fldCharType="end"/>
      </w:r>
      <w:r>
        <w:fldChar w:fldCharType="end"/>
      </w:r>
    </w:p>
    <w:p>
      <w:pPr>
        <w:pStyle w:val="21"/>
        <w:rPr>
          <w:rFonts w:asciiTheme="minorHAnsi" w:hAnsiTheme="minorHAnsi" w:eastAsiaTheme="minorEastAsia" w:cstheme="minorBidi"/>
          <w:kern w:val="2"/>
          <w:sz w:val="24"/>
          <w:szCs w:val="24"/>
          <w:lang w:eastAsia="pt-BR"/>
          <w14:ligatures w14:val="standardContextual"/>
        </w:rPr>
      </w:pPr>
      <w:r>
        <w:fldChar w:fldCharType="begin"/>
      </w:r>
      <w:r>
        <w:instrText xml:space="preserve"> HYPERLINK \l "_Toc240734476" </w:instrText>
      </w:r>
      <w:r>
        <w:fldChar w:fldCharType="separate"/>
      </w:r>
      <w:r>
        <w:rPr>
          <w:rStyle w:val="16"/>
        </w:rPr>
        <w:t>REFERÊNCIAS</w:t>
      </w:r>
      <w:r>
        <w:tab/>
      </w:r>
      <w:r>
        <w:fldChar w:fldCharType="begin"/>
      </w:r>
      <w:r>
        <w:instrText xml:space="preserve"> PAGEREF _Toc240734476 \h </w:instrText>
      </w:r>
      <w:r>
        <w:fldChar w:fldCharType="separate"/>
      </w:r>
      <w:r>
        <w:t>38</w:t>
      </w:r>
      <w:r>
        <w:fldChar w:fldCharType="end"/>
      </w:r>
      <w:r>
        <w:fldChar w:fldCharType="end"/>
      </w:r>
    </w:p>
    <w:p>
      <w:pPr>
        <w:autoSpaceDE w:val="0"/>
        <w:autoSpaceDN w:val="0"/>
        <w:adjustRightInd w:val="0"/>
        <w:spacing w:after="0" w:line="360" w:lineRule="auto"/>
        <w:jc w:val="both"/>
        <w:rPr>
          <w:rFonts w:ascii="Times New Roman" w:hAnsi="Times New Roman"/>
          <w:b/>
          <w:bCs/>
          <w:sz w:val="28"/>
          <w:szCs w:val="28"/>
        </w:rPr>
      </w:pPr>
      <w:r>
        <w:rPr>
          <w:rFonts w:ascii="Times New Roman" w:hAnsi="Times New Roman"/>
          <w:b/>
          <w:bCs/>
          <w:sz w:val="24"/>
          <w:szCs w:val="24"/>
        </w:rPr>
        <w:fldChar w:fldCharType="end"/>
      </w:r>
    </w:p>
    <w:p>
      <w:pPr>
        <w:pStyle w:val="2"/>
      </w:pPr>
      <w:bookmarkStart w:id="0" w:name="_Toc443474157"/>
      <w:r>
        <w:br w:type="page"/>
      </w:r>
    </w:p>
    <w:p>
      <w:pPr>
        <w:pStyle w:val="2"/>
        <w:spacing w:before="360" w:after="360"/>
        <w:rPr>
          <w:rFonts w:cs="Times New Roman"/>
          <w:color w:val="000000"/>
        </w:rPr>
      </w:pPr>
      <w:bookmarkStart w:id="1" w:name="_Toc240734443"/>
      <w:r>
        <w:rPr>
          <w:rFonts w:cs="Times New Roman"/>
          <w:color w:val="000000"/>
        </w:rPr>
        <w:t>1 INTRODUÇÃO</w:t>
      </w:r>
      <w:bookmarkEnd w:id="0"/>
      <w:bookmarkEnd w:id="1"/>
    </w:p>
    <w:p>
      <w:pPr>
        <w:spacing w:after="0" w:line="360" w:lineRule="auto"/>
        <w:ind w:firstLine="708"/>
        <w:jc w:val="both"/>
        <w:rPr>
          <w:rFonts w:ascii="Times New Roman" w:hAnsi="Times New Roman"/>
          <w:sz w:val="24"/>
        </w:rPr>
      </w:pPr>
      <w:r>
        <w:rPr>
          <w:rFonts w:ascii="Times New Roman" w:hAnsi="Times New Roman"/>
          <w:sz w:val="24"/>
        </w:rPr>
        <w:t>O presente trabalho tem como objeto de estudo o projeto COGME — Conversor de Ganhos em Moeda Estrangeira, um sistema web cujo propósito é auxiliar profissionais brasileiros que prestam serviços ao exterior (desenvolvedores, designers, tradutores, consultores e pequenas agências) a simular, com precisão, a conversão de seus ganhos em moeda estrangeira (USD/EUR) para moeda nacional a partir da cotação oficial divulgada pelo Banco Central do Brasil (PTAX), bem como a consultar e comparar o custo efetivo das principais plataformas de pagamento internacional, identificando qual delas resulta no maior valor líquido a receber e encaminhando o usuário ao provedor escolhido, considerando diferentes regimes de contratação, encargos financeiros e a emissão do documento comercial de cobrança (invoice) associado à operação, que não se confunde com a nota fiscal de serviços exigida pela legislação brasileira.</w:t>
      </w:r>
    </w:p>
    <w:p>
      <w:pPr>
        <w:spacing w:after="0" w:line="360" w:lineRule="auto"/>
        <w:ind w:firstLine="708"/>
        <w:jc w:val="both"/>
        <w:rPr>
          <w:rFonts w:ascii="Times New Roman" w:hAnsi="Times New Roman"/>
          <w:sz w:val="24"/>
        </w:rPr>
      </w:pPr>
      <w:r>
        <w:rPr>
          <w:rFonts w:ascii="Times New Roman" w:hAnsi="Times New Roman"/>
          <w:sz w:val="24"/>
        </w:rPr>
        <w:t>O cenário econômico e laboral contemporâneo tem sido profundamente transformado pela consolidação do trabalho remoto e pela globalização dos contratos de prestação de serviços, de modo que um contingente crescente de profissionais atua como Pessoa Jurídica (PJ) ou freelancer para empresas sediadas no exterior. Entretanto, a gestão financeira desses ganhos apresenta uma complexidade que as ferramentas atualmente disponíveis no mercado não resolvem de maneira integrada: o profissional é forçado a consultar múltiplos sites, planilhas manuais e calculadoras dispersas, processo moroso e suscetível a erros, sem uma visão consolidada e comparativa em tempo real das variáveis que impactam a conversão.</w:t>
      </w:r>
    </w:p>
    <w:p>
      <w:pPr>
        <w:spacing w:after="0" w:line="360" w:lineRule="auto"/>
        <w:ind w:firstLine="708"/>
        <w:jc w:val="both"/>
        <w:rPr>
          <w:rFonts w:ascii="Times New Roman" w:hAnsi="Times New Roman"/>
          <w:sz w:val="24"/>
        </w:rPr>
      </w:pPr>
      <w:r>
        <w:rPr>
          <w:rFonts w:ascii="Times New Roman" w:hAnsi="Times New Roman"/>
          <w:sz w:val="24"/>
        </w:rPr>
        <w:t>Diante dessa lacuna prática, não há, até o momento, uma solução única, gratuita e de código aberto que reúna, em um mesmo ambiente, a simulação cambial completa a partir de fonte oficial, a comparação de custo entre as plataformas de pagamento internacional, a comparação entre diferentes regimes de cálculo e a emissão dos documentos comerciais e financeiros associados. O projeto possui, ainda, ineditismo no âmbito acadêmico-aplicado, por abordar um domínio de negócio real — o mercado financeiro-cambial aliado ao trabalho remoto internacional — que exige rigor na gestão de requisitos, tratamento de dados dinâmicos e usabilidade centrada no usuário final.</w:t>
      </w:r>
    </w:p>
    <w:p>
      <w:pPr>
        <w:spacing w:after="0" w:line="360" w:lineRule="auto"/>
        <w:ind w:firstLine="708"/>
        <w:jc w:val="both"/>
        <w:rPr>
          <w:rFonts w:ascii="Times New Roman" w:hAnsi="Times New Roman"/>
          <w:sz w:val="24"/>
        </w:rPr>
      </w:pPr>
      <w:r>
        <w:rPr>
          <w:rFonts w:ascii="Times New Roman" w:hAnsi="Times New Roman"/>
          <w:sz w:val="24"/>
        </w:rPr>
        <w:t>Este trabalho tem por objetivo aplicar, na prática, os princípios e os domínios de desempenho do gerenciamento de projetos preconizados pelo Guia PMBOK® 7ª edição — operacionalizados por abordagem ágil baseada em Kanban — ao ciclo de vida completo do projeto COGME, desde a sua autorização formal por meio do Termo de Abertura do Projeto (TAP) até o encerramento, evidenciando o planejamento de escopo, tempo, custos, qualidade, recursos, comunicações e riscos. O projeto foi desenvolvido no âmbito da disciplina de Gerência de Projetos do Curso Superior de Tecnologia em Análise e Desenvolvimento de Sistemas da Fatec Taquaritinga, sob orientação do Prof. Nivaldo Carleto, tendo como aluno-gerente Leonardo David Silva Setti e como desenvolvedor Fabricio de Lima Cabral.</w:t>
      </w:r>
    </w:p>
    <w:p>
      <w:pPr>
        <w:spacing w:after="0" w:line="360" w:lineRule="auto"/>
        <w:ind w:firstLine="708"/>
        <w:jc w:val="both"/>
        <w:rPr>
          <w:rFonts w:ascii="Times New Roman" w:hAnsi="Times New Roman"/>
          <w:sz w:val="24"/>
        </w:rPr>
      </w:pPr>
      <w:r>
        <w:rPr>
          <w:rFonts w:ascii="Times New Roman" w:hAnsi="Times New Roman"/>
          <w:sz w:val="24"/>
        </w:rPr>
        <w:t>O trabalho está estruturado da seguinte forma: a seção 2 apresenta o desenvolvimento das áreas de conhecimento do gerenciamento de projetos aplicadas ao COGME (integração, escopo, custos, tempo, qualidade, recursos, comunicações e riscos); a seção 3 descreve o desenvolvimento do projeto propriamente dito, incluindo as tecnologias empregadas e as funcionalidades entregues; e a seção 4 apresenta as considerações finais do trabalho, seguidas das referências utilizadas.</w:t>
      </w:r>
    </w:p>
    <w:p>
      <w:pPr>
        <w:pStyle w:val="2"/>
        <w:spacing w:before="360" w:after="360"/>
        <w:rPr>
          <w:rFonts w:cs="Times New Roman"/>
          <w:color w:val="000000"/>
        </w:rPr>
      </w:pPr>
      <w:r>
        <w:rPr>
          <w:rFonts w:cs="Times New Roman"/>
          <w:color w:val="000000"/>
        </w:rPr>
        <w:br w:type="page"/>
      </w:r>
    </w:p>
    <w:p>
      <w:pPr>
        <w:pStyle w:val="2"/>
        <w:spacing w:before="360" w:after="360"/>
        <w:rPr>
          <w:rFonts w:cs="Times New Roman"/>
          <w:color w:val="000000"/>
        </w:rPr>
      </w:pPr>
      <w:bookmarkStart w:id="2" w:name="_Toc240734444"/>
      <w:r>
        <w:rPr>
          <w:rFonts w:cs="Times New Roman"/>
          <w:color w:val="000000"/>
        </w:rPr>
        <w:t>2 DESENVOLVIMENTO DAS ÁREAS DE CONHECIMENTO</w:t>
      </w:r>
      <w:bookmarkEnd w:id="2"/>
    </w:p>
    <w:p>
      <w:pPr>
        <w:spacing w:after="0" w:line="360" w:lineRule="auto"/>
        <w:ind w:firstLine="708"/>
        <w:jc w:val="both"/>
        <w:rPr>
          <w:rFonts w:ascii="Times New Roman" w:hAnsi="Times New Roman"/>
          <w:color w:val="000000"/>
          <w:sz w:val="24"/>
        </w:rPr>
      </w:pPr>
      <w:r>
        <w:rPr>
          <w:rFonts w:ascii="Times New Roman" w:hAnsi="Times New Roman"/>
          <w:color w:val="000000"/>
          <w:sz w:val="24"/>
        </w:rPr>
        <w:t>Esta seção apresenta a aplicação prática do gerenciamento de projetos, conforme os princípios e os domínios de desempenho do Guia PMBOK® 7ª edição, ao projeto COGME — Conversor de Ganhos em Moeda Estrangeira. Os dados aqui apresentados foram extraídos do Termo de Abertura do Projeto (TAP) e da Estrutura Analítica do Projeto (EAP/WBS) elaborados para o projeto, contemplando integração, escopo, custos, tempo, qualidade, recursos, comunicações e riscos.</w:t>
      </w:r>
    </w:p>
    <w:p>
      <w:pPr>
        <w:spacing w:after="0" w:line="360" w:lineRule="auto"/>
        <w:ind w:firstLine="708"/>
        <w:jc w:val="both"/>
        <w:rPr>
          <w:rFonts w:ascii="Times New Roman" w:hAnsi="Times New Roman"/>
          <w:sz w:val="24"/>
        </w:rPr>
      </w:pPr>
      <w:r>
        <w:rPr>
          <w:rFonts w:ascii="Times New Roman" w:hAnsi="Times New Roman"/>
          <w:sz w:val="24"/>
        </w:rPr>
        <w:t>A 7ª edição do Guia PMBOK® estrutura-se em doze princípios de gerenciamento de projetos, de natureza normativa e não prescritiva, que orientam o comportamento dos envolvidos independentemente da abordagem adotada. Esses princípios não substituem os domínios de desempenho: enquanto os domínios indicam os grupos de atividades críticas para a entrega de valor, os princípios indicam a conduta esperada na sua execução. O Quadro 1 evidencia como cada princípio se manifesta concretamente no projeto COGME, com o respectivo artefato ou prática que o materializa.</w:t>
      </w:r>
    </w:p>
    <w:p>
      <w:pPr>
        <w:spacing w:before="240" w:after="60" w:line="240" w:lineRule="auto"/>
        <w:rPr>
          <w:rFonts w:ascii="Times New Roman" w:hAnsi="Times New Roman"/>
          <w:sz w:val="24"/>
        </w:rPr>
      </w:pPr>
      <w:r>
        <w:rPr>
          <w:rFonts w:ascii="Times New Roman" w:hAnsi="Times New Roman"/>
          <w:sz w:val="24"/>
        </w:rPr>
        <w:t>Quadro 1 — Princípios do PMBOK® 7ª edição aplicados ao COGME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070"/>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70" w:type="dxa"/>
          </w:tcPr>
          <w:p>
            <w:pPr>
              <w:spacing w:after="0" w:line="240" w:lineRule="auto"/>
              <w:rPr>
                <w:rFonts w:ascii="Times New Roman" w:hAnsi="Times New Roman"/>
              </w:rPr>
            </w:pPr>
            <w:r>
              <w:rPr>
                <w:rFonts w:ascii="Times New Roman" w:hAnsi="Times New Roman"/>
              </w:rPr>
              <w:t>Princípio (PMBOK® 7ª ed.)</w:t>
            </w:r>
          </w:p>
        </w:tc>
        <w:tc>
          <w:tcPr>
            <w:tcW w:w="3070" w:type="dxa"/>
          </w:tcPr>
          <w:p>
            <w:pPr>
              <w:spacing w:after="0" w:line="240" w:lineRule="auto"/>
              <w:rPr>
                <w:rFonts w:ascii="Times New Roman" w:hAnsi="Times New Roman"/>
              </w:rPr>
            </w:pPr>
            <w:r>
              <w:rPr>
                <w:rFonts w:ascii="Times New Roman" w:hAnsi="Times New Roman"/>
              </w:rPr>
              <w:t>Manifestação no COGME</w:t>
            </w:r>
          </w:p>
        </w:tc>
        <w:tc>
          <w:tcPr>
            <w:tcW w:w="3071" w:type="dxa"/>
          </w:tcPr>
          <w:p>
            <w:pPr>
              <w:spacing w:after="0" w:line="240" w:lineRule="auto"/>
              <w:rPr>
                <w:rFonts w:ascii="Times New Roman" w:hAnsi="Times New Roman"/>
              </w:rPr>
            </w:pPr>
            <w:r>
              <w:rPr>
                <w:rFonts w:ascii="Times New Roman" w:hAnsi="Times New Roman"/>
              </w:rPr>
              <w:t>Artefato / prática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Ser um administrador diligente, respeitoso e cuidadoso</w:t>
            </w:r>
          </w:p>
        </w:tc>
        <w:tc>
          <w:tcPr>
            <w:tcW w:w="3070" w:type="dxa"/>
          </w:tcPr>
          <w:p>
            <w:pPr>
              <w:spacing w:after="0" w:line="240" w:lineRule="auto"/>
              <w:rPr>
                <w:rFonts w:ascii="Times New Roman" w:hAnsi="Times New Roman"/>
              </w:rPr>
            </w:pPr>
            <w:r>
              <w:rPr>
                <w:rFonts w:ascii="Times New Roman" w:hAnsi="Times New Roman"/>
              </w:rPr>
              <w:t>Revisão humana obrigatória sobre todo artefato ou código gerado com apoio de IA</w:t>
            </w:r>
          </w:p>
        </w:tc>
        <w:tc>
          <w:tcPr>
            <w:tcW w:w="3071" w:type="dxa"/>
          </w:tcPr>
          <w:p>
            <w:pPr>
              <w:spacing w:after="0" w:line="240" w:lineRule="auto"/>
              <w:rPr>
                <w:rFonts w:ascii="Times New Roman" w:hAnsi="Times New Roman"/>
              </w:rPr>
            </w:pPr>
            <w:r>
              <w:rPr>
                <w:rFonts w:ascii="Times New Roman" w:hAnsi="Times New Roman"/>
              </w:rPr>
              <w:t>Premissa P3 e rastreabilidade no repositório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Criar um ambiente colaborativo para a equipe</w:t>
            </w:r>
          </w:p>
        </w:tc>
        <w:tc>
          <w:tcPr>
            <w:tcW w:w="3070" w:type="dxa"/>
          </w:tcPr>
          <w:p>
            <w:pPr>
              <w:spacing w:after="0" w:line="240" w:lineRule="auto"/>
              <w:rPr>
                <w:rFonts w:ascii="Times New Roman" w:hAnsi="Times New Roman"/>
              </w:rPr>
            </w:pPr>
            <w:r>
              <w:rPr>
                <w:rFonts w:ascii="Times New Roman" w:hAnsi="Times New Roman"/>
              </w:rPr>
              <w:t>Equipe de dois membros com papéis explícitos e decisões registradas</w:t>
            </w:r>
          </w:p>
        </w:tc>
        <w:tc>
          <w:tcPr>
            <w:tcW w:w="3071" w:type="dxa"/>
          </w:tcPr>
          <w:p>
            <w:pPr>
              <w:spacing w:after="0" w:line="240" w:lineRule="auto"/>
              <w:rPr>
                <w:rFonts w:ascii="Times New Roman" w:hAnsi="Times New Roman"/>
              </w:rPr>
            </w:pPr>
            <w:r>
              <w:rPr>
                <w:rFonts w:ascii="Times New Roman" w:hAnsi="Times New Roman"/>
              </w:rPr>
              <w:t>Matriz de responsabilidade e registros de decisão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rPr>
            </w:pPr>
            <w:r>
              <w:rPr>
                <w:rFonts w:ascii="Times New Roman" w:hAnsi="Times New Roman"/>
              </w:rPr>
              <w:t>Envolver efetivamente as partes interessadas</w:t>
            </w:r>
          </w:p>
        </w:tc>
        <w:tc>
          <w:tcPr>
            <w:tcW w:w="3070" w:type="dxa"/>
          </w:tcPr>
          <w:p>
            <w:pPr>
              <w:spacing w:after="0" w:line="240" w:lineRule="auto"/>
              <w:rPr>
                <w:rFonts w:ascii="Times New Roman" w:hAnsi="Times New Roman"/>
              </w:rPr>
            </w:pPr>
            <w:r>
              <w:rPr>
                <w:rFonts w:ascii="Times New Roman" w:hAnsi="Times New Roman"/>
              </w:rPr>
              <w:t>Aprovação do orientador como único stakeholder formal, com cadência definida</w:t>
            </w:r>
          </w:p>
        </w:tc>
        <w:tc>
          <w:tcPr>
            <w:tcW w:w="3071" w:type="dxa"/>
          </w:tcPr>
          <w:p>
            <w:pPr>
              <w:spacing w:after="0" w:line="240" w:lineRule="auto"/>
              <w:rPr>
                <w:rFonts w:ascii="Times New Roman" w:hAnsi="Times New Roman"/>
              </w:rPr>
            </w:pPr>
            <w:r>
              <w:rPr>
                <w:rFonts w:ascii="Times New Roman" w:hAnsi="Times New Roman"/>
              </w:rPr>
              <w:t>Plano de comunicação e comitê de controle de mudanças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Focar no valor</w:t>
            </w:r>
          </w:p>
        </w:tc>
        <w:tc>
          <w:tcPr>
            <w:tcW w:w="3070" w:type="dxa"/>
          </w:tcPr>
          <w:p>
            <w:pPr>
              <w:spacing w:after="0" w:line="240" w:lineRule="auto"/>
              <w:rPr>
                <w:rFonts w:ascii="Times New Roman" w:hAnsi="Times New Roman"/>
              </w:rPr>
            </w:pPr>
            <w:r>
              <w:rPr>
                <w:rFonts w:ascii="Times New Roman" w:hAnsi="Times New Roman"/>
              </w:rPr>
              <w:t>Corte de artefatos sem valor agregado (relatórios estáticos e Gantt manual)</w:t>
            </w:r>
          </w:p>
        </w:tc>
        <w:tc>
          <w:tcPr>
            <w:tcW w:w="3071" w:type="dxa"/>
          </w:tcPr>
          <w:p>
            <w:pPr>
              <w:spacing w:after="0" w:line="240" w:lineRule="auto"/>
              <w:rPr>
                <w:rFonts w:ascii="Times New Roman" w:hAnsi="Times New Roman"/>
              </w:rPr>
            </w:pPr>
            <w:r>
              <w:rPr>
                <w:rFonts w:ascii="Times New Roman" w:hAnsi="Times New Roman"/>
              </w:rPr>
              <w:t>Princípio de Governança Mínima Viável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Reconhecer e responder às interações do sistema</w:t>
            </w:r>
          </w:p>
        </w:tc>
        <w:tc>
          <w:tcPr>
            <w:tcW w:w="3070" w:type="dxa"/>
          </w:tcPr>
          <w:p>
            <w:pPr>
              <w:spacing w:after="0" w:line="240" w:lineRule="auto"/>
              <w:rPr>
                <w:rFonts w:ascii="Times New Roman" w:hAnsi="Times New Roman"/>
              </w:rPr>
            </w:pPr>
            <w:r>
              <w:rPr>
                <w:rFonts w:ascii="Times New Roman" w:hAnsi="Times New Roman"/>
              </w:rPr>
              <w:t>Tratamento das dependências entre stack, ambiente e desenvolvimento</w:t>
            </w:r>
          </w:p>
        </w:tc>
        <w:tc>
          <w:tcPr>
            <w:tcW w:w="3071" w:type="dxa"/>
          </w:tcPr>
          <w:p>
            <w:pPr>
              <w:spacing w:after="0" w:line="240" w:lineRule="auto"/>
              <w:rPr>
                <w:rFonts w:ascii="Times New Roman" w:hAnsi="Times New Roman"/>
              </w:rPr>
            </w:pPr>
            <w:r>
              <w:rPr>
                <w:rFonts w:ascii="Times New Roman" w:hAnsi="Times New Roman"/>
              </w:rPr>
              <w:t>Rede do projeto e tabela de precedência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Demonstrar comportamentos de liderança</w:t>
            </w:r>
          </w:p>
        </w:tc>
        <w:tc>
          <w:tcPr>
            <w:tcW w:w="3070" w:type="dxa"/>
          </w:tcPr>
          <w:p>
            <w:pPr>
              <w:spacing w:after="0" w:line="240" w:lineRule="auto"/>
              <w:rPr>
                <w:rFonts w:ascii="Times New Roman" w:hAnsi="Times New Roman"/>
              </w:rPr>
            </w:pPr>
            <w:r>
              <w:rPr>
                <w:rFonts w:ascii="Times New Roman" w:hAnsi="Times New Roman"/>
              </w:rPr>
              <w:t>Condução do projeto pelo aluno-gerente, com decisões documentadas</w:t>
            </w:r>
          </w:p>
        </w:tc>
        <w:tc>
          <w:tcPr>
            <w:tcW w:w="3071" w:type="dxa"/>
          </w:tcPr>
          <w:p>
            <w:pPr>
              <w:spacing w:after="0" w:line="240" w:lineRule="auto"/>
              <w:rPr>
                <w:rFonts w:ascii="Times New Roman" w:hAnsi="Times New Roman"/>
              </w:rPr>
            </w:pPr>
            <w:r>
              <w:rPr>
                <w:rFonts w:ascii="Times New Roman" w:hAnsi="Times New Roman"/>
              </w:rPr>
              <w:t>Registros de decisão arquitetural (ADR)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rPr>
            </w:pPr>
            <w:r>
              <w:rPr>
                <w:rFonts w:ascii="Times New Roman" w:hAnsi="Times New Roman"/>
              </w:rPr>
              <w:t>Adaptar-se ao contexto</w:t>
            </w:r>
          </w:p>
        </w:tc>
        <w:tc>
          <w:tcPr>
            <w:tcW w:w="3070" w:type="dxa"/>
          </w:tcPr>
          <w:p>
            <w:pPr>
              <w:spacing w:after="0" w:line="240" w:lineRule="auto"/>
              <w:rPr>
                <w:rFonts w:ascii="Times New Roman" w:hAnsi="Times New Roman"/>
              </w:rPr>
            </w:pPr>
            <w:r>
              <w:rPr>
                <w:rFonts w:ascii="Times New Roman" w:hAnsi="Times New Roman"/>
              </w:rPr>
              <w:t>Escolha do Kanban e supressão de práticas preditivas incompatíveis com o porte</w:t>
            </w:r>
          </w:p>
        </w:tc>
        <w:tc>
          <w:tcPr>
            <w:tcW w:w="3071" w:type="dxa"/>
          </w:tcPr>
          <w:p>
            <w:pPr>
              <w:spacing w:after="0" w:line="240" w:lineRule="auto"/>
              <w:rPr>
                <w:rFonts w:ascii="Times New Roman" w:hAnsi="Times New Roman"/>
              </w:rPr>
            </w:pPr>
            <w:r>
              <w:rPr>
                <w:rFonts w:ascii="Times New Roman" w:hAnsi="Times New Roman"/>
              </w:rPr>
              <w:t>Estratégia de adaptação (Quadro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Incorporar a qualidade em processos e entregas</w:t>
            </w:r>
          </w:p>
        </w:tc>
        <w:tc>
          <w:tcPr>
            <w:tcW w:w="3070" w:type="dxa"/>
          </w:tcPr>
          <w:p>
            <w:pPr>
              <w:spacing w:after="0" w:line="240" w:lineRule="auto"/>
              <w:rPr>
                <w:rFonts w:ascii="Times New Roman" w:hAnsi="Times New Roman"/>
              </w:rPr>
            </w:pPr>
            <w:r>
              <w:rPr>
                <w:rFonts w:ascii="Times New Roman" w:hAnsi="Times New Roman"/>
              </w:rPr>
              <w:t>Critérios de aceite mensuráveis por requisito e testes automatizados</w:t>
            </w:r>
          </w:p>
        </w:tc>
        <w:tc>
          <w:tcPr>
            <w:tcW w:w="3071" w:type="dxa"/>
          </w:tcPr>
          <w:p>
            <w:pPr>
              <w:spacing w:after="0" w:line="240" w:lineRule="auto"/>
              <w:rPr>
                <w:rFonts w:ascii="Times New Roman" w:hAnsi="Times New Roman"/>
              </w:rPr>
            </w:pPr>
            <w:r>
              <w:rPr>
                <w:rFonts w:ascii="Times New Roman" w:hAnsi="Times New Roman"/>
              </w:rPr>
              <w:t>Requisitos de qualidade e pipeline de integração contínua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Navegar na complexidade</w:t>
            </w:r>
          </w:p>
        </w:tc>
        <w:tc>
          <w:tcPr>
            <w:tcW w:w="3070" w:type="dxa"/>
          </w:tcPr>
          <w:p>
            <w:pPr>
              <w:spacing w:after="0" w:line="240" w:lineRule="auto"/>
              <w:rPr>
                <w:rFonts w:ascii="Times New Roman" w:hAnsi="Times New Roman"/>
              </w:rPr>
            </w:pPr>
            <w:r>
              <w:rPr>
                <w:rFonts w:ascii="Times New Roman" w:hAnsi="Times New Roman"/>
              </w:rPr>
              <w:t>Decisões técnicas complexas isoladas e documentadas em registros próprios</w:t>
            </w:r>
          </w:p>
        </w:tc>
        <w:tc>
          <w:tcPr>
            <w:tcW w:w="3071" w:type="dxa"/>
          </w:tcPr>
          <w:p>
            <w:pPr>
              <w:spacing w:after="0" w:line="240" w:lineRule="auto"/>
              <w:rPr>
                <w:rFonts w:ascii="Times New Roman" w:hAnsi="Times New Roman"/>
              </w:rPr>
            </w:pPr>
            <w:r>
              <w:rPr>
                <w:rFonts w:ascii="Times New Roman" w:hAnsi="Times New Roman"/>
              </w:rPr>
              <w:t>ADR-001 a ADR-004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Otimizar respostas a riscos</w:t>
            </w:r>
          </w:p>
        </w:tc>
        <w:tc>
          <w:tcPr>
            <w:tcW w:w="3070" w:type="dxa"/>
          </w:tcPr>
          <w:p>
            <w:pPr>
              <w:spacing w:after="0" w:line="240" w:lineRule="auto"/>
              <w:rPr>
                <w:rFonts w:ascii="Times New Roman" w:hAnsi="Times New Roman"/>
              </w:rPr>
            </w:pPr>
            <w:r>
              <w:rPr>
                <w:rFonts w:ascii="Times New Roman" w:hAnsi="Times New Roman"/>
              </w:rPr>
              <w:t>Registro de riscos vivo, com resposta planejada e situação por risco</w:t>
            </w:r>
          </w:p>
        </w:tc>
        <w:tc>
          <w:tcPr>
            <w:tcW w:w="3071" w:type="dxa"/>
          </w:tcPr>
          <w:p>
            <w:pPr>
              <w:spacing w:after="0" w:line="240" w:lineRule="auto"/>
              <w:rPr>
                <w:rFonts w:ascii="Times New Roman" w:hAnsi="Times New Roman"/>
              </w:rPr>
            </w:pPr>
            <w:r>
              <w:rPr>
                <w:rFonts w:ascii="Times New Roman" w:hAnsi="Times New Roman"/>
              </w:rPr>
              <w:t>Registro de riscos no GitHub Projects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rPr>
            </w:pPr>
            <w:r>
              <w:rPr>
                <w:rFonts w:ascii="Times New Roman" w:hAnsi="Times New Roman"/>
              </w:rPr>
              <w:t>Adotar a adaptabilidade e a resiliência</w:t>
            </w:r>
          </w:p>
        </w:tc>
        <w:tc>
          <w:tcPr>
            <w:tcW w:w="3070" w:type="dxa"/>
          </w:tcPr>
          <w:p>
            <w:pPr>
              <w:spacing w:after="0" w:line="240" w:lineRule="auto"/>
              <w:rPr>
                <w:rFonts w:ascii="Times New Roman" w:hAnsi="Times New Roman"/>
              </w:rPr>
            </w:pPr>
            <w:r>
              <w:rPr>
                <w:rFonts w:ascii="Times New Roman" w:hAnsi="Times New Roman"/>
              </w:rPr>
              <w:t>Reprogramação do escopo e do cronograma sem retrabalho documental integral</w:t>
            </w:r>
          </w:p>
        </w:tc>
        <w:tc>
          <w:tcPr>
            <w:tcW w:w="3071" w:type="dxa"/>
          </w:tcPr>
          <w:p>
            <w:pPr>
              <w:spacing w:after="0" w:line="240" w:lineRule="auto"/>
              <w:rPr>
                <w:rFonts w:ascii="Times New Roman" w:hAnsi="Times New Roman"/>
              </w:rPr>
            </w:pPr>
            <w:r>
              <w:rPr>
                <w:rFonts w:ascii="Times New Roman" w:hAnsi="Times New Roman"/>
              </w:rPr>
              <w:t>Sistema puxado com limites de trabalho em progresso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Permitir a mudança para alcançar o estado futuro previsto</w:t>
            </w:r>
          </w:p>
        </w:tc>
        <w:tc>
          <w:tcPr>
            <w:tcW w:w="3070" w:type="dxa"/>
          </w:tcPr>
          <w:p>
            <w:pPr>
              <w:spacing w:after="0" w:line="240" w:lineRule="auto"/>
              <w:rPr>
                <w:rFonts w:ascii="Times New Roman" w:hAnsi="Times New Roman"/>
              </w:rPr>
            </w:pPr>
            <w:r>
              <w:rPr>
                <w:rFonts w:ascii="Times New Roman" w:hAnsi="Times New Roman"/>
              </w:rPr>
              <w:t>Mudanças de escopo submetidas a aprovação formal antes da execução</w:t>
            </w:r>
          </w:p>
        </w:tc>
        <w:tc>
          <w:tcPr>
            <w:tcW w:w="3071" w:type="dxa"/>
          </w:tcPr>
          <w:p>
            <w:pPr>
              <w:spacing w:after="0" w:line="240" w:lineRule="auto"/>
              <w:rPr>
                <w:rFonts w:ascii="Times New Roman" w:hAnsi="Times New Roman"/>
              </w:rPr>
            </w:pPr>
            <w:r>
              <w:rPr>
                <w:rFonts w:ascii="Times New Roman" w:hAnsi="Times New Roman"/>
              </w:rPr>
              <w:t>Processo de controle integrado de mudanças</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pStyle w:val="2"/>
        <w:spacing w:before="360" w:after="360"/>
        <w:rPr>
          <w:rFonts w:cs="Times New Roman"/>
          <w:color w:val="000000"/>
        </w:rPr>
      </w:pPr>
      <w:bookmarkStart w:id="3" w:name="_Toc240734445"/>
      <w:r>
        <w:rPr>
          <w:rFonts w:cs="Times New Roman"/>
          <w:color w:val="000000"/>
        </w:rPr>
        <w:t>2.1 Gerenciamento da Integração</w:t>
      </w:r>
      <w:bookmarkEnd w:id="3"/>
    </w:p>
    <w:p>
      <w:pPr>
        <w:spacing w:after="0" w:line="360" w:lineRule="auto"/>
        <w:ind w:firstLine="708"/>
        <w:jc w:val="both"/>
        <w:rPr>
          <w:rFonts w:ascii="Times New Roman" w:hAnsi="Times New Roman"/>
          <w:color w:val="000000"/>
          <w:sz w:val="24"/>
        </w:rPr>
      </w:pPr>
      <w:r>
        <w:rPr>
          <w:rFonts w:ascii="Times New Roman" w:hAnsi="Times New Roman"/>
          <w:color w:val="000000"/>
          <w:sz w:val="24"/>
        </w:rPr>
        <w:t>O Termo de Abertura do Projeto (TAP) constitui o instrumento formal de autorização do projeto "Conversor de Ganhos em Moeda Estrangeira", conferindo-lhe existência oficial perante a instituição de ensino (Fatec Taquaritinga — Faculdade de Tecnologia de Taquaritinga) e perante o professor orientador da disciplina de Gerência de Projetos, Nivaldo Carleto. O TAP concede autoridade formal ao aluno Leonardo David Silva Setti no papel de gerente do projeto, autorizando-o a aplicar os recursos organizacionais, planejar as atividades, tomar decisões e mobilizar os recursos necessários à execução do projeto.</w:t>
      </w:r>
    </w:p>
    <w:p>
      <w:pPr>
        <w:spacing w:after="0" w:line="360" w:lineRule="auto"/>
        <w:ind w:firstLine="708"/>
        <w:jc w:val="both"/>
        <w:rPr>
          <w:rFonts w:ascii="Times New Roman" w:hAnsi="Times New Roman"/>
          <w:color w:val="000000"/>
          <w:sz w:val="24"/>
        </w:rPr>
      </w:pPr>
      <w:r>
        <w:rPr>
          <w:rFonts w:ascii="Times New Roman" w:hAnsi="Times New Roman"/>
          <w:color w:val="000000"/>
          <w:sz w:val="24"/>
        </w:rPr>
        <w:t>O documento estabelece, ainda, o vínculo entre o projeto e os objetivos estratégicos da disciplina — a aplicação prática dos princípios e dos oito domínios de desempenho do PMBOK® 7ª edição (Partes Interessadas, Equipe, Abordagem de Desenvolvimento e Ciclo de Vida, Planejamento, Trabalho do Projeto, Entrega, Medição e Incerteza) — e define os limites preliminares do projeto: escopo de alto nível, premissas, restrições, riscos iniciais, cronograma de marcos e orçamento preliminar, servindo de base para o planejamento detalhado de cada área de conhecimento e como documento de referência ao longo de todo o ciclo de vida do projeto.</w:t>
      </w:r>
    </w:p>
    <w:p>
      <w:pPr>
        <w:spacing w:after="0" w:line="360" w:lineRule="auto"/>
        <w:ind w:firstLine="708"/>
        <w:jc w:val="both"/>
        <w:rPr>
          <w:rFonts w:ascii="Times New Roman" w:hAnsi="Times New Roman"/>
          <w:color w:val="000000"/>
          <w:sz w:val="24"/>
        </w:rPr>
      </w:pPr>
      <w:r>
        <w:rPr>
          <w:rFonts w:ascii="Times New Roman" w:hAnsi="Times New Roman"/>
          <w:color w:val="000000"/>
          <w:sz w:val="24"/>
        </w:rPr>
        <w:t>A equipe do projeto é composta por dois integrantes — Leonardo David Silva Setti, como gerente e desenvolvedor, e Fabricio de Lima Cabral, como desenvolvedor — sob a supervisão do professor Nivaldo Carleto, que atua simultaneamente como cliente e orientador acadêmico, conforme registrado na tabela de partes interessadas do TAP.</w:t>
      </w:r>
    </w:p>
    <w:p>
      <w:pPr>
        <w:spacing w:after="0" w:line="360" w:lineRule="auto"/>
        <w:ind w:firstLine="708"/>
        <w:jc w:val="both"/>
        <w:rPr>
          <w:rFonts w:ascii="Times New Roman" w:hAnsi="Times New Roman"/>
          <w:sz w:val="24"/>
        </w:rPr>
      </w:pPr>
      <w:r>
        <w:rPr>
          <w:rFonts w:ascii="Times New Roman" w:hAnsi="Times New Roman"/>
          <w:sz w:val="24"/>
        </w:rPr>
        <w:t>A 7ª edição do Guia PMBOK® substitui a prescrição de processos pela exigência de adaptação deliberada: cabe à equipe justificar, diante do contexto, quais práticas adota, quais descarta e por quê. No COGME, os fatores determinantes da adaptação são o tamanho reduzido da equipe (dois integrantes), a duração de três meses, a existência de um único stakeholder com poder de aprovação, a restrição de orçamento de aquisições nula e a cadência acadêmica de entregas. O Quadro 2 registra as decisões de adaptação e sua fundamentação, de modo que as práticas ausentes sejam compreendidas como escolha justificada, e não como omissão.</w:t>
      </w:r>
    </w:p>
    <w:p>
      <w:pPr>
        <w:spacing w:before="240" w:after="60" w:line="240" w:lineRule="auto"/>
        <w:rPr>
          <w:rFonts w:ascii="Times New Roman" w:hAnsi="Times New Roman"/>
          <w:sz w:val="24"/>
        </w:rPr>
      </w:pPr>
      <w:r>
        <w:rPr>
          <w:rFonts w:ascii="Times New Roman" w:hAnsi="Times New Roman"/>
          <w:sz w:val="24"/>
        </w:rPr>
        <w:t>Quadro 2 — Estratégia de adaptação do projeto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070"/>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70" w:type="dxa"/>
          </w:tcPr>
          <w:p>
            <w:pPr>
              <w:spacing w:after="0" w:line="240" w:lineRule="auto"/>
              <w:rPr>
                <w:rFonts w:ascii="Times New Roman" w:hAnsi="Times New Roman"/>
              </w:rPr>
            </w:pPr>
            <w:r>
              <w:rPr>
                <w:rFonts w:ascii="Times New Roman" w:hAnsi="Times New Roman"/>
              </w:rPr>
              <w:t>Prática de referência</w:t>
            </w:r>
          </w:p>
        </w:tc>
        <w:tc>
          <w:tcPr>
            <w:tcW w:w="3070" w:type="dxa"/>
          </w:tcPr>
          <w:p>
            <w:pPr>
              <w:spacing w:after="0" w:line="240" w:lineRule="auto"/>
              <w:rPr>
                <w:rFonts w:ascii="Times New Roman" w:hAnsi="Times New Roman"/>
              </w:rPr>
            </w:pPr>
            <w:r>
              <w:rPr>
                <w:rFonts w:ascii="Times New Roman" w:hAnsi="Times New Roman"/>
              </w:rPr>
              <w:t>Decisão de adaptação</w:t>
            </w:r>
          </w:p>
        </w:tc>
        <w:tc>
          <w:tcPr>
            <w:tcW w:w="3071" w:type="dxa"/>
          </w:tcPr>
          <w:p>
            <w:pPr>
              <w:spacing w:after="0" w:line="240" w:lineRule="auto"/>
              <w:rPr>
                <w:rFonts w:ascii="Times New Roman" w:hAnsi="Times New Roman"/>
              </w:rPr>
            </w:pPr>
            <w:r>
              <w:rPr>
                <w:rFonts w:ascii="Times New Roman" w:hAnsi="Times New Roman"/>
              </w:rPr>
              <w:t>Fundamentação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Abordagem de ciclo de vida</w:t>
            </w:r>
          </w:p>
        </w:tc>
        <w:tc>
          <w:tcPr>
            <w:tcW w:w="3070" w:type="dxa"/>
          </w:tcPr>
          <w:p>
            <w:pPr>
              <w:spacing w:after="0" w:line="240" w:lineRule="auto"/>
              <w:rPr>
                <w:rFonts w:ascii="Times New Roman" w:hAnsi="Times New Roman"/>
              </w:rPr>
            </w:pPr>
            <w:r>
              <w:rPr>
                <w:rFonts w:ascii="Times New Roman" w:hAnsi="Times New Roman"/>
              </w:rPr>
              <w:t>Adotado ciclo iterativo e incremental com Kanban, em vez de abordagem preditiva</w:t>
            </w:r>
          </w:p>
        </w:tc>
        <w:tc>
          <w:tcPr>
            <w:tcW w:w="3071" w:type="dxa"/>
          </w:tcPr>
          <w:p>
            <w:pPr>
              <w:spacing w:after="0" w:line="240" w:lineRule="auto"/>
              <w:rPr>
                <w:rFonts w:ascii="Times New Roman" w:hAnsi="Times New Roman"/>
              </w:rPr>
            </w:pPr>
            <w:r>
              <w:rPr>
                <w:rFonts w:ascii="Times New Roman" w:hAnsi="Times New Roman"/>
              </w:rPr>
              <w:t>Requisitos sujeitos a refinamento e equipe pequena e colocada, que dispensa coordenação formal intensa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Cronograma em diagrama de Gantt</w:t>
            </w:r>
          </w:p>
        </w:tc>
        <w:tc>
          <w:tcPr>
            <w:tcW w:w="3070" w:type="dxa"/>
          </w:tcPr>
          <w:p>
            <w:pPr>
              <w:spacing w:after="0" w:line="240" w:lineRule="auto"/>
              <w:rPr>
                <w:rFonts w:ascii="Times New Roman" w:hAnsi="Times New Roman"/>
              </w:rPr>
            </w:pPr>
            <w:r>
              <w:rPr>
                <w:rFonts w:ascii="Times New Roman" w:hAnsi="Times New Roman"/>
              </w:rPr>
              <w:t>Substituído pelo quadro Kanban como fonte primária; Gantt derivado apenas sob demanda</w:t>
            </w:r>
          </w:p>
        </w:tc>
        <w:tc>
          <w:tcPr>
            <w:tcW w:w="3071" w:type="dxa"/>
          </w:tcPr>
          <w:p>
            <w:pPr>
              <w:spacing w:after="0" w:line="240" w:lineRule="auto"/>
              <w:rPr>
                <w:rFonts w:ascii="Times New Roman" w:hAnsi="Times New Roman"/>
              </w:rPr>
            </w:pPr>
            <w:r>
              <w:rPr>
                <w:rFonts w:ascii="Times New Roman" w:hAnsi="Times New Roman"/>
              </w:rPr>
              <w:t>Manutenção manual de Gantt consome esforço sem agregar informação nova em projeto de três meses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Gestão de valor agregado</w:t>
            </w:r>
          </w:p>
        </w:tc>
        <w:tc>
          <w:tcPr>
            <w:tcW w:w="3070" w:type="dxa"/>
          </w:tcPr>
          <w:p>
            <w:pPr>
              <w:spacing w:after="0" w:line="240" w:lineRule="auto"/>
              <w:rPr>
                <w:rFonts w:ascii="Times New Roman" w:hAnsi="Times New Roman"/>
              </w:rPr>
            </w:pPr>
            <w:r>
              <w:rPr>
                <w:rFonts w:ascii="Times New Roman" w:hAnsi="Times New Roman"/>
              </w:rPr>
              <w:t>Substituída por métricas de fluxo (tempo de ciclo, vazão e trabalho em progresso)</w:t>
            </w:r>
          </w:p>
        </w:tc>
        <w:tc>
          <w:tcPr>
            <w:tcW w:w="3071" w:type="dxa"/>
          </w:tcPr>
          <w:p>
            <w:pPr>
              <w:spacing w:after="0" w:line="240" w:lineRule="auto"/>
              <w:rPr>
                <w:rFonts w:ascii="Times New Roman" w:hAnsi="Times New Roman"/>
              </w:rPr>
            </w:pPr>
            <w:r>
              <w:rPr>
                <w:rFonts w:ascii="Times New Roman" w:hAnsi="Times New Roman"/>
              </w:rPr>
              <w:t>Ausência de remuneração e de orçamento de aquisições torna o valor agregado financeiro pouco informativo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Plano de gerenciamento de aquisições</w:t>
            </w:r>
          </w:p>
        </w:tc>
        <w:tc>
          <w:tcPr>
            <w:tcW w:w="3070" w:type="dxa"/>
          </w:tcPr>
          <w:p>
            <w:pPr>
              <w:spacing w:after="0" w:line="240" w:lineRule="auto"/>
              <w:rPr>
                <w:rFonts w:ascii="Times New Roman" w:hAnsi="Times New Roman"/>
              </w:rPr>
            </w:pPr>
            <w:r>
              <w:rPr>
                <w:rFonts w:ascii="Times New Roman" w:hAnsi="Times New Roman"/>
              </w:rPr>
              <w:t>Suprimido</w:t>
            </w:r>
          </w:p>
        </w:tc>
        <w:tc>
          <w:tcPr>
            <w:tcW w:w="3071" w:type="dxa"/>
          </w:tcPr>
          <w:p>
            <w:pPr>
              <w:spacing w:after="0" w:line="240" w:lineRule="auto"/>
              <w:rPr>
                <w:rFonts w:ascii="Times New Roman" w:hAnsi="Times New Roman"/>
              </w:rPr>
            </w:pPr>
            <w:r>
              <w:rPr>
                <w:rFonts w:ascii="Times New Roman" w:hAnsi="Times New Roman"/>
              </w:rPr>
              <w:t>Orçamento de aquisições nulo e uso exclusivo de software livre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Estrutura de escritório de projetos</w:t>
            </w:r>
          </w:p>
        </w:tc>
        <w:tc>
          <w:tcPr>
            <w:tcW w:w="3070" w:type="dxa"/>
          </w:tcPr>
          <w:p>
            <w:pPr>
              <w:spacing w:after="0" w:line="240" w:lineRule="auto"/>
              <w:rPr>
                <w:rFonts w:ascii="Times New Roman" w:hAnsi="Times New Roman"/>
              </w:rPr>
            </w:pPr>
            <w:r>
              <w:rPr>
                <w:rFonts w:ascii="Times New Roman" w:hAnsi="Times New Roman"/>
              </w:rPr>
              <w:t>Funções exercidas de forma distribuída e apoiadas em ferramenta única</w:t>
            </w:r>
          </w:p>
        </w:tc>
        <w:tc>
          <w:tcPr>
            <w:tcW w:w="3071" w:type="dxa"/>
          </w:tcPr>
          <w:p>
            <w:pPr>
              <w:spacing w:after="0" w:line="240" w:lineRule="auto"/>
              <w:rPr>
                <w:rFonts w:ascii="Times New Roman" w:hAnsi="Times New Roman"/>
              </w:rPr>
            </w:pPr>
            <w:r>
              <w:rPr>
                <w:rFonts w:ascii="Times New Roman" w:hAnsi="Times New Roman"/>
              </w:rPr>
              <w:t>Porte do projeto não comporta estrutura dedicada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Reuniões formais de acompanhamento</w:t>
            </w:r>
          </w:p>
        </w:tc>
        <w:tc>
          <w:tcPr>
            <w:tcW w:w="3070" w:type="dxa"/>
          </w:tcPr>
          <w:p>
            <w:pPr>
              <w:spacing w:after="0" w:line="240" w:lineRule="auto"/>
              <w:rPr>
                <w:rFonts w:ascii="Times New Roman" w:hAnsi="Times New Roman"/>
              </w:rPr>
            </w:pPr>
            <w:r>
              <w:rPr>
                <w:rFonts w:ascii="Times New Roman" w:hAnsi="Times New Roman"/>
              </w:rPr>
              <w:t>Substituídas por comunicação assíncrona e pelo painel do repositório</w:t>
            </w:r>
          </w:p>
        </w:tc>
        <w:tc>
          <w:tcPr>
            <w:tcW w:w="3071" w:type="dxa"/>
          </w:tcPr>
          <w:p>
            <w:pPr>
              <w:spacing w:after="0" w:line="240" w:lineRule="auto"/>
              <w:rPr>
                <w:rFonts w:ascii="Times New Roman" w:hAnsi="Times New Roman"/>
              </w:rPr>
            </w:pPr>
            <w:r>
              <w:rPr>
                <w:rFonts w:ascii="Times New Roman" w:hAnsi="Times New Roman"/>
              </w:rPr>
              <w:t>Disponibilidade parcial da equipe e stakeholder único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Documentação de planos subsidiários</w:t>
            </w:r>
          </w:p>
        </w:tc>
        <w:tc>
          <w:tcPr>
            <w:tcW w:w="3070" w:type="dxa"/>
          </w:tcPr>
          <w:p>
            <w:pPr>
              <w:spacing w:after="0" w:line="240" w:lineRule="auto"/>
              <w:rPr>
                <w:rFonts w:ascii="Times New Roman" w:hAnsi="Times New Roman"/>
              </w:rPr>
            </w:pPr>
            <w:r>
              <w:rPr>
                <w:rFonts w:ascii="Times New Roman" w:hAnsi="Times New Roman"/>
              </w:rPr>
              <w:t>Reduzida ao conjunto exigido academicamente ou com valor de uso comprovado</w:t>
            </w:r>
          </w:p>
        </w:tc>
        <w:tc>
          <w:tcPr>
            <w:tcW w:w="3071" w:type="dxa"/>
          </w:tcPr>
          <w:p>
            <w:pPr>
              <w:spacing w:after="0" w:line="240" w:lineRule="auto"/>
              <w:rPr>
                <w:rFonts w:ascii="Times New Roman" w:hAnsi="Times New Roman"/>
              </w:rPr>
            </w:pPr>
            <w:r>
              <w:rPr>
                <w:rFonts w:ascii="Times New Roman" w:hAnsi="Times New Roman"/>
              </w:rPr>
              <w:t>Princípio de Governança Mínima Viável, que evita artefatos sem leitor</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spacing w:after="0" w:line="360" w:lineRule="auto"/>
        <w:ind w:firstLine="708"/>
        <w:jc w:val="both"/>
        <w:rPr>
          <w:rFonts w:ascii="Times New Roman" w:hAnsi="Times New Roman"/>
          <w:color w:val="000000"/>
          <w:sz w:val="24"/>
        </w:rPr>
      </w:pPr>
      <w:r>
        <w:rPr>
          <w:rFonts w:ascii="Times New Roman" w:hAnsi="Times New Roman"/>
          <w:color w:val="000000"/>
          <w:sz w:val="24"/>
        </w:rPr>
        <w:t>Além da autorização formal, o TAP consolida as premissas de planejamento do projeto — fatores considerados verdadeiros para fins de planejamento, em consonância com o Domínio de Planejamento do PMBOK® 7ª edição, cuja eventual invalidação exige reavaliação imediata de escopo, cronograma ou custos. O Quadro 3 apresenta as oito premissas fundamentais do COGME.</w:t>
      </w:r>
    </w:p>
    <w:p>
      <w:pPr>
        <w:spacing w:before="240" w:after="60" w:line="240" w:lineRule="auto"/>
        <w:rPr>
          <w:rFonts w:ascii="Times New Roman" w:hAnsi="Times New Roman"/>
          <w:sz w:val="24"/>
        </w:rPr>
      </w:pPr>
      <w:r>
        <w:rPr>
          <w:rFonts w:ascii="Times New Roman" w:hAnsi="Times New Roman"/>
          <w:sz w:val="24"/>
        </w:rPr>
        <w:t>Quadro 3 — Premissas de planejamento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070"/>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70" w:type="dxa"/>
          </w:tcPr>
          <w:p>
            <w:pPr>
              <w:spacing w:after="0" w:line="240" w:lineRule="auto"/>
              <w:rPr>
                <w:rFonts w:ascii="Times New Roman" w:hAnsi="Times New Roman"/>
                <w:sz w:val="20"/>
              </w:rPr>
            </w:pPr>
            <w:r>
              <w:rPr>
                <w:rFonts w:ascii="Times New Roman" w:hAnsi="Times New Roman"/>
                <w:sz w:val="20"/>
              </w:rPr>
              <w:t>#</w:t>
            </w:r>
          </w:p>
        </w:tc>
        <w:tc>
          <w:tcPr>
            <w:tcW w:w="3070" w:type="dxa"/>
          </w:tcPr>
          <w:p>
            <w:pPr>
              <w:spacing w:after="0" w:line="240" w:lineRule="auto"/>
              <w:rPr>
                <w:rFonts w:ascii="Times New Roman" w:hAnsi="Times New Roman"/>
                <w:sz w:val="20"/>
              </w:rPr>
            </w:pPr>
            <w:r>
              <w:rPr>
                <w:rFonts w:ascii="Times New Roman" w:hAnsi="Times New Roman"/>
                <w:sz w:val="20"/>
              </w:rPr>
              <w:t>Premissa</w:t>
            </w:r>
          </w:p>
        </w:tc>
        <w:tc>
          <w:tcPr>
            <w:tcW w:w="3071" w:type="dxa"/>
          </w:tcPr>
          <w:p>
            <w:pPr>
              <w:spacing w:after="0" w:line="240" w:lineRule="auto"/>
              <w:rPr>
                <w:rFonts w:ascii="Times New Roman" w:hAnsi="Times New Roman"/>
                <w:sz w:val="20"/>
              </w:rPr>
            </w:pPr>
            <w:r>
              <w:rPr>
                <w:rFonts w:ascii="Times New Roman" w:hAnsi="Times New Roman"/>
                <w:sz w:val="20"/>
              </w:rPr>
              <w:t>Impacto se Invalidada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P1</w:t>
            </w:r>
          </w:p>
        </w:tc>
        <w:tc>
          <w:tcPr>
            <w:tcW w:w="3070" w:type="dxa"/>
          </w:tcPr>
          <w:p>
            <w:pPr>
              <w:spacing w:after="0" w:line="240" w:lineRule="auto"/>
              <w:rPr>
                <w:rFonts w:ascii="Times New Roman" w:hAnsi="Times New Roman"/>
                <w:sz w:val="20"/>
              </w:rPr>
            </w:pPr>
            <w:r>
              <w:rPr>
                <w:rFonts w:ascii="Times New Roman" w:hAnsi="Times New Roman"/>
                <w:sz w:val="20"/>
              </w:rPr>
              <w:t>A governança seguirá o PMBOK® 7ª edição como base de princípios e domínios de desempenho, com o Kanban como método de execução ágil.</w:t>
            </w:r>
          </w:p>
        </w:tc>
        <w:tc>
          <w:tcPr>
            <w:tcW w:w="3071" w:type="dxa"/>
          </w:tcPr>
          <w:p>
            <w:pPr>
              <w:spacing w:after="0" w:line="240" w:lineRule="auto"/>
              <w:rPr>
                <w:rFonts w:ascii="Times New Roman" w:hAnsi="Times New Roman"/>
                <w:sz w:val="20"/>
              </w:rPr>
            </w:pPr>
            <w:r>
              <w:rPr>
                <w:rFonts w:ascii="Times New Roman" w:hAnsi="Times New Roman"/>
                <w:sz w:val="20"/>
              </w:rPr>
              <w:t>Retrabalho massivo na documentação para adequação a um modelo puramente preditivo, inviabilizando o prazo.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P2</w:t>
            </w:r>
          </w:p>
        </w:tc>
        <w:tc>
          <w:tcPr>
            <w:tcW w:w="3070" w:type="dxa"/>
          </w:tcPr>
          <w:p>
            <w:pPr>
              <w:spacing w:after="0" w:line="240" w:lineRule="auto"/>
              <w:rPr>
                <w:rFonts w:ascii="Times New Roman" w:hAnsi="Times New Roman"/>
                <w:sz w:val="20"/>
              </w:rPr>
            </w:pPr>
            <w:r>
              <w:rPr>
                <w:rFonts w:ascii="Times New Roman" w:hAnsi="Times New Roman"/>
                <w:sz w:val="20"/>
              </w:rPr>
              <w:t>O projeto será desenvolvido e entregue utilizando exclusivamente tecnologias de Software Livre e Código Aberto (FOSS).</w:t>
            </w:r>
          </w:p>
        </w:tc>
        <w:tc>
          <w:tcPr>
            <w:tcW w:w="3071" w:type="dxa"/>
          </w:tcPr>
          <w:p>
            <w:pPr>
              <w:spacing w:after="0" w:line="240" w:lineRule="auto"/>
              <w:rPr>
                <w:rFonts w:ascii="Times New Roman" w:hAnsi="Times New Roman"/>
                <w:sz w:val="20"/>
              </w:rPr>
            </w:pPr>
            <w:r>
              <w:rPr>
                <w:rFonts w:ascii="Times New Roman" w:hAnsi="Times New Roman"/>
                <w:sz w:val="20"/>
              </w:rPr>
              <w:t>Necessidade de aquisição de licenças, violando a restrição de orçamento de aquisições nulo.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P3</w:t>
            </w:r>
          </w:p>
        </w:tc>
        <w:tc>
          <w:tcPr>
            <w:tcW w:w="3070" w:type="dxa"/>
          </w:tcPr>
          <w:p>
            <w:pPr>
              <w:spacing w:after="0" w:line="240" w:lineRule="auto"/>
              <w:rPr>
                <w:rFonts w:ascii="Times New Roman" w:hAnsi="Times New Roman"/>
                <w:sz w:val="20"/>
              </w:rPr>
            </w:pPr>
            <w:r>
              <w:rPr>
                <w:rFonts w:ascii="Times New Roman" w:hAnsi="Times New Roman"/>
                <w:sz w:val="20"/>
              </w:rPr>
              <w:t>O uso de Inteligência Artificial Generativa como apoio ao desenvolvimento (SDD) é autorizado, desde que com rastreabilidade e revisão humana.</w:t>
            </w:r>
          </w:p>
        </w:tc>
        <w:tc>
          <w:tcPr>
            <w:tcW w:w="3071" w:type="dxa"/>
          </w:tcPr>
          <w:p>
            <w:pPr>
              <w:spacing w:after="0" w:line="240" w:lineRule="auto"/>
              <w:rPr>
                <w:rFonts w:ascii="Times New Roman" w:hAnsi="Times New Roman"/>
                <w:sz w:val="20"/>
              </w:rPr>
            </w:pPr>
            <w:r>
              <w:rPr>
                <w:rFonts w:ascii="Times New Roman" w:hAnsi="Times New Roman"/>
                <w:sz w:val="20"/>
              </w:rPr>
              <w:t>Perda de produtividade e necessidade de reescrita manual de artefatos e código, comprometendo o cronograma.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P4</w:t>
            </w:r>
          </w:p>
        </w:tc>
        <w:tc>
          <w:tcPr>
            <w:tcW w:w="3070" w:type="dxa"/>
          </w:tcPr>
          <w:p>
            <w:pPr>
              <w:spacing w:after="0" w:line="240" w:lineRule="auto"/>
              <w:rPr>
                <w:rFonts w:ascii="Times New Roman" w:hAnsi="Times New Roman"/>
                <w:sz w:val="20"/>
              </w:rPr>
            </w:pPr>
            <w:r>
              <w:rPr>
                <w:rFonts w:ascii="Times New Roman" w:hAnsi="Times New Roman"/>
                <w:sz w:val="20"/>
              </w:rPr>
              <w:t>O código-fonte funcional (MVP full-stack) é deliverable formal, e não apenas os artefatos textuais.</w:t>
            </w:r>
          </w:p>
        </w:tc>
        <w:tc>
          <w:tcPr>
            <w:tcW w:w="3071" w:type="dxa"/>
          </w:tcPr>
          <w:p>
            <w:pPr>
              <w:spacing w:after="0" w:line="240" w:lineRule="auto"/>
              <w:rPr>
                <w:rFonts w:ascii="Times New Roman" w:hAnsi="Times New Roman"/>
                <w:sz w:val="20"/>
              </w:rPr>
            </w:pPr>
            <w:r>
              <w:rPr>
                <w:rFonts w:ascii="Times New Roman" w:hAnsi="Times New Roman"/>
                <w:sz w:val="20"/>
              </w:rPr>
              <w:t>O projeto seria considerado academicamente incompleto, mesmo com a documentação de gerenciamento perfeita.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P5</w:t>
            </w:r>
          </w:p>
        </w:tc>
        <w:tc>
          <w:tcPr>
            <w:tcW w:w="3070" w:type="dxa"/>
          </w:tcPr>
          <w:p>
            <w:pPr>
              <w:spacing w:after="0" w:line="240" w:lineRule="auto"/>
              <w:rPr>
                <w:rFonts w:ascii="Times New Roman" w:hAnsi="Times New Roman"/>
                <w:sz w:val="20"/>
              </w:rPr>
            </w:pPr>
            <w:r>
              <w:rPr>
                <w:rFonts w:ascii="Times New Roman" w:hAnsi="Times New Roman"/>
                <w:sz w:val="20"/>
              </w:rPr>
              <w:t>A equipe (2 membros) manterá disponibilidade média de até 20 horas semanais dedicadas ao projeto.</w:t>
            </w:r>
          </w:p>
        </w:tc>
        <w:tc>
          <w:tcPr>
            <w:tcW w:w="3071" w:type="dxa"/>
          </w:tcPr>
          <w:p>
            <w:pPr>
              <w:spacing w:after="0" w:line="240" w:lineRule="auto"/>
              <w:rPr>
                <w:rFonts w:ascii="Times New Roman" w:hAnsi="Times New Roman"/>
                <w:sz w:val="20"/>
              </w:rPr>
            </w:pPr>
            <w:r>
              <w:rPr>
                <w:rFonts w:ascii="Times New Roman" w:hAnsi="Times New Roman"/>
                <w:sz w:val="20"/>
              </w:rPr>
              <w:t>Atraso crônico nas entregas, sobrecarga da equipe e necessidade de redução drástica do escopo do MVP.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P6</w:t>
            </w:r>
          </w:p>
        </w:tc>
        <w:tc>
          <w:tcPr>
            <w:tcW w:w="3070" w:type="dxa"/>
          </w:tcPr>
          <w:p>
            <w:pPr>
              <w:spacing w:after="0" w:line="240" w:lineRule="auto"/>
              <w:rPr>
                <w:rFonts w:ascii="Times New Roman" w:hAnsi="Times New Roman"/>
                <w:sz w:val="20"/>
              </w:rPr>
            </w:pPr>
            <w:r>
              <w:rPr>
                <w:rFonts w:ascii="Times New Roman" w:hAnsi="Times New Roman"/>
                <w:sz w:val="20"/>
              </w:rPr>
              <w:t>O hardware local disponível é adequado e suficiente para desenvolvimento, modelagem, testes e execução local do MVP.</w:t>
            </w:r>
          </w:p>
        </w:tc>
        <w:tc>
          <w:tcPr>
            <w:tcW w:w="3071" w:type="dxa"/>
          </w:tcPr>
          <w:p>
            <w:pPr>
              <w:spacing w:after="0" w:line="240" w:lineRule="auto"/>
              <w:rPr>
                <w:rFonts w:ascii="Times New Roman" w:hAnsi="Times New Roman"/>
                <w:sz w:val="20"/>
              </w:rPr>
            </w:pPr>
            <w:r>
              <w:rPr>
                <w:rFonts w:ascii="Times New Roman" w:hAnsi="Times New Roman"/>
                <w:sz w:val="20"/>
              </w:rPr>
              <w:t>Necessidade de migração para nuvem paga, gerando custos não previstos.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P7</w:t>
            </w:r>
          </w:p>
        </w:tc>
        <w:tc>
          <w:tcPr>
            <w:tcW w:w="3070" w:type="dxa"/>
          </w:tcPr>
          <w:p>
            <w:pPr>
              <w:spacing w:after="0" w:line="240" w:lineRule="auto"/>
              <w:rPr>
                <w:rFonts w:ascii="Times New Roman" w:hAnsi="Times New Roman"/>
                <w:sz w:val="20"/>
              </w:rPr>
            </w:pPr>
            <w:r>
              <w:rPr>
                <w:rFonts w:ascii="Times New Roman" w:hAnsi="Times New Roman"/>
                <w:sz w:val="20"/>
              </w:rPr>
              <w:t>O professor orientador atua como único stakeholder formal com poder de aprovação (patrocinador e avaliador).</w:t>
            </w:r>
          </w:p>
        </w:tc>
        <w:tc>
          <w:tcPr>
            <w:tcW w:w="3071" w:type="dxa"/>
          </w:tcPr>
          <w:p>
            <w:pPr>
              <w:spacing w:after="0" w:line="240" w:lineRule="auto"/>
              <w:rPr>
                <w:rFonts w:ascii="Times New Roman" w:hAnsi="Times New Roman"/>
                <w:sz w:val="20"/>
              </w:rPr>
            </w:pPr>
            <w:r>
              <w:rPr>
                <w:rFonts w:ascii="Times New Roman" w:hAnsi="Times New Roman"/>
                <w:sz w:val="20"/>
              </w:rPr>
              <w:t>Aumento da complexidade de comunicação e do tempo de ciclo para aprovação de mudanças.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P8</w:t>
            </w:r>
          </w:p>
        </w:tc>
        <w:tc>
          <w:tcPr>
            <w:tcW w:w="3070" w:type="dxa"/>
          </w:tcPr>
          <w:p>
            <w:pPr>
              <w:spacing w:after="0" w:line="240" w:lineRule="auto"/>
              <w:rPr>
                <w:rFonts w:ascii="Times New Roman" w:hAnsi="Times New Roman"/>
                <w:sz w:val="20"/>
              </w:rPr>
            </w:pPr>
            <w:r>
              <w:rPr>
                <w:rFonts w:ascii="Times New Roman" w:hAnsi="Times New Roman"/>
                <w:sz w:val="20"/>
              </w:rPr>
              <w:t>O domínio de Partes Interessadas e o tratamento de aquisições serão abordados com simplificação pedagógica, conforme o escopo acadêmico.</w:t>
            </w:r>
          </w:p>
        </w:tc>
        <w:tc>
          <w:tcPr>
            <w:tcW w:w="3071" w:type="dxa"/>
          </w:tcPr>
          <w:p>
            <w:pPr>
              <w:spacing w:after="0" w:line="240" w:lineRule="auto"/>
              <w:rPr>
                <w:rFonts w:ascii="Times New Roman" w:hAnsi="Times New Roman"/>
                <w:sz w:val="20"/>
              </w:rPr>
            </w:pPr>
            <w:r>
              <w:rPr>
                <w:rFonts w:ascii="Times New Roman" w:hAnsi="Times New Roman"/>
                <w:sz w:val="20"/>
              </w:rPr>
              <w:t>Exigência de planos de aquisição complexos para um projeto sem orçamento, desviando o foco do produto.</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pStyle w:val="2"/>
        <w:spacing w:before="360" w:after="360"/>
        <w:rPr>
          <w:rFonts w:cs="Times New Roman"/>
          <w:color w:val="000000"/>
        </w:rPr>
      </w:pPr>
      <w:bookmarkStart w:id="4" w:name="_Toc240734446"/>
      <w:r>
        <w:rPr>
          <w:rFonts w:cs="Times New Roman"/>
          <w:color w:val="000000"/>
        </w:rPr>
        <w:t>2.2 Gerenciamento de Escopo</w:t>
      </w:r>
      <w:bookmarkEnd w:id="4"/>
    </w:p>
    <w:p>
      <w:pPr>
        <w:spacing w:after="0" w:line="360" w:lineRule="auto"/>
        <w:ind w:firstLine="708"/>
        <w:jc w:val="both"/>
        <w:rPr>
          <w:rFonts w:ascii="Times New Roman" w:hAnsi="Times New Roman"/>
          <w:color w:val="000000"/>
          <w:sz w:val="24"/>
        </w:rPr>
      </w:pPr>
      <w:r>
        <w:rPr>
          <w:rFonts w:ascii="Times New Roman" w:hAnsi="Times New Roman"/>
          <w:color w:val="000000"/>
          <w:sz w:val="24"/>
        </w:rPr>
        <w:t>O escopo do projeto COGME está restrito à entrega de um Produto Mínimo Viável (MVP) em regime acadêmico, compreendendo a simulação cambial a partir de cotação oficial do Banco Central do Brasil (PTAX), a consulta e a comparação de custo efetivo entre provedores de pagamento internacional e a emissão do documento de cobrança correspondente. O COGME atua exclusivamente como ferramenta de consulta e apoio à decisão: o sistema reúne cotações e tarifas públicas, apresenta o comparativo e encaminha o usuário ao provedor de sua escolha, sem executar, intermediar ou processar qualquer operação de pagamento. Funcionalidades não essenciais — como a execução de transferências, a integração transacional com as plataformas de pagamento, o cadastro de múltiplos usuários ou relatórios gerenciais avançados — ficam reservadas a versões futuras, salvo aprovação formal de mudança de escopo. Registre-se que o comparativo de provedores é informativo e baseado em tarifas públicas parametrizadas, não constituindo recomendação financeira nem intermediação de operação cambial. O desenvolvimento ocorre integralmente do zero, sem reaproveitamento de código ou sistemas legados, demandando esforço completo de modelagem, codificação e testes dentro do período letivo.</w:t>
      </w:r>
    </w:p>
    <w:p>
      <w:pPr>
        <w:pStyle w:val="2"/>
        <w:spacing w:before="360" w:after="360"/>
        <w:rPr>
          <w:rFonts w:cs="Times New Roman"/>
          <w:color w:val="000000"/>
        </w:rPr>
      </w:pPr>
      <w:bookmarkStart w:id="5" w:name="_Toc240734447"/>
      <w:r>
        <w:rPr>
          <w:rFonts w:cs="Times New Roman"/>
          <w:color w:val="000000"/>
        </w:rPr>
        <w:t>2.2.1 Levantamento de Requisitos</w:t>
      </w:r>
      <w:bookmarkEnd w:id="5"/>
    </w:p>
    <w:p>
      <w:pPr>
        <w:spacing w:after="0" w:line="360" w:lineRule="auto"/>
        <w:ind w:firstLine="708"/>
        <w:jc w:val="both"/>
        <w:rPr>
          <w:rFonts w:ascii="Times New Roman" w:hAnsi="Times New Roman"/>
          <w:color w:val="000000"/>
          <w:sz w:val="24"/>
        </w:rPr>
      </w:pPr>
      <w:r>
        <w:rPr>
          <w:rFonts w:ascii="Times New Roman" w:hAnsi="Times New Roman"/>
          <w:color w:val="000000"/>
          <w:sz w:val="24"/>
        </w:rPr>
        <w:t>Os requisitos do projeto foram levantados a partir dos objetivos SMART definidos no TAP (§3) e organizados em consonância com os domínios de Partes Interessadas e de Entrega do PMBOK® 7ª edição, sendo cada requisito mensurável, rastreável e vinculado a um pacote de trabalho específico da EAP. O Quadro 4 apresenta os requisitos funcionais e não funcionais relativos ao MVP web (Fase N5 da EAP).</w:t>
      </w:r>
    </w:p>
    <w:p>
      <w:pPr>
        <w:spacing w:before="240" w:after="60" w:line="240" w:lineRule="auto"/>
        <w:rPr>
          <w:rFonts w:ascii="Times New Roman" w:hAnsi="Times New Roman"/>
          <w:sz w:val="24"/>
        </w:rPr>
      </w:pPr>
      <w:r>
        <w:rPr>
          <w:rFonts w:ascii="Times New Roman" w:hAnsi="Times New Roman"/>
          <w:sz w:val="24"/>
        </w:rPr>
        <w:t>Quadro 4 — Requisitos funcionais e não funcionais do MVP</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070"/>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70" w:type="dxa"/>
          </w:tcPr>
          <w:p>
            <w:pPr>
              <w:spacing w:after="0" w:line="240" w:lineRule="auto"/>
              <w:rPr>
                <w:rFonts w:ascii="Times New Roman" w:hAnsi="Times New Roman"/>
                <w:sz w:val="20"/>
              </w:rPr>
            </w:pPr>
            <w:r>
              <w:rPr>
                <w:rFonts w:ascii="Times New Roman" w:hAnsi="Times New Roman"/>
                <w:sz w:val="20"/>
              </w:rPr>
              <w:t>ID</w:t>
            </w:r>
          </w:p>
        </w:tc>
        <w:tc>
          <w:tcPr>
            <w:tcW w:w="3070" w:type="dxa"/>
          </w:tcPr>
          <w:p>
            <w:pPr>
              <w:spacing w:after="0" w:line="240" w:lineRule="auto"/>
              <w:rPr>
                <w:rFonts w:ascii="Times New Roman" w:hAnsi="Times New Roman"/>
                <w:sz w:val="20"/>
              </w:rPr>
            </w:pPr>
            <w:r>
              <w:rPr>
                <w:rFonts w:ascii="Times New Roman" w:hAnsi="Times New Roman"/>
                <w:sz w:val="20"/>
              </w:rPr>
              <w:t>Requisito</w:t>
            </w:r>
          </w:p>
        </w:tc>
        <w:tc>
          <w:tcPr>
            <w:tcW w:w="3071" w:type="dxa"/>
          </w:tcPr>
          <w:p>
            <w:pPr>
              <w:spacing w:after="0" w:line="240" w:lineRule="auto"/>
              <w:rPr>
                <w:rFonts w:ascii="Times New Roman" w:hAnsi="Times New Roman"/>
                <w:sz w:val="20"/>
              </w:rPr>
            </w:pPr>
            <w:r>
              <w:rPr>
                <w:rFonts w:ascii="Times New Roman" w:hAnsi="Times New Roman"/>
                <w:sz w:val="20"/>
              </w:rPr>
              <w:t>Critério de Aceite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REQ-01</w:t>
            </w:r>
          </w:p>
        </w:tc>
        <w:tc>
          <w:tcPr>
            <w:tcW w:w="3070" w:type="dxa"/>
          </w:tcPr>
          <w:p>
            <w:pPr>
              <w:spacing w:after="0" w:line="240" w:lineRule="auto"/>
              <w:rPr>
                <w:rFonts w:ascii="Times New Roman" w:hAnsi="Times New Roman"/>
                <w:sz w:val="20"/>
              </w:rPr>
            </w:pPr>
            <w:r>
              <w:rPr>
                <w:rFonts w:ascii="Times New Roman" w:hAnsi="Times New Roman"/>
                <w:sz w:val="20"/>
              </w:rPr>
              <w:t>Simulação de conversão cambial em tempo real (USD/EUR → BRL)</w:t>
            </w:r>
          </w:p>
        </w:tc>
        <w:tc>
          <w:tcPr>
            <w:tcW w:w="3071" w:type="dxa"/>
          </w:tcPr>
          <w:p>
            <w:pPr>
              <w:spacing w:after="0" w:line="240" w:lineRule="auto"/>
              <w:rPr>
                <w:rFonts w:ascii="Times New Roman" w:hAnsi="Times New Roman"/>
                <w:sz w:val="20"/>
              </w:rPr>
            </w:pPr>
            <w:r>
              <w:rPr>
                <w:rFonts w:ascii="Times New Roman" w:hAnsi="Times New Roman"/>
                <w:sz w:val="20"/>
              </w:rPr>
              <w:t>Cotação obtida via API externa com latência ≤ 2s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REQ-02</w:t>
            </w:r>
          </w:p>
        </w:tc>
        <w:tc>
          <w:tcPr>
            <w:tcW w:w="3070" w:type="dxa"/>
          </w:tcPr>
          <w:p>
            <w:pPr>
              <w:spacing w:after="0" w:line="240" w:lineRule="auto"/>
              <w:rPr>
                <w:rFonts w:ascii="Times New Roman" w:hAnsi="Times New Roman"/>
                <w:sz w:val="20"/>
              </w:rPr>
            </w:pPr>
            <w:r>
              <w:rPr>
                <w:rFonts w:ascii="Times New Roman" w:hAnsi="Times New Roman"/>
                <w:sz w:val="20"/>
              </w:rPr>
              <w:t>Suporte a 5 regimes de contratação (hora, dia, semana, mês, valor fixo)</w:t>
            </w:r>
          </w:p>
        </w:tc>
        <w:tc>
          <w:tcPr>
            <w:tcW w:w="3071" w:type="dxa"/>
          </w:tcPr>
          <w:p>
            <w:pPr>
              <w:spacing w:after="0" w:line="240" w:lineRule="auto"/>
              <w:rPr>
                <w:rFonts w:ascii="Times New Roman" w:hAnsi="Times New Roman"/>
                <w:sz w:val="20"/>
              </w:rPr>
            </w:pPr>
            <w:r>
              <w:rPr>
                <w:rFonts w:ascii="Times New Roman" w:hAnsi="Times New Roman"/>
                <w:sz w:val="20"/>
              </w:rPr>
              <w:t>100% dos regimes operacionais em UAT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REQ-03</w:t>
            </w:r>
          </w:p>
        </w:tc>
        <w:tc>
          <w:tcPr>
            <w:tcW w:w="3070" w:type="dxa"/>
          </w:tcPr>
          <w:p>
            <w:pPr>
              <w:spacing w:after="0" w:line="240" w:lineRule="auto"/>
              <w:rPr>
                <w:rFonts w:ascii="Times New Roman" w:hAnsi="Times New Roman"/>
                <w:sz w:val="20"/>
              </w:rPr>
            </w:pPr>
            <w:r>
              <w:rPr>
                <w:rFonts w:ascii="Times New Roman" w:hAnsi="Times New Roman"/>
                <w:sz w:val="20"/>
              </w:rPr>
              <w:t>Aplicação de encargos financeiros simulados (spread + IOF)</w:t>
            </w:r>
          </w:p>
        </w:tc>
        <w:tc>
          <w:tcPr>
            <w:tcW w:w="3071" w:type="dxa"/>
          </w:tcPr>
          <w:p>
            <w:pPr>
              <w:spacing w:after="0" w:line="240" w:lineRule="auto"/>
              <w:rPr>
                <w:rFonts w:ascii="Times New Roman" w:hAnsi="Times New Roman"/>
                <w:sz w:val="20"/>
              </w:rPr>
            </w:pPr>
            <w:r>
              <w:rPr>
                <w:rFonts w:ascii="Times New Roman" w:hAnsi="Times New Roman"/>
                <w:sz w:val="20"/>
              </w:rPr>
              <w:t>Cálculo auditável com precisão de 2 casas decimais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REQ-04</w:t>
            </w:r>
          </w:p>
        </w:tc>
        <w:tc>
          <w:tcPr>
            <w:tcW w:w="3070" w:type="dxa"/>
          </w:tcPr>
          <w:p>
            <w:pPr>
              <w:spacing w:after="0" w:line="240" w:lineRule="auto"/>
              <w:rPr>
                <w:rFonts w:ascii="Times New Roman" w:hAnsi="Times New Roman"/>
                <w:sz w:val="20"/>
              </w:rPr>
            </w:pPr>
            <w:r>
              <w:rPr>
                <w:rFonts w:ascii="Times New Roman" w:hAnsi="Times New Roman"/>
                <w:sz w:val="20"/>
              </w:rPr>
              <w:t>Emissão de invoice em formato PDF</w:t>
            </w:r>
          </w:p>
        </w:tc>
        <w:tc>
          <w:tcPr>
            <w:tcW w:w="3071" w:type="dxa"/>
          </w:tcPr>
          <w:p>
            <w:pPr>
              <w:spacing w:after="0" w:line="240" w:lineRule="auto"/>
              <w:rPr>
                <w:rFonts w:ascii="Times New Roman" w:hAnsi="Times New Roman"/>
                <w:sz w:val="20"/>
              </w:rPr>
            </w:pPr>
            <w:r>
              <w:rPr>
                <w:rFonts w:ascii="Times New Roman" w:hAnsi="Times New Roman"/>
                <w:sz w:val="20"/>
              </w:rPr>
              <w:t>Geração via WeasyPrint em ≤ 3s por documento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REQ-05</w:t>
            </w:r>
          </w:p>
        </w:tc>
        <w:tc>
          <w:tcPr>
            <w:tcW w:w="3070" w:type="dxa"/>
          </w:tcPr>
          <w:p>
            <w:pPr>
              <w:spacing w:after="0" w:line="240" w:lineRule="auto"/>
              <w:rPr>
                <w:rFonts w:ascii="Times New Roman" w:hAnsi="Times New Roman"/>
                <w:sz w:val="20"/>
              </w:rPr>
            </w:pPr>
            <w:r>
              <w:rPr>
                <w:rFonts w:ascii="Times New Roman" w:hAnsi="Times New Roman"/>
                <w:sz w:val="20"/>
              </w:rPr>
              <w:t>Tempo de resposta da aplicação</w:t>
            </w:r>
          </w:p>
        </w:tc>
        <w:tc>
          <w:tcPr>
            <w:tcW w:w="3071" w:type="dxa"/>
          </w:tcPr>
          <w:p>
            <w:pPr>
              <w:spacing w:after="0" w:line="240" w:lineRule="auto"/>
              <w:rPr>
                <w:rFonts w:ascii="Times New Roman" w:hAnsi="Times New Roman"/>
                <w:sz w:val="20"/>
              </w:rPr>
            </w:pPr>
            <w:r>
              <w:rPr>
                <w:rFonts w:ascii="Times New Roman" w:hAnsi="Times New Roman"/>
                <w:sz w:val="20"/>
              </w:rPr>
              <w:t>≤ 3s em 95% das requisições (ambiente homologação)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REQ-06</w:t>
            </w:r>
          </w:p>
        </w:tc>
        <w:tc>
          <w:tcPr>
            <w:tcW w:w="3070" w:type="dxa"/>
          </w:tcPr>
          <w:p>
            <w:pPr>
              <w:spacing w:after="0" w:line="240" w:lineRule="auto"/>
              <w:rPr>
                <w:rFonts w:ascii="Times New Roman" w:hAnsi="Times New Roman"/>
                <w:sz w:val="20"/>
              </w:rPr>
            </w:pPr>
            <w:r>
              <w:rPr>
                <w:rFonts w:ascii="Times New Roman" w:hAnsi="Times New Roman"/>
                <w:sz w:val="20"/>
              </w:rPr>
              <w:t>Interface web responsiva (FOSS)</w:t>
            </w:r>
          </w:p>
        </w:tc>
        <w:tc>
          <w:tcPr>
            <w:tcW w:w="3071" w:type="dxa"/>
          </w:tcPr>
          <w:p>
            <w:pPr>
              <w:spacing w:after="0" w:line="240" w:lineRule="auto"/>
              <w:rPr>
                <w:rFonts w:ascii="Times New Roman" w:hAnsi="Times New Roman"/>
                <w:sz w:val="20"/>
              </w:rPr>
            </w:pPr>
            <w:r>
              <w:rPr>
                <w:rFonts w:ascii="Times New Roman" w:hAnsi="Times New Roman"/>
                <w:sz w:val="20"/>
              </w:rPr>
              <w:t>Compatível com Chrome/Firefox/Edge (últimas 2 versões)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REQ-07</w:t>
            </w:r>
          </w:p>
        </w:tc>
        <w:tc>
          <w:tcPr>
            <w:tcW w:w="3070" w:type="dxa"/>
          </w:tcPr>
          <w:p>
            <w:pPr>
              <w:spacing w:after="0" w:line="240" w:lineRule="auto"/>
              <w:rPr>
                <w:rFonts w:ascii="Times New Roman" w:hAnsi="Times New Roman"/>
                <w:sz w:val="20"/>
              </w:rPr>
            </w:pPr>
            <w:r>
              <w:rPr>
                <w:rFonts w:ascii="Times New Roman" w:hAnsi="Times New Roman"/>
                <w:sz w:val="20"/>
              </w:rPr>
              <w:t>Cache de cotações (SQLite)</w:t>
            </w:r>
          </w:p>
        </w:tc>
        <w:tc>
          <w:tcPr>
            <w:tcW w:w="3071" w:type="dxa"/>
          </w:tcPr>
          <w:p>
            <w:pPr>
              <w:spacing w:after="0" w:line="240" w:lineRule="auto"/>
              <w:rPr>
                <w:rFonts w:ascii="Times New Roman" w:hAnsi="Times New Roman"/>
                <w:sz w:val="20"/>
              </w:rPr>
            </w:pPr>
            <w:r>
              <w:rPr>
                <w:rFonts w:ascii="Times New Roman" w:hAnsi="Times New Roman"/>
                <w:sz w:val="20"/>
              </w:rPr>
              <w:t>Redução de ≥ 50% das chamadas à API externa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REQ-16</w:t>
            </w:r>
          </w:p>
        </w:tc>
        <w:tc>
          <w:tcPr>
            <w:tcW w:w="3070" w:type="dxa"/>
          </w:tcPr>
          <w:p>
            <w:pPr>
              <w:spacing w:after="0" w:line="240" w:lineRule="auto"/>
              <w:rPr>
                <w:rFonts w:ascii="Times New Roman" w:hAnsi="Times New Roman"/>
                <w:sz w:val="20"/>
              </w:rPr>
            </w:pPr>
            <w:r>
              <w:rPr>
                <w:rFonts w:ascii="Times New Roman" w:hAnsi="Times New Roman"/>
                <w:sz w:val="20"/>
              </w:rPr>
              <w:t>Integração com a API de cotações oficiais do Banco Central do Brasil (PTAX)</w:t>
            </w:r>
          </w:p>
        </w:tc>
        <w:tc>
          <w:tcPr>
            <w:tcW w:w="3071" w:type="dxa"/>
          </w:tcPr>
          <w:p>
            <w:pPr>
              <w:spacing w:after="0" w:line="240" w:lineRule="auto"/>
              <w:rPr>
                <w:rFonts w:ascii="Times New Roman" w:hAnsi="Times New Roman"/>
                <w:sz w:val="20"/>
              </w:rPr>
            </w:pPr>
            <w:r>
              <w:rPr>
                <w:rFonts w:ascii="Times New Roman" w:hAnsi="Times New Roman"/>
                <w:sz w:val="20"/>
              </w:rPr>
              <w:t>Cotação PTAX de fechamento obtida por dia útil, com registro de data, moeda e tipo (compra/venda)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REQ-17</w:t>
            </w:r>
          </w:p>
        </w:tc>
        <w:tc>
          <w:tcPr>
            <w:tcW w:w="3070" w:type="dxa"/>
          </w:tcPr>
          <w:p>
            <w:pPr>
              <w:spacing w:after="0" w:line="240" w:lineRule="auto"/>
              <w:rPr>
                <w:rFonts w:ascii="Times New Roman" w:hAnsi="Times New Roman"/>
                <w:sz w:val="20"/>
              </w:rPr>
            </w:pPr>
            <w:r>
              <w:rPr>
                <w:rFonts w:ascii="Times New Roman" w:hAnsi="Times New Roman"/>
                <w:sz w:val="20"/>
              </w:rPr>
              <w:t>Comparativo de custo entre provedores de pagamento internacional</w:t>
            </w:r>
          </w:p>
        </w:tc>
        <w:tc>
          <w:tcPr>
            <w:tcW w:w="3071" w:type="dxa"/>
          </w:tcPr>
          <w:p>
            <w:pPr>
              <w:spacing w:after="0" w:line="240" w:lineRule="auto"/>
              <w:rPr>
                <w:rFonts w:ascii="Times New Roman" w:hAnsi="Times New Roman"/>
                <w:sz w:val="20"/>
              </w:rPr>
            </w:pPr>
            <w:r>
              <w:rPr>
                <w:rFonts w:ascii="Times New Roman" w:hAnsi="Times New Roman"/>
                <w:sz w:val="20"/>
              </w:rPr>
              <w:t>Mínimo de 4 provedores comparados, com spread, tarifa fixa e valor líquido estimado por operação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REQ-18</w:t>
            </w:r>
          </w:p>
        </w:tc>
        <w:tc>
          <w:tcPr>
            <w:tcW w:w="3070" w:type="dxa"/>
          </w:tcPr>
          <w:p>
            <w:pPr>
              <w:spacing w:after="0" w:line="240" w:lineRule="auto"/>
              <w:rPr>
                <w:rFonts w:ascii="Times New Roman" w:hAnsi="Times New Roman"/>
                <w:sz w:val="20"/>
              </w:rPr>
            </w:pPr>
            <w:r>
              <w:rPr>
                <w:rFonts w:ascii="Times New Roman" w:hAnsi="Times New Roman"/>
                <w:sz w:val="20"/>
              </w:rPr>
              <w:t>Ranqueamento por menor custo efetivo total</w:t>
            </w:r>
          </w:p>
        </w:tc>
        <w:tc>
          <w:tcPr>
            <w:tcW w:w="3071" w:type="dxa"/>
          </w:tcPr>
          <w:p>
            <w:pPr>
              <w:spacing w:after="0" w:line="240" w:lineRule="auto"/>
              <w:rPr>
                <w:rFonts w:ascii="Times New Roman" w:hAnsi="Times New Roman"/>
                <w:sz w:val="20"/>
              </w:rPr>
            </w:pPr>
            <w:r>
              <w:rPr>
                <w:rFonts w:ascii="Times New Roman" w:hAnsi="Times New Roman"/>
                <w:sz w:val="20"/>
              </w:rPr>
              <w:t>Ordenação automática pelo valor líquido a receber, com detalhamento da composição do custo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REQ-19</w:t>
            </w:r>
          </w:p>
        </w:tc>
        <w:tc>
          <w:tcPr>
            <w:tcW w:w="3070" w:type="dxa"/>
          </w:tcPr>
          <w:p>
            <w:pPr>
              <w:spacing w:after="0" w:line="240" w:lineRule="auto"/>
              <w:rPr>
                <w:rFonts w:ascii="Times New Roman" w:hAnsi="Times New Roman"/>
                <w:sz w:val="20"/>
              </w:rPr>
            </w:pPr>
            <w:r>
              <w:rPr>
                <w:rFonts w:ascii="Times New Roman" w:hAnsi="Times New Roman"/>
                <w:sz w:val="20"/>
              </w:rPr>
              <w:t>Encaminhamento do usuário ao provedor selecionado</w:t>
            </w:r>
          </w:p>
        </w:tc>
        <w:tc>
          <w:tcPr>
            <w:tcW w:w="3071" w:type="dxa"/>
          </w:tcPr>
          <w:p>
            <w:pPr>
              <w:spacing w:after="0" w:line="240" w:lineRule="auto"/>
              <w:rPr>
                <w:rFonts w:ascii="Times New Roman" w:hAnsi="Times New Roman"/>
                <w:sz w:val="20"/>
              </w:rPr>
            </w:pPr>
            <w:r>
              <w:rPr>
                <w:rFonts w:ascii="Times New Roman" w:hAnsi="Times New Roman"/>
                <w:sz w:val="20"/>
              </w:rPr>
              <w:t>Link direto para o site oficial do provedor escolhido, com aviso de que a operação ocorre fora do COGME</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Pr>
        <w:rPr>
          <w:rFonts w:ascii="Times New Roman" w:hAnsi="Times New Roman"/>
          <w:sz w:val="24"/>
        </w:rPr>
      </w:pPr>
    </w:p>
    <w:p>
      <w:pPr>
        <w:spacing w:after="0" w:line="360" w:lineRule="auto"/>
        <w:ind w:firstLine="708"/>
        <w:jc w:val="both"/>
        <w:rPr>
          <w:rFonts w:ascii="Times New Roman" w:hAnsi="Times New Roman"/>
          <w:color w:val="000000"/>
          <w:sz w:val="24"/>
        </w:rPr>
      </w:pPr>
      <w:r>
        <w:rPr>
          <w:rFonts w:ascii="Times New Roman" w:hAnsi="Times New Roman"/>
          <w:color w:val="000000"/>
          <w:sz w:val="24"/>
        </w:rPr>
        <w:t>Complementarmente, o Quadro 5 apresenta os requisitos não funcionais e de processo relativos à garantia da qualidade (Fase N6), à integração contínua (Fase N7), à base de conhecimento (Fase N9), à documentação técnica (Fase N11) e à conformidade FOSS (Fases N1 e N4) do projeto.</w:t>
      </w:r>
    </w:p>
    <w:p>
      <w:pPr>
        <w:spacing w:before="240" w:after="60" w:line="240" w:lineRule="auto"/>
        <w:rPr>
          <w:rFonts w:ascii="Times New Roman" w:hAnsi="Times New Roman"/>
          <w:sz w:val="24"/>
        </w:rPr>
      </w:pPr>
      <w:r>
        <w:rPr>
          <w:rFonts w:ascii="Times New Roman" w:hAnsi="Times New Roman"/>
          <w:sz w:val="24"/>
        </w:rPr>
        <w:t>Quadro 5 — Requisitos de qualidade, integração contínua e implantação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070"/>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70" w:type="dxa"/>
          </w:tcPr>
          <w:p>
            <w:pPr>
              <w:spacing w:after="0" w:line="240" w:lineRule="auto"/>
              <w:rPr>
                <w:rFonts w:ascii="Times New Roman" w:hAnsi="Times New Roman"/>
                <w:sz w:val="20"/>
              </w:rPr>
            </w:pPr>
            <w:r>
              <w:rPr>
                <w:rFonts w:ascii="Times New Roman" w:hAnsi="Times New Roman"/>
                <w:sz w:val="20"/>
              </w:rPr>
              <w:t>ID</w:t>
            </w:r>
          </w:p>
        </w:tc>
        <w:tc>
          <w:tcPr>
            <w:tcW w:w="3070" w:type="dxa"/>
          </w:tcPr>
          <w:p>
            <w:pPr>
              <w:spacing w:after="0" w:line="240" w:lineRule="auto"/>
              <w:rPr>
                <w:rFonts w:ascii="Times New Roman" w:hAnsi="Times New Roman"/>
                <w:sz w:val="20"/>
              </w:rPr>
            </w:pPr>
            <w:r>
              <w:rPr>
                <w:rFonts w:ascii="Times New Roman" w:hAnsi="Times New Roman"/>
                <w:sz w:val="20"/>
              </w:rPr>
              <w:t>Requisito</w:t>
            </w:r>
          </w:p>
        </w:tc>
        <w:tc>
          <w:tcPr>
            <w:tcW w:w="3071" w:type="dxa"/>
          </w:tcPr>
          <w:p>
            <w:pPr>
              <w:spacing w:after="0" w:line="240" w:lineRule="auto"/>
              <w:rPr>
                <w:rFonts w:ascii="Times New Roman" w:hAnsi="Times New Roman"/>
                <w:sz w:val="20"/>
              </w:rPr>
            </w:pPr>
            <w:r>
              <w:rPr>
                <w:rFonts w:ascii="Times New Roman" w:hAnsi="Times New Roman"/>
                <w:sz w:val="20"/>
              </w:rPr>
              <w:t>Critério de Aceite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REQ-08</w:t>
            </w:r>
          </w:p>
        </w:tc>
        <w:tc>
          <w:tcPr>
            <w:tcW w:w="3070" w:type="dxa"/>
          </w:tcPr>
          <w:p>
            <w:pPr>
              <w:spacing w:after="0" w:line="240" w:lineRule="auto"/>
              <w:rPr>
                <w:rFonts w:ascii="Times New Roman" w:hAnsi="Times New Roman"/>
                <w:sz w:val="20"/>
              </w:rPr>
            </w:pPr>
            <w:r>
              <w:rPr>
                <w:rFonts w:ascii="Times New Roman" w:hAnsi="Times New Roman"/>
                <w:sz w:val="20"/>
              </w:rPr>
              <w:t>Cobertura de testes automatizados</w:t>
            </w:r>
          </w:p>
        </w:tc>
        <w:tc>
          <w:tcPr>
            <w:tcW w:w="3071" w:type="dxa"/>
          </w:tcPr>
          <w:p>
            <w:pPr>
              <w:spacing w:after="0" w:line="240" w:lineRule="auto"/>
              <w:rPr>
                <w:rFonts w:ascii="Times New Roman" w:hAnsi="Times New Roman"/>
                <w:sz w:val="20"/>
              </w:rPr>
            </w:pPr>
            <w:r>
              <w:rPr>
                <w:rFonts w:ascii="Times New Roman" w:hAnsi="Times New Roman"/>
                <w:sz w:val="20"/>
              </w:rPr>
              <w:t>≥ 80% do código (unitários e integração via pytest e coverage.py)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REQ-09</w:t>
            </w:r>
          </w:p>
        </w:tc>
        <w:tc>
          <w:tcPr>
            <w:tcW w:w="3070" w:type="dxa"/>
          </w:tcPr>
          <w:p>
            <w:pPr>
              <w:spacing w:after="0" w:line="240" w:lineRule="auto"/>
              <w:rPr>
                <w:rFonts w:ascii="Times New Roman" w:hAnsi="Times New Roman"/>
                <w:sz w:val="20"/>
              </w:rPr>
            </w:pPr>
            <w:r>
              <w:rPr>
                <w:rFonts w:ascii="Times New Roman" w:hAnsi="Times New Roman"/>
                <w:sz w:val="20"/>
              </w:rPr>
              <w:t>Testes de aceitação (UAT)</w:t>
            </w:r>
          </w:p>
        </w:tc>
        <w:tc>
          <w:tcPr>
            <w:tcW w:w="3071" w:type="dxa"/>
          </w:tcPr>
          <w:p>
            <w:pPr>
              <w:spacing w:after="0" w:line="240" w:lineRule="auto"/>
              <w:rPr>
                <w:rFonts w:ascii="Times New Roman" w:hAnsi="Times New Roman"/>
                <w:sz w:val="20"/>
              </w:rPr>
            </w:pPr>
            <w:r>
              <w:rPr>
                <w:rFonts w:ascii="Times New Roman" w:hAnsi="Times New Roman"/>
                <w:sz w:val="20"/>
              </w:rPr>
              <w:t>100% dos fluxos críticos aprovados, zero defeitos críticos ou bloqueantes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REQ-10</w:t>
            </w:r>
          </w:p>
        </w:tc>
        <w:tc>
          <w:tcPr>
            <w:tcW w:w="3070" w:type="dxa"/>
          </w:tcPr>
          <w:p>
            <w:pPr>
              <w:spacing w:after="0" w:line="240" w:lineRule="auto"/>
              <w:rPr>
                <w:rFonts w:ascii="Times New Roman" w:hAnsi="Times New Roman"/>
                <w:sz w:val="20"/>
              </w:rPr>
            </w:pPr>
            <w:r>
              <w:rPr>
                <w:rFonts w:ascii="Times New Roman" w:hAnsi="Times New Roman"/>
                <w:sz w:val="20"/>
              </w:rPr>
              <w:t>Aplicação de ferramentas da qualidade (PDCA + Ishikawa 6M)</w:t>
            </w:r>
          </w:p>
        </w:tc>
        <w:tc>
          <w:tcPr>
            <w:tcW w:w="3071" w:type="dxa"/>
          </w:tcPr>
          <w:p>
            <w:pPr>
              <w:spacing w:after="0" w:line="240" w:lineRule="auto"/>
              <w:rPr>
                <w:rFonts w:ascii="Times New Roman" w:hAnsi="Times New Roman"/>
                <w:sz w:val="20"/>
              </w:rPr>
            </w:pPr>
            <w:r>
              <w:rPr>
                <w:rFonts w:ascii="Times New Roman" w:hAnsi="Times New Roman"/>
                <w:sz w:val="20"/>
              </w:rPr>
              <w:t>12 PDCAs consolidados e diagrama de causa e efeito documentados no Plano de Qualidade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REQ-11</w:t>
            </w:r>
          </w:p>
        </w:tc>
        <w:tc>
          <w:tcPr>
            <w:tcW w:w="3070" w:type="dxa"/>
          </w:tcPr>
          <w:p>
            <w:pPr>
              <w:spacing w:after="0" w:line="240" w:lineRule="auto"/>
              <w:rPr>
                <w:rFonts w:ascii="Times New Roman" w:hAnsi="Times New Roman"/>
                <w:sz w:val="20"/>
              </w:rPr>
            </w:pPr>
            <w:r>
              <w:rPr>
                <w:rFonts w:ascii="Times New Roman" w:hAnsi="Times New Roman"/>
                <w:sz w:val="20"/>
              </w:rPr>
              <w:t>Pipeline CI funcional</w:t>
            </w:r>
          </w:p>
        </w:tc>
        <w:tc>
          <w:tcPr>
            <w:tcW w:w="3071" w:type="dxa"/>
          </w:tcPr>
          <w:p>
            <w:pPr>
              <w:spacing w:after="0" w:line="240" w:lineRule="auto"/>
              <w:rPr>
                <w:rFonts w:ascii="Times New Roman" w:hAnsi="Times New Roman"/>
                <w:sz w:val="20"/>
              </w:rPr>
            </w:pPr>
            <w:r>
              <w:rPr>
                <w:rFonts w:ascii="Times New Roman" w:hAnsi="Times New Roman"/>
                <w:sz w:val="20"/>
              </w:rPr>
              <w:t>Lint + testes rodando em até 5 minutos por push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REQ-12</w:t>
            </w:r>
          </w:p>
        </w:tc>
        <w:tc>
          <w:tcPr>
            <w:tcW w:w="3070" w:type="dxa"/>
          </w:tcPr>
          <w:p>
            <w:pPr>
              <w:spacing w:after="0" w:line="240" w:lineRule="auto"/>
              <w:rPr>
                <w:rFonts w:ascii="Times New Roman" w:hAnsi="Times New Roman"/>
                <w:sz w:val="20"/>
              </w:rPr>
            </w:pPr>
            <w:r>
              <w:rPr>
                <w:rFonts w:ascii="Times New Roman" w:hAnsi="Times New Roman"/>
                <w:sz w:val="20"/>
              </w:rPr>
              <w:t>ADRs para decisões arquiteturais críticas</w:t>
            </w:r>
          </w:p>
        </w:tc>
        <w:tc>
          <w:tcPr>
            <w:tcW w:w="3071" w:type="dxa"/>
          </w:tcPr>
          <w:p>
            <w:pPr>
              <w:spacing w:after="0" w:line="240" w:lineRule="auto"/>
              <w:rPr>
                <w:rFonts w:ascii="Times New Roman" w:hAnsi="Times New Roman"/>
                <w:sz w:val="20"/>
              </w:rPr>
            </w:pPr>
            <w:r>
              <w:rPr>
                <w:rFonts w:ascii="Times New Roman" w:hAnsi="Times New Roman"/>
                <w:sz w:val="20"/>
              </w:rPr>
              <w:t>Mínimo de 3 ADRs registrados (stack, Kanban, métricas)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REQ-13</w:t>
            </w:r>
          </w:p>
        </w:tc>
        <w:tc>
          <w:tcPr>
            <w:tcW w:w="3070" w:type="dxa"/>
          </w:tcPr>
          <w:p>
            <w:pPr>
              <w:spacing w:after="0" w:line="240" w:lineRule="auto"/>
              <w:rPr>
                <w:rFonts w:ascii="Times New Roman" w:hAnsi="Times New Roman"/>
                <w:sz w:val="20"/>
              </w:rPr>
            </w:pPr>
            <w:r>
              <w:rPr>
                <w:rFonts w:ascii="Times New Roman" w:hAnsi="Times New Roman"/>
                <w:sz w:val="20"/>
              </w:rPr>
              <w:t>Rastreabilidade de prompts SDD</w:t>
            </w:r>
          </w:p>
        </w:tc>
        <w:tc>
          <w:tcPr>
            <w:tcW w:w="3071" w:type="dxa"/>
          </w:tcPr>
          <w:p>
            <w:pPr>
              <w:spacing w:after="0" w:line="240" w:lineRule="auto"/>
              <w:rPr>
                <w:rFonts w:ascii="Times New Roman" w:hAnsi="Times New Roman"/>
                <w:sz w:val="20"/>
              </w:rPr>
            </w:pPr>
            <w:r>
              <w:rPr>
                <w:rFonts w:ascii="Times New Roman" w:hAnsi="Times New Roman"/>
                <w:sz w:val="20"/>
              </w:rPr>
              <w:t>100% dos prompts catalogados no repositório do projeto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REQ-14</w:t>
            </w:r>
          </w:p>
        </w:tc>
        <w:tc>
          <w:tcPr>
            <w:tcW w:w="3070" w:type="dxa"/>
          </w:tcPr>
          <w:p>
            <w:pPr>
              <w:spacing w:after="0" w:line="240" w:lineRule="auto"/>
              <w:rPr>
                <w:rFonts w:ascii="Times New Roman" w:hAnsi="Times New Roman"/>
                <w:sz w:val="20"/>
              </w:rPr>
            </w:pPr>
            <w:r>
              <w:rPr>
                <w:rFonts w:ascii="Times New Roman" w:hAnsi="Times New Roman"/>
                <w:sz w:val="20"/>
              </w:rPr>
              <w:t>Documentação técnica consolidada</w:t>
            </w:r>
          </w:p>
        </w:tc>
        <w:tc>
          <w:tcPr>
            <w:tcW w:w="3071" w:type="dxa"/>
          </w:tcPr>
          <w:p>
            <w:pPr>
              <w:spacing w:after="0" w:line="240" w:lineRule="auto"/>
              <w:rPr>
                <w:rFonts w:ascii="Times New Roman" w:hAnsi="Times New Roman"/>
                <w:sz w:val="20"/>
              </w:rPr>
            </w:pPr>
            <w:r>
              <w:rPr>
                <w:rFonts w:ascii="Times New Roman" w:hAnsi="Times New Roman"/>
                <w:sz w:val="20"/>
              </w:rPr>
              <w:t>Arquitetura e APIs (OpenAPI) revisadas e aprovadas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REQ-15</w:t>
            </w:r>
          </w:p>
        </w:tc>
        <w:tc>
          <w:tcPr>
            <w:tcW w:w="3070" w:type="dxa"/>
          </w:tcPr>
          <w:p>
            <w:pPr>
              <w:spacing w:after="0" w:line="240" w:lineRule="auto"/>
              <w:rPr>
                <w:rFonts w:ascii="Times New Roman" w:hAnsi="Times New Roman"/>
                <w:sz w:val="20"/>
              </w:rPr>
            </w:pPr>
            <w:r>
              <w:rPr>
                <w:rFonts w:ascii="Times New Roman" w:hAnsi="Times New Roman"/>
                <w:sz w:val="20"/>
              </w:rPr>
              <w:t>Licenciamento 100% FOSS</w:t>
            </w:r>
          </w:p>
        </w:tc>
        <w:tc>
          <w:tcPr>
            <w:tcW w:w="3071" w:type="dxa"/>
          </w:tcPr>
          <w:p>
            <w:pPr>
              <w:spacing w:after="0" w:line="240" w:lineRule="auto"/>
              <w:rPr>
                <w:rFonts w:ascii="Times New Roman" w:hAnsi="Times New Roman"/>
                <w:sz w:val="20"/>
              </w:rPr>
            </w:pPr>
            <w:r>
              <w:rPr>
                <w:rFonts w:ascii="Times New Roman" w:hAnsi="Times New Roman"/>
                <w:sz w:val="20"/>
              </w:rPr>
              <w:t>Todas as dependências com licenças aprovadas pela OSI (MIT, Apache 2.0, BSD, GPL)</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Pr>
        <w:rPr>
          <w:rFonts w:ascii="Times New Roman" w:hAnsi="Times New Roman"/>
          <w:sz w:val="24"/>
        </w:rPr>
      </w:pPr>
    </w:p>
    <w:p>
      <w:pPr>
        <w:pStyle w:val="2"/>
        <w:spacing w:before="360" w:after="360"/>
        <w:rPr>
          <w:rFonts w:cs="Times New Roman"/>
          <w:color w:val="000000"/>
        </w:rPr>
      </w:pPr>
      <w:bookmarkStart w:id="6" w:name="_Toc240734448"/>
      <w:r>
        <w:rPr>
          <w:rFonts w:cs="Times New Roman"/>
          <w:color w:val="000000"/>
        </w:rPr>
        <w:t>2.2.2 EAP</w:t>
      </w:r>
      <w:bookmarkEnd w:id="6"/>
    </w:p>
    <w:p>
      <w:pPr>
        <w:spacing w:after="0" w:line="360" w:lineRule="auto"/>
        <w:ind w:firstLine="708"/>
        <w:jc w:val="both"/>
        <w:rPr>
          <w:rFonts w:ascii="Times New Roman" w:hAnsi="Times New Roman"/>
          <w:color w:val="000000"/>
          <w:sz w:val="24"/>
        </w:rPr>
      </w:pPr>
      <w:r>
        <w:rPr>
          <w:rFonts w:ascii="Times New Roman" w:hAnsi="Times New Roman"/>
          <w:color w:val="000000"/>
          <w:sz w:val="24"/>
        </w:rPr>
        <w:t>A Estrutura Analítica do Projeto (EAP/WBS) representa a decomposição hierárquica do escopo total do trabalho a ser executado, organizada em entregas substantivas que, por sua vez, são decompostas em atividades para composição do cronograma, conforme o Domínio de Planejamento do PMBOK® 7ª edição. A versão consolidada (EAP v1.0) adota uma premissa estrutural relevante: a EAP contém apenas entregas tangíveis, de modo que o próprio Termo de Abertura do Projeto não integra a estrutura — o TAP é o documento que autoriza o projeto e antecede o planejamento, configurando pré-condição e não pacote de trabalho. Essa separação ontológica entre TAP, EAP e ciclos PDCA foi formalizada no registro de decisão arquitetural ADR-004 e eliminou, em relação às versões anteriores, os pacotes considerados redundantes ou de baixo valor agregado (entre eles os relatórios quinzenais estáticos, substituídos pelo GitHub Projects como fonte única de verdade, e os relatórios de valor agregado, substituídos por métricas de fluxo). A estrutura resultante compreende 13 fases de Nível 1 e 44 pacotes de trabalho de Nível 2, agrupados em três macro-fases temporais, conforme o Quadro 6.</w:t>
      </w:r>
    </w:p>
    <w:p>
      <w:pPr>
        <w:spacing w:before="240" w:after="60" w:line="240" w:lineRule="auto"/>
        <w:rPr>
          <w:rFonts w:ascii="Times New Roman" w:hAnsi="Times New Roman"/>
          <w:sz w:val="24"/>
        </w:rPr>
      </w:pPr>
      <w:r>
        <w:rPr>
          <w:rFonts w:ascii="Times New Roman" w:hAnsi="Times New Roman"/>
          <w:sz w:val="24"/>
        </w:rPr>
        <w:t>Quadro 6 — Macro-fases do cronograma</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303"/>
        <w:gridCol w:w="2303"/>
        <w:gridCol w:w="2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2" w:type="dxa"/>
          </w:tcPr>
          <w:p>
            <w:pPr>
              <w:spacing w:after="0" w:line="240" w:lineRule="auto"/>
              <w:rPr>
                <w:rFonts w:ascii="Times New Roman" w:hAnsi="Times New Roman"/>
                <w:sz w:val="20"/>
              </w:rPr>
            </w:pPr>
            <w:r>
              <w:rPr>
                <w:rFonts w:ascii="Times New Roman" w:hAnsi="Times New Roman"/>
                <w:sz w:val="20"/>
              </w:rPr>
              <w:t>Macro-Fase</w:t>
            </w:r>
          </w:p>
        </w:tc>
        <w:tc>
          <w:tcPr>
            <w:tcW w:w="2303" w:type="dxa"/>
          </w:tcPr>
          <w:p>
            <w:pPr>
              <w:spacing w:after="0" w:line="240" w:lineRule="auto"/>
              <w:rPr>
                <w:rFonts w:ascii="Times New Roman" w:hAnsi="Times New Roman"/>
                <w:sz w:val="20"/>
              </w:rPr>
            </w:pPr>
            <w:r>
              <w:rPr>
                <w:rFonts w:ascii="Times New Roman" w:hAnsi="Times New Roman"/>
                <w:sz w:val="20"/>
              </w:rPr>
              <w:t>Período</w:t>
            </w:r>
          </w:p>
        </w:tc>
        <w:tc>
          <w:tcPr>
            <w:tcW w:w="2303" w:type="dxa"/>
          </w:tcPr>
          <w:p>
            <w:pPr>
              <w:spacing w:after="0" w:line="240" w:lineRule="auto"/>
              <w:rPr>
                <w:rFonts w:ascii="Times New Roman" w:hAnsi="Times New Roman"/>
                <w:sz w:val="20"/>
              </w:rPr>
            </w:pPr>
            <w:r>
              <w:rPr>
                <w:rFonts w:ascii="Times New Roman" w:hAnsi="Times New Roman"/>
                <w:sz w:val="20"/>
              </w:rPr>
              <w:t>Fases da EAP Incluídas</w:t>
            </w:r>
          </w:p>
        </w:tc>
        <w:tc>
          <w:tcPr>
            <w:tcW w:w="2303" w:type="dxa"/>
          </w:tcPr>
          <w:p>
            <w:pPr>
              <w:spacing w:after="0" w:line="240" w:lineRule="auto"/>
              <w:rPr>
                <w:rFonts w:ascii="Times New Roman" w:hAnsi="Times New Roman"/>
                <w:sz w:val="20"/>
              </w:rPr>
            </w:pPr>
            <w:r>
              <w:rPr>
                <w:rFonts w:ascii="Times New Roman" w:hAnsi="Times New Roman"/>
                <w:sz w:val="20"/>
              </w:rPr>
              <w:t>Pacotes de Trabalho (Nível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MF1: Fundação</w:t>
            </w:r>
          </w:p>
        </w:tc>
        <w:tc>
          <w:tcPr>
            <w:tcW w:w="2303" w:type="dxa"/>
          </w:tcPr>
          <w:p>
            <w:pPr>
              <w:spacing w:after="0" w:line="240" w:lineRule="auto"/>
              <w:rPr>
                <w:rFonts w:ascii="Times New Roman" w:hAnsi="Times New Roman"/>
                <w:sz w:val="20"/>
              </w:rPr>
            </w:pPr>
            <w:r>
              <w:rPr>
                <w:rFonts w:ascii="Times New Roman" w:hAnsi="Times New Roman"/>
                <w:sz w:val="20"/>
              </w:rPr>
              <w:t>01/09 – 22/09/2026</w:t>
            </w:r>
          </w:p>
        </w:tc>
        <w:tc>
          <w:tcPr>
            <w:tcW w:w="2303" w:type="dxa"/>
          </w:tcPr>
          <w:p>
            <w:pPr>
              <w:spacing w:after="0" w:line="240" w:lineRule="auto"/>
              <w:rPr>
                <w:rFonts w:ascii="Times New Roman" w:hAnsi="Times New Roman"/>
                <w:sz w:val="20"/>
              </w:rPr>
            </w:pPr>
            <w:r>
              <w:rPr>
                <w:rFonts w:ascii="Times New Roman" w:hAnsi="Times New Roman"/>
                <w:sz w:val="20"/>
              </w:rPr>
              <w:t>1, 2, 3, 4, 9, 10</w:t>
            </w:r>
          </w:p>
        </w:tc>
        <w:tc>
          <w:tcPr>
            <w:tcW w:w="2303" w:type="dxa"/>
          </w:tcPr>
          <w:p>
            <w:pPr>
              <w:spacing w:after="0" w:line="240" w:lineRule="auto"/>
              <w:rPr>
                <w:rFonts w:ascii="Times New Roman" w:hAnsi="Times New Roman"/>
                <w:sz w:val="20"/>
              </w:rPr>
            </w:pPr>
            <w:r>
              <w:rPr>
                <w:rFonts w:ascii="Times New Roman" w:hAnsi="Times New Roman"/>
                <w:sz w:val="20"/>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MF2: Construção</w:t>
            </w:r>
          </w:p>
        </w:tc>
        <w:tc>
          <w:tcPr>
            <w:tcW w:w="2303" w:type="dxa"/>
          </w:tcPr>
          <w:p>
            <w:pPr>
              <w:spacing w:after="0" w:line="240" w:lineRule="auto"/>
              <w:rPr>
                <w:rFonts w:ascii="Times New Roman" w:hAnsi="Times New Roman"/>
                <w:sz w:val="20"/>
              </w:rPr>
            </w:pPr>
            <w:r>
              <w:rPr>
                <w:rFonts w:ascii="Times New Roman" w:hAnsi="Times New Roman"/>
                <w:sz w:val="20"/>
              </w:rPr>
              <w:t>23/09 – 03/11/2026</w:t>
            </w:r>
          </w:p>
        </w:tc>
        <w:tc>
          <w:tcPr>
            <w:tcW w:w="2303" w:type="dxa"/>
          </w:tcPr>
          <w:p>
            <w:pPr>
              <w:spacing w:after="0" w:line="240" w:lineRule="auto"/>
              <w:rPr>
                <w:rFonts w:ascii="Times New Roman" w:hAnsi="Times New Roman"/>
                <w:sz w:val="20"/>
              </w:rPr>
            </w:pPr>
            <w:r>
              <w:rPr>
                <w:rFonts w:ascii="Times New Roman" w:hAnsi="Times New Roman"/>
                <w:sz w:val="20"/>
              </w:rPr>
              <w:t>5, 6, 7, 8, 11</w:t>
            </w:r>
          </w:p>
        </w:tc>
        <w:tc>
          <w:tcPr>
            <w:tcW w:w="2303" w:type="dxa"/>
          </w:tcPr>
          <w:p>
            <w:pPr>
              <w:spacing w:after="0" w:line="240" w:lineRule="auto"/>
              <w:rPr>
                <w:rFonts w:ascii="Times New Roman" w:hAnsi="Times New Roman"/>
                <w:sz w:val="20"/>
              </w:rPr>
            </w:pPr>
            <w:r>
              <w:rPr>
                <w:rFonts w:ascii="Times New Roman" w:hAnsi="Times New Roman"/>
                <w:sz w:val="20"/>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MF3: Consolidação</w:t>
            </w:r>
          </w:p>
        </w:tc>
        <w:tc>
          <w:tcPr>
            <w:tcW w:w="2303" w:type="dxa"/>
          </w:tcPr>
          <w:p>
            <w:pPr>
              <w:spacing w:after="0" w:line="240" w:lineRule="auto"/>
              <w:rPr>
                <w:rFonts w:ascii="Times New Roman" w:hAnsi="Times New Roman"/>
                <w:sz w:val="20"/>
              </w:rPr>
            </w:pPr>
            <w:r>
              <w:rPr>
                <w:rFonts w:ascii="Times New Roman" w:hAnsi="Times New Roman"/>
                <w:sz w:val="20"/>
              </w:rPr>
              <w:t>04/11 – 30/11/2026</w:t>
            </w:r>
          </w:p>
        </w:tc>
        <w:tc>
          <w:tcPr>
            <w:tcW w:w="2303" w:type="dxa"/>
          </w:tcPr>
          <w:p>
            <w:pPr>
              <w:spacing w:after="0" w:line="240" w:lineRule="auto"/>
              <w:rPr>
                <w:rFonts w:ascii="Times New Roman" w:hAnsi="Times New Roman"/>
                <w:sz w:val="20"/>
              </w:rPr>
            </w:pPr>
            <w:r>
              <w:rPr>
                <w:rFonts w:ascii="Times New Roman" w:hAnsi="Times New Roman"/>
                <w:sz w:val="20"/>
              </w:rPr>
              <w:t>12, 13</w:t>
            </w:r>
          </w:p>
        </w:tc>
        <w:tc>
          <w:tcPr>
            <w:tcW w:w="2303" w:type="dxa"/>
          </w:tcPr>
          <w:p>
            <w:pPr>
              <w:spacing w:after="0" w:line="240" w:lineRule="auto"/>
              <w:rPr>
                <w:rFonts w:ascii="Times New Roman" w:hAnsi="Times New Roman"/>
                <w:sz w:val="20"/>
              </w:rPr>
            </w:pPr>
            <w:r>
              <w:rPr>
                <w:rFonts w:ascii="Times New Roman" w:hAnsi="Times New Roman"/>
                <w:sz w:val="2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TOTAL</w:t>
            </w:r>
          </w:p>
        </w:tc>
        <w:tc>
          <w:tcPr>
            <w:tcW w:w="2303" w:type="dxa"/>
          </w:tcPr>
          <w:p>
            <w:pPr>
              <w:spacing w:after="0" w:line="240" w:lineRule="auto"/>
              <w:rPr>
                <w:rFonts w:ascii="Times New Roman" w:hAnsi="Times New Roman"/>
                <w:sz w:val="20"/>
              </w:rPr>
            </w:pPr>
            <w:r>
              <w:rPr>
                <w:rFonts w:ascii="Times New Roman" w:hAnsi="Times New Roman"/>
                <w:sz w:val="20"/>
              </w:rPr>
              <w:t>01/09 – 30/11/2026</w:t>
            </w:r>
          </w:p>
        </w:tc>
        <w:tc>
          <w:tcPr>
            <w:tcW w:w="2303" w:type="dxa"/>
          </w:tcPr>
          <w:p>
            <w:pPr>
              <w:spacing w:after="0" w:line="240" w:lineRule="auto"/>
              <w:rPr>
                <w:rFonts w:ascii="Times New Roman" w:hAnsi="Times New Roman"/>
                <w:sz w:val="20"/>
              </w:rPr>
            </w:pPr>
            <w:r>
              <w:rPr>
                <w:rFonts w:ascii="Times New Roman" w:hAnsi="Times New Roman"/>
                <w:sz w:val="20"/>
              </w:rPr>
              <w:t>13 fases</w:t>
            </w:r>
          </w:p>
        </w:tc>
        <w:tc>
          <w:tcPr>
            <w:tcW w:w="2303" w:type="dxa"/>
          </w:tcPr>
          <w:p>
            <w:pPr>
              <w:spacing w:after="0" w:line="240" w:lineRule="auto"/>
              <w:rPr>
                <w:rFonts w:ascii="Times New Roman" w:hAnsi="Times New Roman"/>
                <w:sz w:val="20"/>
              </w:rPr>
            </w:pPr>
            <w:r>
              <w:rPr>
                <w:rFonts w:ascii="Times New Roman" w:hAnsi="Times New Roman"/>
                <w:sz w:val="20"/>
              </w:rPr>
              <w:t>44 pacotes de trabalho</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Pr>
        <w:rPr>
          <w:rFonts w:ascii="Times New Roman" w:hAnsi="Times New Roman"/>
          <w:sz w:val="24"/>
        </w:rPr>
      </w:pPr>
    </w:p>
    <w:p>
      <w:pPr>
        <w:spacing w:after="0" w:line="360" w:lineRule="auto"/>
        <w:ind w:firstLine="708"/>
        <w:jc w:val="both"/>
        <w:rPr>
          <w:rFonts w:ascii="Times New Roman" w:hAnsi="Times New Roman"/>
          <w:color w:val="000000"/>
          <w:sz w:val="24"/>
        </w:rPr>
      </w:pPr>
      <w:r>
        <w:rPr>
          <w:rFonts w:ascii="Times New Roman" w:hAnsi="Times New Roman"/>
          <w:color w:val="000000"/>
          <w:sz w:val="24"/>
        </w:rPr>
        <w:t>O Quadro 7 detalha, para cada fase de Nível 1, os respectivos pacotes de trabalho de Nível 2 e a macro-fase à qual pertencem. Registre-se que as fases desejáveis originalmente previstas para o período pós-entrega (segurança e privacidade, acessibilidade, observabilidade e internacionalização) foram formalmente removidas da linha de base de escopo, permanecendo apenas como roadmap de evolução do produto após o encerramento acadêmico.</w:t>
      </w:r>
    </w:p>
    <w:p>
      <w:pPr>
        <w:spacing w:before="240" w:after="60" w:line="240" w:lineRule="auto"/>
        <w:rPr>
          <w:rFonts w:ascii="Times New Roman" w:hAnsi="Times New Roman"/>
          <w:sz w:val="24"/>
        </w:rPr>
      </w:pPr>
      <w:r>
        <w:rPr>
          <w:rFonts w:ascii="Times New Roman" w:hAnsi="Times New Roman"/>
          <w:sz w:val="24"/>
        </w:rPr>
        <w:t>Quadro 7 — Estrutura Analítica do Projeto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1842"/>
        <w:gridCol w:w="1842"/>
        <w:gridCol w:w="1860"/>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42" w:type="dxa"/>
          </w:tcPr>
          <w:p>
            <w:pPr>
              <w:spacing w:after="0" w:line="240" w:lineRule="auto"/>
              <w:rPr>
                <w:rFonts w:ascii="Times New Roman" w:hAnsi="Times New Roman"/>
                <w:sz w:val="20"/>
              </w:rPr>
            </w:pPr>
            <w:r>
              <w:rPr>
                <w:rFonts w:ascii="Times New Roman" w:hAnsi="Times New Roman"/>
                <w:sz w:val="20"/>
              </w:rPr>
              <w:t>ID Nível 1</w:t>
            </w:r>
          </w:p>
        </w:tc>
        <w:tc>
          <w:tcPr>
            <w:tcW w:w="1842" w:type="dxa"/>
          </w:tcPr>
          <w:p>
            <w:pPr>
              <w:spacing w:after="0" w:line="240" w:lineRule="auto"/>
              <w:rPr>
                <w:rFonts w:ascii="Times New Roman" w:hAnsi="Times New Roman"/>
                <w:sz w:val="20"/>
              </w:rPr>
            </w:pPr>
            <w:r>
              <w:rPr>
                <w:rFonts w:ascii="Times New Roman" w:hAnsi="Times New Roman"/>
                <w:sz w:val="20"/>
              </w:rPr>
              <w:t>Fase (Nível 1)</w:t>
            </w:r>
          </w:p>
        </w:tc>
        <w:tc>
          <w:tcPr>
            <w:tcW w:w="1842" w:type="dxa"/>
          </w:tcPr>
          <w:p>
            <w:pPr>
              <w:spacing w:after="0" w:line="240" w:lineRule="auto"/>
              <w:rPr>
                <w:rFonts w:ascii="Times New Roman" w:hAnsi="Times New Roman"/>
                <w:sz w:val="20"/>
              </w:rPr>
            </w:pPr>
            <w:r>
              <w:rPr>
                <w:rFonts w:ascii="Times New Roman" w:hAnsi="Times New Roman"/>
                <w:sz w:val="20"/>
              </w:rPr>
              <w:t>ID Nível 2</w:t>
            </w:r>
          </w:p>
        </w:tc>
        <w:tc>
          <w:tcPr>
            <w:tcW w:w="1860" w:type="dxa"/>
          </w:tcPr>
          <w:p>
            <w:pPr>
              <w:spacing w:after="0" w:line="240" w:lineRule="auto"/>
              <w:rPr>
                <w:rFonts w:ascii="Times New Roman" w:hAnsi="Times New Roman"/>
                <w:sz w:val="20"/>
              </w:rPr>
            </w:pPr>
            <w:r>
              <w:rPr>
                <w:rFonts w:ascii="Times New Roman" w:hAnsi="Times New Roman"/>
                <w:sz w:val="20"/>
              </w:rPr>
              <w:t>Pacote de Trabalho (Nível 2)</w:t>
            </w:r>
          </w:p>
        </w:tc>
        <w:tc>
          <w:tcPr>
            <w:tcW w:w="1843" w:type="dxa"/>
          </w:tcPr>
          <w:p>
            <w:pPr>
              <w:spacing w:after="0" w:line="240" w:lineRule="auto"/>
              <w:rPr>
                <w:rFonts w:ascii="Times New Roman" w:hAnsi="Times New Roman"/>
                <w:sz w:val="20"/>
              </w:rPr>
            </w:pPr>
            <w:r>
              <w:rPr>
                <w:rFonts w:ascii="Times New Roman" w:hAnsi="Times New Roman"/>
                <w:sz w:val="20"/>
              </w:rPr>
              <w:t>Macro-Fase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w:t>
            </w:r>
          </w:p>
        </w:tc>
        <w:tc>
          <w:tcPr>
            <w:tcW w:w="1842" w:type="dxa"/>
          </w:tcPr>
          <w:p>
            <w:pPr>
              <w:spacing w:after="0" w:line="240" w:lineRule="auto"/>
              <w:rPr>
                <w:rFonts w:ascii="Times New Roman" w:hAnsi="Times New Roman"/>
                <w:sz w:val="20"/>
              </w:rPr>
            </w:pPr>
            <w:r>
              <w:rPr>
                <w:rFonts w:ascii="Times New Roman" w:hAnsi="Times New Roman"/>
                <w:sz w:val="20"/>
              </w:rPr>
              <w:t>1. Iniciação e Planejamento</w:t>
            </w:r>
          </w:p>
        </w:tc>
        <w:tc>
          <w:tcPr>
            <w:tcW w:w="1842" w:type="dxa"/>
          </w:tcPr>
          <w:p>
            <w:pPr>
              <w:spacing w:after="0" w:line="240" w:lineRule="auto"/>
              <w:rPr>
                <w:rFonts w:ascii="Times New Roman" w:hAnsi="Times New Roman"/>
                <w:sz w:val="20"/>
              </w:rPr>
            </w:pPr>
            <w:r>
              <w:rPr>
                <w:rFonts w:ascii="Times New Roman" w:hAnsi="Times New Roman"/>
                <w:sz w:val="20"/>
              </w:rPr>
              <w:t>N1.2</w:t>
            </w:r>
          </w:p>
        </w:tc>
        <w:tc>
          <w:tcPr>
            <w:tcW w:w="1860" w:type="dxa"/>
          </w:tcPr>
          <w:p>
            <w:pPr>
              <w:spacing w:after="0" w:line="240" w:lineRule="auto"/>
              <w:rPr>
                <w:rFonts w:ascii="Times New Roman" w:hAnsi="Times New Roman"/>
                <w:sz w:val="20"/>
              </w:rPr>
            </w:pPr>
            <w:r>
              <w:rPr>
                <w:rFonts w:ascii="Times New Roman" w:hAnsi="Times New Roman"/>
                <w:sz w:val="20"/>
              </w:rPr>
              <w:t>1.2. Identificação de Stakeholders</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w:t>
            </w:r>
          </w:p>
        </w:tc>
        <w:tc>
          <w:tcPr>
            <w:tcW w:w="1842" w:type="dxa"/>
          </w:tcPr>
          <w:p>
            <w:pPr>
              <w:spacing w:after="0" w:line="240" w:lineRule="auto"/>
              <w:rPr>
                <w:rFonts w:ascii="Times New Roman" w:hAnsi="Times New Roman"/>
                <w:sz w:val="20"/>
              </w:rPr>
            </w:pPr>
            <w:r>
              <w:rPr>
                <w:rFonts w:ascii="Times New Roman" w:hAnsi="Times New Roman"/>
                <w:sz w:val="20"/>
              </w:rPr>
              <w:t>1. Iniciação e Planejamento</w:t>
            </w:r>
          </w:p>
        </w:tc>
        <w:tc>
          <w:tcPr>
            <w:tcW w:w="1842" w:type="dxa"/>
          </w:tcPr>
          <w:p>
            <w:pPr>
              <w:spacing w:after="0" w:line="240" w:lineRule="auto"/>
              <w:rPr>
                <w:rFonts w:ascii="Times New Roman" w:hAnsi="Times New Roman"/>
                <w:sz w:val="20"/>
              </w:rPr>
            </w:pPr>
            <w:r>
              <w:rPr>
                <w:rFonts w:ascii="Times New Roman" w:hAnsi="Times New Roman"/>
                <w:sz w:val="20"/>
              </w:rPr>
              <w:t>N1.3</w:t>
            </w:r>
          </w:p>
        </w:tc>
        <w:tc>
          <w:tcPr>
            <w:tcW w:w="1860" w:type="dxa"/>
          </w:tcPr>
          <w:p>
            <w:pPr>
              <w:spacing w:after="0" w:line="240" w:lineRule="auto"/>
              <w:rPr>
                <w:rFonts w:ascii="Times New Roman" w:hAnsi="Times New Roman"/>
                <w:sz w:val="20"/>
              </w:rPr>
            </w:pPr>
            <w:r>
              <w:rPr>
                <w:rFonts w:ascii="Times New Roman" w:hAnsi="Times New Roman"/>
                <w:sz w:val="20"/>
              </w:rPr>
              <w:t>1.3. Planos de Gerenciamento</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N1</w:t>
            </w:r>
          </w:p>
        </w:tc>
        <w:tc>
          <w:tcPr>
            <w:tcW w:w="1842" w:type="dxa"/>
          </w:tcPr>
          <w:p>
            <w:pPr>
              <w:spacing w:after="0" w:line="240" w:lineRule="auto"/>
              <w:rPr>
                <w:rFonts w:ascii="Times New Roman" w:hAnsi="Times New Roman"/>
                <w:sz w:val="20"/>
              </w:rPr>
            </w:pPr>
            <w:r>
              <w:rPr>
                <w:rFonts w:ascii="Times New Roman" w:hAnsi="Times New Roman"/>
                <w:sz w:val="20"/>
              </w:rPr>
              <w:t>1. Iniciação e Planejamento</w:t>
            </w:r>
          </w:p>
        </w:tc>
        <w:tc>
          <w:tcPr>
            <w:tcW w:w="1842" w:type="dxa"/>
          </w:tcPr>
          <w:p>
            <w:pPr>
              <w:spacing w:after="0" w:line="240" w:lineRule="auto"/>
              <w:rPr>
                <w:rFonts w:ascii="Times New Roman" w:hAnsi="Times New Roman"/>
                <w:sz w:val="20"/>
              </w:rPr>
            </w:pPr>
            <w:r>
              <w:rPr>
                <w:rFonts w:ascii="Times New Roman" w:hAnsi="Times New Roman"/>
                <w:sz w:val="20"/>
              </w:rPr>
              <w:t>N1.4</w:t>
            </w:r>
          </w:p>
        </w:tc>
        <w:tc>
          <w:tcPr>
            <w:tcW w:w="1860" w:type="dxa"/>
          </w:tcPr>
          <w:p>
            <w:pPr>
              <w:spacing w:after="0" w:line="240" w:lineRule="auto"/>
              <w:rPr>
                <w:rFonts w:ascii="Times New Roman" w:hAnsi="Times New Roman"/>
                <w:sz w:val="20"/>
              </w:rPr>
            </w:pPr>
            <w:r>
              <w:rPr>
                <w:rFonts w:ascii="Times New Roman" w:hAnsi="Times New Roman"/>
                <w:sz w:val="20"/>
              </w:rPr>
              <w:t>1.4. Plano da Qualidade</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w:t>
            </w:r>
          </w:p>
        </w:tc>
        <w:tc>
          <w:tcPr>
            <w:tcW w:w="1842" w:type="dxa"/>
          </w:tcPr>
          <w:p>
            <w:pPr>
              <w:spacing w:after="0" w:line="240" w:lineRule="auto"/>
              <w:rPr>
                <w:rFonts w:ascii="Times New Roman" w:hAnsi="Times New Roman"/>
                <w:sz w:val="20"/>
              </w:rPr>
            </w:pPr>
            <w:r>
              <w:rPr>
                <w:rFonts w:ascii="Times New Roman" w:hAnsi="Times New Roman"/>
                <w:sz w:val="20"/>
              </w:rPr>
              <w:t>1. Iniciação e Planejamento</w:t>
            </w:r>
          </w:p>
        </w:tc>
        <w:tc>
          <w:tcPr>
            <w:tcW w:w="1842" w:type="dxa"/>
          </w:tcPr>
          <w:p>
            <w:pPr>
              <w:spacing w:after="0" w:line="240" w:lineRule="auto"/>
              <w:rPr>
                <w:rFonts w:ascii="Times New Roman" w:hAnsi="Times New Roman"/>
                <w:sz w:val="20"/>
              </w:rPr>
            </w:pPr>
            <w:r>
              <w:rPr>
                <w:rFonts w:ascii="Times New Roman" w:hAnsi="Times New Roman"/>
                <w:sz w:val="20"/>
              </w:rPr>
              <w:t>N1.5</w:t>
            </w:r>
          </w:p>
        </w:tc>
        <w:tc>
          <w:tcPr>
            <w:tcW w:w="1860" w:type="dxa"/>
          </w:tcPr>
          <w:p>
            <w:pPr>
              <w:spacing w:after="0" w:line="240" w:lineRule="auto"/>
              <w:rPr>
                <w:rFonts w:ascii="Times New Roman" w:hAnsi="Times New Roman"/>
                <w:sz w:val="20"/>
              </w:rPr>
            </w:pPr>
            <w:r>
              <w:rPr>
                <w:rFonts w:ascii="Times New Roman" w:hAnsi="Times New Roman"/>
                <w:sz w:val="20"/>
              </w:rPr>
              <w:t>1.5. Política de Licenciamento FOSS</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w:t>
            </w:r>
          </w:p>
        </w:tc>
        <w:tc>
          <w:tcPr>
            <w:tcW w:w="1842" w:type="dxa"/>
          </w:tcPr>
          <w:p>
            <w:pPr>
              <w:spacing w:after="0" w:line="240" w:lineRule="auto"/>
              <w:rPr>
                <w:rFonts w:ascii="Times New Roman" w:hAnsi="Times New Roman"/>
                <w:sz w:val="20"/>
              </w:rPr>
            </w:pPr>
            <w:r>
              <w:rPr>
                <w:rFonts w:ascii="Times New Roman" w:hAnsi="Times New Roman"/>
                <w:sz w:val="20"/>
              </w:rPr>
              <w:t>1. Iniciação e Planejamento</w:t>
            </w:r>
          </w:p>
        </w:tc>
        <w:tc>
          <w:tcPr>
            <w:tcW w:w="1842" w:type="dxa"/>
          </w:tcPr>
          <w:p>
            <w:pPr>
              <w:spacing w:after="0" w:line="240" w:lineRule="auto"/>
              <w:rPr>
                <w:rFonts w:ascii="Times New Roman" w:hAnsi="Times New Roman"/>
                <w:sz w:val="20"/>
              </w:rPr>
            </w:pPr>
            <w:r>
              <w:rPr>
                <w:rFonts w:ascii="Times New Roman" w:hAnsi="Times New Roman"/>
                <w:sz w:val="20"/>
              </w:rPr>
              <w:t>N1.6</w:t>
            </w:r>
          </w:p>
        </w:tc>
        <w:tc>
          <w:tcPr>
            <w:tcW w:w="1860" w:type="dxa"/>
          </w:tcPr>
          <w:p>
            <w:pPr>
              <w:spacing w:after="0" w:line="240" w:lineRule="auto"/>
              <w:rPr>
                <w:rFonts w:ascii="Times New Roman" w:hAnsi="Times New Roman"/>
                <w:sz w:val="20"/>
              </w:rPr>
            </w:pPr>
            <w:r>
              <w:rPr>
                <w:rFonts w:ascii="Times New Roman" w:hAnsi="Times New Roman"/>
                <w:sz w:val="20"/>
              </w:rPr>
              <w:t>1.6. Definição do Backlog e Kanban</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N2</w:t>
            </w:r>
          </w:p>
        </w:tc>
        <w:tc>
          <w:tcPr>
            <w:tcW w:w="1842" w:type="dxa"/>
          </w:tcPr>
          <w:p>
            <w:pPr>
              <w:spacing w:after="0" w:line="240" w:lineRule="auto"/>
              <w:rPr>
                <w:rFonts w:ascii="Times New Roman" w:hAnsi="Times New Roman"/>
                <w:sz w:val="20"/>
              </w:rPr>
            </w:pPr>
            <w:r>
              <w:rPr>
                <w:rFonts w:ascii="Times New Roman" w:hAnsi="Times New Roman"/>
                <w:sz w:val="20"/>
              </w:rPr>
              <w:t>2. Levantamento de Requisitos</w:t>
            </w:r>
          </w:p>
        </w:tc>
        <w:tc>
          <w:tcPr>
            <w:tcW w:w="1842" w:type="dxa"/>
          </w:tcPr>
          <w:p>
            <w:pPr>
              <w:spacing w:after="0" w:line="240" w:lineRule="auto"/>
              <w:rPr>
                <w:rFonts w:ascii="Times New Roman" w:hAnsi="Times New Roman"/>
                <w:sz w:val="20"/>
              </w:rPr>
            </w:pPr>
            <w:r>
              <w:rPr>
                <w:rFonts w:ascii="Times New Roman" w:hAnsi="Times New Roman"/>
                <w:sz w:val="20"/>
              </w:rPr>
              <w:t>N2.1</w:t>
            </w:r>
          </w:p>
        </w:tc>
        <w:tc>
          <w:tcPr>
            <w:tcW w:w="1860" w:type="dxa"/>
          </w:tcPr>
          <w:p>
            <w:pPr>
              <w:spacing w:after="0" w:line="240" w:lineRule="auto"/>
              <w:rPr>
                <w:rFonts w:ascii="Times New Roman" w:hAnsi="Times New Roman"/>
                <w:sz w:val="20"/>
              </w:rPr>
            </w:pPr>
            <w:r>
              <w:rPr>
                <w:rFonts w:ascii="Times New Roman" w:hAnsi="Times New Roman"/>
                <w:sz w:val="20"/>
              </w:rPr>
              <w:t>2.1. Requisitos Funcionais</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N2</w:t>
            </w:r>
          </w:p>
        </w:tc>
        <w:tc>
          <w:tcPr>
            <w:tcW w:w="1842" w:type="dxa"/>
          </w:tcPr>
          <w:p>
            <w:pPr>
              <w:spacing w:after="0" w:line="240" w:lineRule="auto"/>
              <w:rPr>
                <w:rFonts w:ascii="Times New Roman" w:hAnsi="Times New Roman"/>
                <w:sz w:val="20"/>
              </w:rPr>
            </w:pPr>
            <w:r>
              <w:rPr>
                <w:rFonts w:ascii="Times New Roman" w:hAnsi="Times New Roman"/>
                <w:sz w:val="20"/>
              </w:rPr>
              <w:t>2. Levantamento de Requisitos</w:t>
            </w:r>
          </w:p>
        </w:tc>
        <w:tc>
          <w:tcPr>
            <w:tcW w:w="1842" w:type="dxa"/>
          </w:tcPr>
          <w:p>
            <w:pPr>
              <w:spacing w:after="0" w:line="240" w:lineRule="auto"/>
              <w:rPr>
                <w:rFonts w:ascii="Times New Roman" w:hAnsi="Times New Roman"/>
                <w:sz w:val="20"/>
              </w:rPr>
            </w:pPr>
            <w:r>
              <w:rPr>
                <w:rFonts w:ascii="Times New Roman" w:hAnsi="Times New Roman"/>
                <w:sz w:val="20"/>
              </w:rPr>
              <w:t>N2.2</w:t>
            </w:r>
          </w:p>
        </w:tc>
        <w:tc>
          <w:tcPr>
            <w:tcW w:w="1860" w:type="dxa"/>
          </w:tcPr>
          <w:p>
            <w:pPr>
              <w:spacing w:after="0" w:line="240" w:lineRule="auto"/>
              <w:rPr>
                <w:rFonts w:ascii="Times New Roman" w:hAnsi="Times New Roman"/>
                <w:sz w:val="20"/>
              </w:rPr>
            </w:pPr>
            <w:r>
              <w:rPr>
                <w:rFonts w:ascii="Times New Roman" w:hAnsi="Times New Roman"/>
                <w:sz w:val="20"/>
              </w:rPr>
              <w:t>2.2. Requisitos Não Funcionais</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N2</w:t>
            </w:r>
          </w:p>
        </w:tc>
        <w:tc>
          <w:tcPr>
            <w:tcW w:w="1842" w:type="dxa"/>
          </w:tcPr>
          <w:p>
            <w:pPr>
              <w:spacing w:after="0" w:line="240" w:lineRule="auto"/>
              <w:rPr>
                <w:rFonts w:ascii="Times New Roman" w:hAnsi="Times New Roman"/>
                <w:sz w:val="20"/>
              </w:rPr>
            </w:pPr>
            <w:r>
              <w:rPr>
                <w:rFonts w:ascii="Times New Roman" w:hAnsi="Times New Roman"/>
                <w:sz w:val="20"/>
              </w:rPr>
              <w:t>2. Levantamento de Requisitos</w:t>
            </w:r>
          </w:p>
        </w:tc>
        <w:tc>
          <w:tcPr>
            <w:tcW w:w="1842" w:type="dxa"/>
          </w:tcPr>
          <w:p>
            <w:pPr>
              <w:spacing w:after="0" w:line="240" w:lineRule="auto"/>
              <w:rPr>
                <w:rFonts w:ascii="Times New Roman" w:hAnsi="Times New Roman"/>
                <w:sz w:val="20"/>
              </w:rPr>
            </w:pPr>
            <w:r>
              <w:rPr>
                <w:rFonts w:ascii="Times New Roman" w:hAnsi="Times New Roman"/>
                <w:sz w:val="20"/>
              </w:rPr>
              <w:t>N2.3</w:t>
            </w:r>
          </w:p>
        </w:tc>
        <w:tc>
          <w:tcPr>
            <w:tcW w:w="1860" w:type="dxa"/>
          </w:tcPr>
          <w:p>
            <w:pPr>
              <w:spacing w:after="0" w:line="240" w:lineRule="auto"/>
              <w:rPr>
                <w:rFonts w:ascii="Times New Roman" w:hAnsi="Times New Roman"/>
                <w:sz w:val="20"/>
              </w:rPr>
            </w:pPr>
            <w:r>
              <w:rPr>
                <w:rFonts w:ascii="Times New Roman" w:hAnsi="Times New Roman"/>
                <w:sz w:val="20"/>
              </w:rPr>
              <w:t>2.3. Casos de Uso e Histórias de Usuário</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N3</w:t>
            </w:r>
          </w:p>
        </w:tc>
        <w:tc>
          <w:tcPr>
            <w:tcW w:w="1842" w:type="dxa"/>
          </w:tcPr>
          <w:p>
            <w:pPr>
              <w:spacing w:after="0" w:line="240" w:lineRule="auto"/>
              <w:rPr>
                <w:rFonts w:ascii="Times New Roman" w:hAnsi="Times New Roman"/>
                <w:sz w:val="20"/>
              </w:rPr>
            </w:pPr>
            <w:r>
              <w:rPr>
                <w:rFonts w:ascii="Times New Roman" w:hAnsi="Times New Roman"/>
                <w:sz w:val="20"/>
              </w:rPr>
              <w:t>3. Modelagem e Prototipação</w:t>
            </w:r>
          </w:p>
        </w:tc>
        <w:tc>
          <w:tcPr>
            <w:tcW w:w="1842" w:type="dxa"/>
          </w:tcPr>
          <w:p>
            <w:pPr>
              <w:spacing w:after="0" w:line="240" w:lineRule="auto"/>
              <w:rPr>
                <w:rFonts w:ascii="Times New Roman" w:hAnsi="Times New Roman"/>
                <w:sz w:val="20"/>
              </w:rPr>
            </w:pPr>
            <w:r>
              <w:rPr>
                <w:rFonts w:ascii="Times New Roman" w:hAnsi="Times New Roman"/>
                <w:sz w:val="20"/>
              </w:rPr>
              <w:t>N3.1</w:t>
            </w:r>
          </w:p>
        </w:tc>
        <w:tc>
          <w:tcPr>
            <w:tcW w:w="1860" w:type="dxa"/>
          </w:tcPr>
          <w:p>
            <w:pPr>
              <w:spacing w:after="0" w:line="240" w:lineRule="auto"/>
              <w:rPr>
                <w:rFonts w:ascii="Times New Roman" w:hAnsi="Times New Roman"/>
                <w:sz w:val="20"/>
              </w:rPr>
            </w:pPr>
            <w:r>
              <w:rPr>
                <w:rFonts w:ascii="Times New Roman" w:hAnsi="Times New Roman"/>
                <w:sz w:val="20"/>
              </w:rPr>
              <w:t>3.1. Arquitetura da Solução</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N3</w:t>
            </w:r>
          </w:p>
        </w:tc>
        <w:tc>
          <w:tcPr>
            <w:tcW w:w="1842" w:type="dxa"/>
          </w:tcPr>
          <w:p>
            <w:pPr>
              <w:spacing w:after="0" w:line="240" w:lineRule="auto"/>
              <w:rPr>
                <w:rFonts w:ascii="Times New Roman" w:hAnsi="Times New Roman"/>
                <w:sz w:val="20"/>
              </w:rPr>
            </w:pPr>
            <w:r>
              <w:rPr>
                <w:rFonts w:ascii="Times New Roman" w:hAnsi="Times New Roman"/>
                <w:sz w:val="20"/>
              </w:rPr>
              <w:t>3. Modelagem e Prototipação</w:t>
            </w:r>
          </w:p>
        </w:tc>
        <w:tc>
          <w:tcPr>
            <w:tcW w:w="1842" w:type="dxa"/>
          </w:tcPr>
          <w:p>
            <w:pPr>
              <w:spacing w:after="0" w:line="240" w:lineRule="auto"/>
              <w:rPr>
                <w:rFonts w:ascii="Times New Roman" w:hAnsi="Times New Roman"/>
                <w:sz w:val="20"/>
              </w:rPr>
            </w:pPr>
            <w:r>
              <w:rPr>
                <w:rFonts w:ascii="Times New Roman" w:hAnsi="Times New Roman"/>
                <w:sz w:val="20"/>
              </w:rPr>
              <w:t>N3.2</w:t>
            </w:r>
          </w:p>
        </w:tc>
        <w:tc>
          <w:tcPr>
            <w:tcW w:w="1860" w:type="dxa"/>
          </w:tcPr>
          <w:p>
            <w:pPr>
              <w:spacing w:after="0" w:line="240" w:lineRule="auto"/>
              <w:rPr>
                <w:rFonts w:ascii="Times New Roman" w:hAnsi="Times New Roman"/>
                <w:sz w:val="20"/>
              </w:rPr>
            </w:pPr>
            <w:r>
              <w:rPr>
                <w:rFonts w:ascii="Times New Roman" w:hAnsi="Times New Roman"/>
                <w:sz w:val="20"/>
              </w:rPr>
              <w:t>3.2. Protótipo UX/UI</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N3</w:t>
            </w:r>
          </w:p>
        </w:tc>
        <w:tc>
          <w:tcPr>
            <w:tcW w:w="1842" w:type="dxa"/>
          </w:tcPr>
          <w:p>
            <w:pPr>
              <w:spacing w:after="0" w:line="240" w:lineRule="auto"/>
              <w:rPr>
                <w:rFonts w:ascii="Times New Roman" w:hAnsi="Times New Roman"/>
                <w:sz w:val="20"/>
              </w:rPr>
            </w:pPr>
            <w:r>
              <w:rPr>
                <w:rFonts w:ascii="Times New Roman" w:hAnsi="Times New Roman"/>
                <w:sz w:val="20"/>
              </w:rPr>
              <w:t>3. Modelagem e Prototipação</w:t>
            </w:r>
          </w:p>
        </w:tc>
        <w:tc>
          <w:tcPr>
            <w:tcW w:w="1842" w:type="dxa"/>
          </w:tcPr>
          <w:p>
            <w:pPr>
              <w:spacing w:after="0" w:line="240" w:lineRule="auto"/>
              <w:rPr>
                <w:rFonts w:ascii="Times New Roman" w:hAnsi="Times New Roman"/>
                <w:sz w:val="20"/>
              </w:rPr>
            </w:pPr>
            <w:r>
              <w:rPr>
                <w:rFonts w:ascii="Times New Roman" w:hAnsi="Times New Roman"/>
                <w:sz w:val="20"/>
              </w:rPr>
              <w:t>N3.3</w:t>
            </w:r>
          </w:p>
        </w:tc>
        <w:tc>
          <w:tcPr>
            <w:tcW w:w="1860" w:type="dxa"/>
          </w:tcPr>
          <w:p>
            <w:pPr>
              <w:spacing w:after="0" w:line="240" w:lineRule="auto"/>
              <w:rPr>
                <w:rFonts w:ascii="Times New Roman" w:hAnsi="Times New Roman"/>
                <w:sz w:val="20"/>
              </w:rPr>
            </w:pPr>
            <w:r>
              <w:rPr>
                <w:rFonts w:ascii="Times New Roman" w:hAnsi="Times New Roman"/>
                <w:sz w:val="20"/>
              </w:rPr>
              <w:t>3.3. Modelagem de Dados (DER)</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N4</w:t>
            </w:r>
          </w:p>
        </w:tc>
        <w:tc>
          <w:tcPr>
            <w:tcW w:w="1842" w:type="dxa"/>
          </w:tcPr>
          <w:p>
            <w:pPr>
              <w:spacing w:after="0" w:line="240" w:lineRule="auto"/>
              <w:rPr>
                <w:rFonts w:ascii="Times New Roman" w:hAnsi="Times New Roman"/>
                <w:sz w:val="20"/>
              </w:rPr>
            </w:pPr>
            <w:r>
              <w:rPr>
                <w:rFonts w:ascii="Times New Roman" w:hAnsi="Times New Roman"/>
                <w:sz w:val="20"/>
              </w:rPr>
              <w:t>4. Configuração de Ambiente</w:t>
            </w:r>
          </w:p>
        </w:tc>
        <w:tc>
          <w:tcPr>
            <w:tcW w:w="1842" w:type="dxa"/>
          </w:tcPr>
          <w:p>
            <w:pPr>
              <w:spacing w:after="0" w:line="240" w:lineRule="auto"/>
              <w:rPr>
                <w:rFonts w:ascii="Times New Roman" w:hAnsi="Times New Roman"/>
                <w:sz w:val="20"/>
              </w:rPr>
            </w:pPr>
            <w:r>
              <w:rPr>
                <w:rFonts w:ascii="Times New Roman" w:hAnsi="Times New Roman"/>
                <w:sz w:val="20"/>
              </w:rPr>
              <w:t>N4.1</w:t>
            </w:r>
          </w:p>
        </w:tc>
        <w:tc>
          <w:tcPr>
            <w:tcW w:w="1860" w:type="dxa"/>
          </w:tcPr>
          <w:p>
            <w:pPr>
              <w:spacing w:after="0" w:line="240" w:lineRule="auto"/>
              <w:rPr>
                <w:rFonts w:ascii="Times New Roman" w:hAnsi="Times New Roman"/>
                <w:sz w:val="20"/>
              </w:rPr>
            </w:pPr>
            <w:r>
              <w:rPr>
                <w:rFonts w:ascii="Times New Roman" w:hAnsi="Times New Roman"/>
                <w:sz w:val="20"/>
              </w:rPr>
              <w:t>4.1. Seleção e Validação da Stack FOSS</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N4</w:t>
            </w:r>
          </w:p>
        </w:tc>
        <w:tc>
          <w:tcPr>
            <w:tcW w:w="1842" w:type="dxa"/>
          </w:tcPr>
          <w:p>
            <w:pPr>
              <w:spacing w:after="0" w:line="240" w:lineRule="auto"/>
              <w:rPr>
                <w:rFonts w:ascii="Times New Roman" w:hAnsi="Times New Roman"/>
                <w:sz w:val="20"/>
              </w:rPr>
            </w:pPr>
            <w:r>
              <w:rPr>
                <w:rFonts w:ascii="Times New Roman" w:hAnsi="Times New Roman"/>
                <w:sz w:val="20"/>
              </w:rPr>
              <w:t>4. Configuração de Ambiente</w:t>
            </w:r>
          </w:p>
        </w:tc>
        <w:tc>
          <w:tcPr>
            <w:tcW w:w="1842" w:type="dxa"/>
          </w:tcPr>
          <w:p>
            <w:pPr>
              <w:spacing w:after="0" w:line="240" w:lineRule="auto"/>
              <w:rPr>
                <w:rFonts w:ascii="Times New Roman" w:hAnsi="Times New Roman"/>
                <w:sz w:val="20"/>
              </w:rPr>
            </w:pPr>
            <w:r>
              <w:rPr>
                <w:rFonts w:ascii="Times New Roman" w:hAnsi="Times New Roman"/>
                <w:sz w:val="20"/>
              </w:rPr>
              <w:t>N4.2</w:t>
            </w:r>
          </w:p>
        </w:tc>
        <w:tc>
          <w:tcPr>
            <w:tcW w:w="1860" w:type="dxa"/>
          </w:tcPr>
          <w:p>
            <w:pPr>
              <w:spacing w:after="0" w:line="240" w:lineRule="auto"/>
              <w:rPr>
                <w:rFonts w:ascii="Times New Roman" w:hAnsi="Times New Roman"/>
                <w:sz w:val="20"/>
              </w:rPr>
            </w:pPr>
            <w:r>
              <w:rPr>
                <w:rFonts w:ascii="Times New Roman" w:hAnsi="Times New Roman"/>
                <w:sz w:val="20"/>
              </w:rPr>
              <w:t>4.2. Repositório Git + CI/CD</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N4</w:t>
            </w:r>
          </w:p>
        </w:tc>
        <w:tc>
          <w:tcPr>
            <w:tcW w:w="1842" w:type="dxa"/>
          </w:tcPr>
          <w:p>
            <w:pPr>
              <w:spacing w:after="0" w:line="240" w:lineRule="auto"/>
              <w:rPr>
                <w:rFonts w:ascii="Times New Roman" w:hAnsi="Times New Roman"/>
                <w:sz w:val="20"/>
              </w:rPr>
            </w:pPr>
            <w:r>
              <w:rPr>
                <w:rFonts w:ascii="Times New Roman" w:hAnsi="Times New Roman"/>
                <w:sz w:val="20"/>
              </w:rPr>
              <w:t>4. Configuração de Ambiente</w:t>
            </w:r>
          </w:p>
        </w:tc>
        <w:tc>
          <w:tcPr>
            <w:tcW w:w="1842" w:type="dxa"/>
          </w:tcPr>
          <w:p>
            <w:pPr>
              <w:spacing w:after="0" w:line="240" w:lineRule="auto"/>
              <w:rPr>
                <w:rFonts w:ascii="Times New Roman" w:hAnsi="Times New Roman"/>
                <w:sz w:val="20"/>
              </w:rPr>
            </w:pPr>
            <w:r>
              <w:rPr>
                <w:rFonts w:ascii="Times New Roman" w:hAnsi="Times New Roman"/>
                <w:sz w:val="20"/>
              </w:rPr>
              <w:t>N4.3</w:t>
            </w:r>
          </w:p>
        </w:tc>
        <w:tc>
          <w:tcPr>
            <w:tcW w:w="1860" w:type="dxa"/>
          </w:tcPr>
          <w:p>
            <w:pPr>
              <w:spacing w:after="0" w:line="240" w:lineRule="auto"/>
              <w:rPr>
                <w:rFonts w:ascii="Times New Roman" w:hAnsi="Times New Roman"/>
                <w:sz w:val="20"/>
              </w:rPr>
            </w:pPr>
            <w:r>
              <w:rPr>
                <w:rFonts w:ascii="Times New Roman" w:hAnsi="Times New Roman"/>
                <w:sz w:val="20"/>
              </w:rPr>
              <w:t>4.3. Setup Local e Homologação</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N4</w:t>
            </w:r>
          </w:p>
        </w:tc>
        <w:tc>
          <w:tcPr>
            <w:tcW w:w="1842" w:type="dxa"/>
          </w:tcPr>
          <w:p>
            <w:pPr>
              <w:spacing w:after="0" w:line="240" w:lineRule="auto"/>
              <w:rPr>
                <w:rFonts w:ascii="Times New Roman" w:hAnsi="Times New Roman"/>
                <w:sz w:val="20"/>
              </w:rPr>
            </w:pPr>
            <w:r>
              <w:rPr>
                <w:rFonts w:ascii="Times New Roman" w:hAnsi="Times New Roman"/>
                <w:sz w:val="20"/>
              </w:rPr>
              <w:t>4. Configuração de Ambiente</w:t>
            </w:r>
          </w:p>
        </w:tc>
        <w:tc>
          <w:tcPr>
            <w:tcW w:w="1842" w:type="dxa"/>
          </w:tcPr>
          <w:p>
            <w:pPr>
              <w:spacing w:after="0" w:line="240" w:lineRule="auto"/>
              <w:rPr>
                <w:rFonts w:ascii="Times New Roman" w:hAnsi="Times New Roman"/>
                <w:sz w:val="20"/>
              </w:rPr>
            </w:pPr>
            <w:r>
              <w:rPr>
                <w:rFonts w:ascii="Times New Roman" w:hAnsi="Times New Roman"/>
                <w:sz w:val="20"/>
              </w:rPr>
              <w:t>N4.4</w:t>
            </w:r>
          </w:p>
        </w:tc>
        <w:tc>
          <w:tcPr>
            <w:tcW w:w="1860" w:type="dxa"/>
          </w:tcPr>
          <w:p>
            <w:pPr>
              <w:spacing w:after="0" w:line="240" w:lineRule="auto"/>
              <w:rPr>
                <w:rFonts w:ascii="Times New Roman" w:hAnsi="Times New Roman"/>
                <w:sz w:val="20"/>
              </w:rPr>
            </w:pPr>
            <w:r>
              <w:rPr>
                <w:rFonts w:ascii="Times New Roman" w:hAnsi="Times New Roman"/>
                <w:sz w:val="20"/>
              </w:rPr>
              <w:t>4.4. Auditoria de Licenças</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N5</w:t>
            </w:r>
          </w:p>
        </w:tc>
        <w:tc>
          <w:tcPr>
            <w:tcW w:w="1842" w:type="dxa"/>
          </w:tcPr>
          <w:p>
            <w:pPr>
              <w:spacing w:after="0" w:line="240" w:lineRule="auto"/>
              <w:rPr>
                <w:rFonts w:ascii="Times New Roman" w:hAnsi="Times New Roman"/>
                <w:sz w:val="20"/>
              </w:rPr>
            </w:pPr>
            <w:r>
              <w:rPr>
                <w:rFonts w:ascii="Times New Roman" w:hAnsi="Times New Roman"/>
                <w:sz w:val="20"/>
              </w:rPr>
              <w:t>5. Desenvolvimento do Sistema</w:t>
            </w:r>
          </w:p>
        </w:tc>
        <w:tc>
          <w:tcPr>
            <w:tcW w:w="1842" w:type="dxa"/>
          </w:tcPr>
          <w:p>
            <w:pPr>
              <w:spacing w:after="0" w:line="240" w:lineRule="auto"/>
              <w:rPr>
                <w:rFonts w:ascii="Times New Roman" w:hAnsi="Times New Roman"/>
                <w:sz w:val="20"/>
              </w:rPr>
            </w:pPr>
            <w:r>
              <w:rPr>
                <w:rFonts w:ascii="Times New Roman" w:hAnsi="Times New Roman"/>
                <w:sz w:val="20"/>
              </w:rPr>
              <w:t>N5.1</w:t>
            </w:r>
          </w:p>
        </w:tc>
        <w:tc>
          <w:tcPr>
            <w:tcW w:w="1860" w:type="dxa"/>
          </w:tcPr>
          <w:p>
            <w:pPr>
              <w:spacing w:after="0" w:line="240" w:lineRule="auto"/>
              <w:rPr>
                <w:rFonts w:ascii="Times New Roman" w:hAnsi="Times New Roman"/>
                <w:sz w:val="20"/>
              </w:rPr>
            </w:pPr>
            <w:r>
              <w:rPr>
                <w:rFonts w:ascii="Times New Roman" w:hAnsi="Times New Roman"/>
                <w:sz w:val="20"/>
              </w:rPr>
              <w:t>5.1. Backend — Lógica de Negócio</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N5</w:t>
            </w:r>
          </w:p>
        </w:tc>
        <w:tc>
          <w:tcPr>
            <w:tcW w:w="1842" w:type="dxa"/>
          </w:tcPr>
          <w:p>
            <w:pPr>
              <w:spacing w:after="0" w:line="240" w:lineRule="auto"/>
              <w:rPr>
                <w:rFonts w:ascii="Times New Roman" w:hAnsi="Times New Roman"/>
                <w:sz w:val="20"/>
              </w:rPr>
            </w:pPr>
            <w:r>
              <w:rPr>
                <w:rFonts w:ascii="Times New Roman" w:hAnsi="Times New Roman"/>
                <w:sz w:val="20"/>
              </w:rPr>
              <w:t>5. Desenvolvimento do Sistema</w:t>
            </w:r>
          </w:p>
        </w:tc>
        <w:tc>
          <w:tcPr>
            <w:tcW w:w="1842" w:type="dxa"/>
          </w:tcPr>
          <w:p>
            <w:pPr>
              <w:spacing w:after="0" w:line="240" w:lineRule="auto"/>
              <w:rPr>
                <w:rFonts w:ascii="Times New Roman" w:hAnsi="Times New Roman"/>
                <w:sz w:val="20"/>
              </w:rPr>
            </w:pPr>
            <w:r>
              <w:rPr>
                <w:rFonts w:ascii="Times New Roman" w:hAnsi="Times New Roman"/>
                <w:sz w:val="20"/>
              </w:rPr>
              <w:t>N5.2</w:t>
            </w:r>
          </w:p>
        </w:tc>
        <w:tc>
          <w:tcPr>
            <w:tcW w:w="1860" w:type="dxa"/>
          </w:tcPr>
          <w:p>
            <w:pPr>
              <w:spacing w:after="0" w:line="240" w:lineRule="auto"/>
              <w:rPr>
                <w:rFonts w:ascii="Times New Roman" w:hAnsi="Times New Roman"/>
                <w:sz w:val="20"/>
              </w:rPr>
            </w:pPr>
            <w:r>
              <w:rPr>
                <w:rFonts w:ascii="Times New Roman" w:hAnsi="Times New Roman"/>
                <w:sz w:val="20"/>
              </w:rPr>
              <w:t>5.2. Backend — API de Câmbio + Cache</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N5</w:t>
            </w:r>
          </w:p>
        </w:tc>
        <w:tc>
          <w:tcPr>
            <w:tcW w:w="1842" w:type="dxa"/>
          </w:tcPr>
          <w:p>
            <w:pPr>
              <w:spacing w:after="0" w:line="240" w:lineRule="auto"/>
              <w:rPr>
                <w:rFonts w:ascii="Times New Roman" w:hAnsi="Times New Roman"/>
                <w:sz w:val="20"/>
              </w:rPr>
            </w:pPr>
            <w:r>
              <w:rPr>
                <w:rFonts w:ascii="Times New Roman" w:hAnsi="Times New Roman"/>
                <w:sz w:val="20"/>
              </w:rPr>
              <w:t>5. Desenvolvimento do Sistema</w:t>
            </w:r>
          </w:p>
        </w:tc>
        <w:tc>
          <w:tcPr>
            <w:tcW w:w="1842" w:type="dxa"/>
          </w:tcPr>
          <w:p>
            <w:pPr>
              <w:spacing w:after="0" w:line="240" w:lineRule="auto"/>
              <w:rPr>
                <w:rFonts w:ascii="Times New Roman" w:hAnsi="Times New Roman"/>
                <w:sz w:val="20"/>
              </w:rPr>
            </w:pPr>
            <w:r>
              <w:rPr>
                <w:rFonts w:ascii="Times New Roman" w:hAnsi="Times New Roman"/>
                <w:sz w:val="20"/>
              </w:rPr>
              <w:t>N5.3</w:t>
            </w:r>
          </w:p>
        </w:tc>
        <w:tc>
          <w:tcPr>
            <w:tcW w:w="1860" w:type="dxa"/>
          </w:tcPr>
          <w:p>
            <w:pPr>
              <w:spacing w:after="0" w:line="240" w:lineRule="auto"/>
              <w:rPr>
                <w:rFonts w:ascii="Times New Roman" w:hAnsi="Times New Roman"/>
                <w:sz w:val="20"/>
              </w:rPr>
            </w:pPr>
            <w:r>
              <w:rPr>
                <w:rFonts w:ascii="Times New Roman" w:hAnsi="Times New Roman"/>
                <w:sz w:val="20"/>
              </w:rPr>
              <w:t>5.3. Frontend — Interface e Simulações</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N5</w:t>
            </w:r>
          </w:p>
        </w:tc>
        <w:tc>
          <w:tcPr>
            <w:tcW w:w="1842" w:type="dxa"/>
          </w:tcPr>
          <w:p>
            <w:pPr>
              <w:spacing w:after="0" w:line="240" w:lineRule="auto"/>
              <w:rPr>
                <w:rFonts w:ascii="Times New Roman" w:hAnsi="Times New Roman"/>
                <w:sz w:val="20"/>
              </w:rPr>
            </w:pPr>
            <w:r>
              <w:rPr>
                <w:rFonts w:ascii="Times New Roman" w:hAnsi="Times New Roman"/>
                <w:sz w:val="20"/>
              </w:rPr>
              <w:t>5. Desenvolvimento do Sistema</w:t>
            </w:r>
          </w:p>
        </w:tc>
        <w:tc>
          <w:tcPr>
            <w:tcW w:w="1842" w:type="dxa"/>
          </w:tcPr>
          <w:p>
            <w:pPr>
              <w:spacing w:after="0" w:line="240" w:lineRule="auto"/>
              <w:rPr>
                <w:rFonts w:ascii="Times New Roman" w:hAnsi="Times New Roman"/>
                <w:sz w:val="20"/>
              </w:rPr>
            </w:pPr>
            <w:r>
              <w:rPr>
                <w:rFonts w:ascii="Times New Roman" w:hAnsi="Times New Roman"/>
                <w:sz w:val="20"/>
              </w:rPr>
              <w:t>N5.4</w:t>
            </w:r>
          </w:p>
        </w:tc>
        <w:tc>
          <w:tcPr>
            <w:tcW w:w="1860" w:type="dxa"/>
          </w:tcPr>
          <w:p>
            <w:pPr>
              <w:spacing w:after="0" w:line="240" w:lineRule="auto"/>
              <w:rPr>
                <w:rFonts w:ascii="Times New Roman" w:hAnsi="Times New Roman"/>
                <w:sz w:val="20"/>
              </w:rPr>
            </w:pPr>
            <w:r>
              <w:rPr>
                <w:rFonts w:ascii="Times New Roman" w:hAnsi="Times New Roman"/>
                <w:sz w:val="20"/>
              </w:rPr>
              <w:t>5.4. Módulo PDF (WeasyPrint)</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N5</w:t>
            </w:r>
          </w:p>
        </w:tc>
        <w:tc>
          <w:tcPr>
            <w:tcW w:w="1842" w:type="dxa"/>
          </w:tcPr>
          <w:p>
            <w:pPr>
              <w:spacing w:after="0" w:line="240" w:lineRule="auto"/>
              <w:rPr>
                <w:rFonts w:ascii="Times New Roman" w:hAnsi="Times New Roman"/>
                <w:sz w:val="20"/>
              </w:rPr>
            </w:pPr>
            <w:r>
              <w:rPr>
                <w:rFonts w:ascii="Times New Roman" w:hAnsi="Times New Roman"/>
                <w:sz w:val="20"/>
              </w:rPr>
              <w:t>5. Desenvolvimento do Sistema</w:t>
            </w:r>
          </w:p>
        </w:tc>
        <w:tc>
          <w:tcPr>
            <w:tcW w:w="1842" w:type="dxa"/>
          </w:tcPr>
          <w:p>
            <w:pPr>
              <w:spacing w:after="0" w:line="240" w:lineRule="auto"/>
              <w:rPr>
                <w:rFonts w:ascii="Times New Roman" w:hAnsi="Times New Roman"/>
                <w:sz w:val="20"/>
              </w:rPr>
            </w:pPr>
            <w:r>
              <w:rPr>
                <w:rFonts w:ascii="Times New Roman" w:hAnsi="Times New Roman"/>
                <w:sz w:val="20"/>
              </w:rPr>
              <w:t>N5.5</w:t>
            </w:r>
          </w:p>
        </w:tc>
        <w:tc>
          <w:tcPr>
            <w:tcW w:w="1860" w:type="dxa"/>
          </w:tcPr>
          <w:p>
            <w:pPr>
              <w:spacing w:after="0" w:line="240" w:lineRule="auto"/>
              <w:rPr>
                <w:rFonts w:ascii="Times New Roman" w:hAnsi="Times New Roman"/>
                <w:sz w:val="20"/>
              </w:rPr>
            </w:pPr>
            <w:r>
              <w:rPr>
                <w:rFonts w:ascii="Times New Roman" w:hAnsi="Times New Roman"/>
                <w:sz w:val="20"/>
              </w:rPr>
              <w:t>5.5. SDD com IA (Prompts + Revisão)</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N6</w:t>
            </w:r>
          </w:p>
        </w:tc>
        <w:tc>
          <w:tcPr>
            <w:tcW w:w="1842" w:type="dxa"/>
          </w:tcPr>
          <w:p>
            <w:pPr>
              <w:spacing w:after="0" w:line="240" w:lineRule="auto"/>
              <w:rPr>
                <w:rFonts w:ascii="Times New Roman" w:hAnsi="Times New Roman"/>
                <w:sz w:val="20"/>
              </w:rPr>
            </w:pPr>
            <w:r>
              <w:rPr>
                <w:rFonts w:ascii="Times New Roman" w:hAnsi="Times New Roman"/>
                <w:sz w:val="20"/>
              </w:rPr>
              <w:t>6. Garantia da Qualidade</w:t>
            </w:r>
          </w:p>
        </w:tc>
        <w:tc>
          <w:tcPr>
            <w:tcW w:w="1842" w:type="dxa"/>
          </w:tcPr>
          <w:p>
            <w:pPr>
              <w:spacing w:after="0" w:line="240" w:lineRule="auto"/>
              <w:rPr>
                <w:rFonts w:ascii="Times New Roman" w:hAnsi="Times New Roman"/>
                <w:sz w:val="20"/>
              </w:rPr>
            </w:pPr>
            <w:r>
              <w:rPr>
                <w:rFonts w:ascii="Times New Roman" w:hAnsi="Times New Roman"/>
                <w:sz w:val="20"/>
              </w:rPr>
              <w:t>N6.1</w:t>
            </w:r>
          </w:p>
        </w:tc>
        <w:tc>
          <w:tcPr>
            <w:tcW w:w="1860" w:type="dxa"/>
          </w:tcPr>
          <w:p>
            <w:pPr>
              <w:spacing w:after="0" w:line="240" w:lineRule="auto"/>
              <w:rPr>
                <w:rFonts w:ascii="Times New Roman" w:hAnsi="Times New Roman"/>
                <w:sz w:val="20"/>
              </w:rPr>
            </w:pPr>
            <w:r>
              <w:rPr>
                <w:rFonts w:ascii="Times New Roman" w:hAnsi="Times New Roman"/>
                <w:sz w:val="20"/>
              </w:rPr>
              <w:t>6.1. Testes Unitários/Integração (≥ 80%)</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N6</w:t>
            </w:r>
          </w:p>
        </w:tc>
        <w:tc>
          <w:tcPr>
            <w:tcW w:w="1842" w:type="dxa"/>
          </w:tcPr>
          <w:p>
            <w:pPr>
              <w:spacing w:after="0" w:line="240" w:lineRule="auto"/>
              <w:rPr>
                <w:rFonts w:ascii="Times New Roman" w:hAnsi="Times New Roman"/>
                <w:sz w:val="20"/>
              </w:rPr>
            </w:pPr>
            <w:r>
              <w:rPr>
                <w:rFonts w:ascii="Times New Roman" w:hAnsi="Times New Roman"/>
                <w:sz w:val="20"/>
              </w:rPr>
              <w:t>6. Garantia da Qualidade</w:t>
            </w:r>
          </w:p>
        </w:tc>
        <w:tc>
          <w:tcPr>
            <w:tcW w:w="1842" w:type="dxa"/>
          </w:tcPr>
          <w:p>
            <w:pPr>
              <w:spacing w:after="0" w:line="240" w:lineRule="auto"/>
              <w:rPr>
                <w:rFonts w:ascii="Times New Roman" w:hAnsi="Times New Roman"/>
                <w:sz w:val="20"/>
              </w:rPr>
            </w:pPr>
            <w:r>
              <w:rPr>
                <w:rFonts w:ascii="Times New Roman" w:hAnsi="Times New Roman"/>
                <w:sz w:val="20"/>
              </w:rPr>
              <w:t>N6.2</w:t>
            </w:r>
          </w:p>
        </w:tc>
        <w:tc>
          <w:tcPr>
            <w:tcW w:w="1860" w:type="dxa"/>
          </w:tcPr>
          <w:p>
            <w:pPr>
              <w:spacing w:after="0" w:line="240" w:lineRule="auto"/>
              <w:rPr>
                <w:rFonts w:ascii="Times New Roman" w:hAnsi="Times New Roman"/>
                <w:sz w:val="20"/>
              </w:rPr>
            </w:pPr>
            <w:r>
              <w:rPr>
                <w:rFonts w:ascii="Times New Roman" w:hAnsi="Times New Roman"/>
                <w:sz w:val="20"/>
              </w:rPr>
              <w:t>6.2. Testes de Aceitação (UAT)</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N7</w:t>
            </w:r>
          </w:p>
        </w:tc>
        <w:tc>
          <w:tcPr>
            <w:tcW w:w="1842" w:type="dxa"/>
          </w:tcPr>
          <w:p>
            <w:pPr>
              <w:spacing w:after="0" w:line="240" w:lineRule="auto"/>
              <w:rPr>
                <w:rFonts w:ascii="Times New Roman" w:hAnsi="Times New Roman"/>
                <w:sz w:val="20"/>
              </w:rPr>
            </w:pPr>
            <w:r>
              <w:rPr>
                <w:rFonts w:ascii="Times New Roman" w:hAnsi="Times New Roman"/>
                <w:sz w:val="20"/>
              </w:rPr>
              <w:t>7. DevOps e CI/CD</w:t>
            </w:r>
          </w:p>
        </w:tc>
        <w:tc>
          <w:tcPr>
            <w:tcW w:w="1842" w:type="dxa"/>
          </w:tcPr>
          <w:p>
            <w:pPr>
              <w:spacing w:after="0" w:line="240" w:lineRule="auto"/>
              <w:rPr>
                <w:rFonts w:ascii="Times New Roman" w:hAnsi="Times New Roman"/>
                <w:sz w:val="20"/>
              </w:rPr>
            </w:pPr>
            <w:r>
              <w:rPr>
                <w:rFonts w:ascii="Times New Roman" w:hAnsi="Times New Roman"/>
                <w:sz w:val="20"/>
              </w:rPr>
              <w:t>N7.1</w:t>
            </w:r>
          </w:p>
        </w:tc>
        <w:tc>
          <w:tcPr>
            <w:tcW w:w="1860" w:type="dxa"/>
          </w:tcPr>
          <w:p>
            <w:pPr>
              <w:spacing w:after="0" w:line="240" w:lineRule="auto"/>
              <w:rPr>
                <w:rFonts w:ascii="Times New Roman" w:hAnsi="Times New Roman"/>
                <w:sz w:val="20"/>
              </w:rPr>
            </w:pPr>
            <w:r>
              <w:rPr>
                <w:rFonts w:ascii="Times New Roman" w:hAnsi="Times New Roman"/>
                <w:sz w:val="20"/>
              </w:rPr>
              <w:t>7.1. Pipeline CI (lint + testes)</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N7</w:t>
            </w:r>
          </w:p>
        </w:tc>
        <w:tc>
          <w:tcPr>
            <w:tcW w:w="1842" w:type="dxa"/>
          </w:tcPr>
          <w:p>
            <w:pPr>
              <w:spacing w:after="0" w:line="240" w:lineRule="auto"/>
              <w:rPr>
                <w:rFonts w:ascii="Times New Roman" w:hAnsi="Times New Roman"/>
                <w:sz w:val="20"/>
              </w:rPr>
            </w:pPr>
            <w:r>
              <w:rPr>
                <w:rFonts w:ascii="Times New Roman" w:hAnsi="Times New Roman"/>
                <w:sz w:val="20"/>
              </w:rPr>
              <w:t>7. DevOps e CI/CD</w:t>
            </w:r>
          </w:p>
        </w:tc>
        <w:tc>
          <w:tcPr>
            <w:tcW w:w="1842" w:type="dxa"/>
          </w:tcPr>
          <w:p>
            <w:pPr>
              <w:spacing w:after="0" w:line="240" w:lineRule="auto"/>
              <w:rPr>
                <w:rFonts w:ascii="Times New Roman" w:hAnsi="Times New Roman"/>
                <w:sz w:val="20"/>
              </w:rPr>
            </w:pPr>
            <w:r>
              <w:rPr>
                <w:rFonts w:ascii="Times New Roman" w:hAnsi="Times New Roman"/>
                <w:sz w:val="20"/>
              </w:rPr>
              <w:t>N7.2</w:t>
            </w:r>
          </w:p>
        </w:tc>
        <w:tc>
          <w:tcPr>
            <w:tcW w:w="1860" w:type="dxa"/>
          </w:tcPr>
          <w:p>
            <w:pPr>
              <w:spacing w:after="0" w:line="240" w:lineRule="auto"/>
              <w:rPr>
                <w:rFonts w:ascii="Times New Roman" w:hAnsi="Times New Roman"/>
                <w:sz w:val="20"/>
              </w:rPr>
            </w:pPr>
            <w:r>
              <w:rPr>
                <w:rFonts w:ascii="Times New Roman" w:hAnsi="Times New Roman"/>
                <w:sz w:val="20"/>
              </w:rPr>
              <w:t>7.2. Deploy Manual Documentado</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N8</w:t>
            </w:r>
          </w:p>
        </w:tc>
        <w:tc>
          <w:tcPr>
            <w:tcW w:w="1842" w:type="dxa"/>
          </w:tcPr>
          <w:p>
            <w:pPr>
              <w:spacing w:after="0" w:line="240" w:lineRule="auto"/>
              <w:rPr>
                <w:rFonts w:ascii="Times New Roman" w:hAnsi="Times New Roman"/>
                <w:sz w:val="20"/>
              </w:rPr>
            </w:pPr>
            <w:r>
              <w:rPr>
                <w:rFonts w:ascii="Times New Roman" w:hAnsi="Times New Roman"/>
                <w:sz w:val="20"/>
              </w:rPr>
              <w:t>8. Implantação (Deploy)</w:t>
            </w:r>
          </w:p>
        </w:tc>
        <w:tc>
          <w:tcPr>
            <w:tcW w:w="1842" w:type="dxa"/>
          </w:tcPr>
          <w:p>
            <w:pPr>
              <w:spacing w:after="0" w:line="240" w:lineRule="auto"/>
              <w:rPr>
                <w:rFonts w:ascii="Times New Roman" w:hAnsi="Times New Roman"/>
                <w:sz w:val="20"/>
              </w:rPr>
            </w:pPr>
            <w:r>
              <w:rPr>
                <w:rFonts w:ascii="Times New Roman" w:hAnsi="Times New Roman"/>
                <w:sz w:val="20"/>
              </w:rPr>
              <w:t>N8.1</w:t>
            </w:r>
          </w:p>
        </w:tc>
        <w:tc>
          <w:tcPr>
            <w:tcW w:w="1860" w:type="dxa"/>
          </w:tcPr>
          <w:p>
            <w:pPr>
              <w:spacing w:after="0" w:line="240" w:lineRule="auto"/>
              <w:rPr>
                <w:rFonts w:ascii="Times New Roman" w:hAnsi="Times New Roman"/>
                <w:sz w:val="20"/>
              </w:rPr>
            </w:pPr>
            <w:r>
              <w:rPr>
                <w:rFonts w:ascii="Times New Roman" w:hAnsi="Times New Roman"/>
                <w:sz w:val="20"/>
              </w:rPr>
              <w:t>8.1. Publicação em Produção</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N8</w:t>
            </w:r>
          </w:p>
        </w:tc>
        <w:tc>
          <w:tcPr>
            <w:tcW w:w="1842" w:type="dxa"/>
          </w:tcPr>
          <w:p>
            <w:pPr>
              <w:spacing w:after="0" w:line="240" w:lineRule="auto"/>
              <w:rPr>
                <w:rFonts w:ascii="Times New Roman" w:hAnsi="Times New Roman"/>
                <w:sz w:val="20"/>
              </w:rPr>
            </w:pPr>
            <w:r>
              <w:rPr>
                <w:rFonts w:ascii="Times New Roman" w:hAnsi="Times New Roman"/>
                <w:sz w:val="20"/>
              </w:rPr>
              <w:t>8. Implantação (Deploy)</w:t>
            </w:r>
          </w:p>
        </w:tc>
        <w:tc>
          <w:tcPr>
            <w:tcW w:w="1842" w:type="dxa"/>
          </w:tcPr>
          <w:p>
            <w:pPr>
              <w:spacing w:after="0" w:line="240" w:lineRule="auto"/>
              <w:rPr>
                <w:rFonts w:ascii="Times New Roman" w:hAnsi="Times New Roman"/>
                <w:sz w:val="20"/>
              </w:rPr>
            </w:pPr>
            <w:r>
              <w:rPr>
                <w:rFonts w:ascii="Times New Roman" w:hAnsi="Times New Roman"/>
                <w:sz w:val="20"/>
              </w:rPr>
              <w:t>N8.2</w:t>
            </w:r>
          </w:p>
        </w:tc>
        <w:tc>
          <w:tcPr>
            <w:tcW w:w="1860" w:type="dxa"/>
          </w:tcPr>
          <w:p>
            <w:pPr>
              <w:spacing w:after="0" w:line="240" w:lineRule="auto"/>
              <w:rPr>
                <w:rFonts w:ascii="Times New Roman" w:hAnsi="Times New Roman"/>
                <w:sz w:val="20"/>
              </w:rPr>
            </w:pPr>
            <w:r>
              <w:rPr>
                <w:rFonts w:ascii="Times New Roman" w:hAnsi="Times New Roman"/>
                <w:sz w:val="20"/>
              </w:rPr>
              <w:t>8.2. Documentação de Deploy + Rollback</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N9</w:t>
            </w:r>
          </w:p>
        </w:tc>
        <w:tc>
          <w:tcPr>
            <w:tcW w:w="1842" w:type="dxa"/>
          </w:tcPr>
          <w:p>
            <w:pPr>
              <w:spacing w:after="0" w:line="240" w:lineRule="auto"/>
              <w:rPr>
                <w:rFonts w:ascii="Times New Roman" w:hAnsi="Times New Roman"/>
                <w:sz w:val="20"/>
              </w:rPr>
            </w:pPr>
            <w:r>
              <w:rPr>
                <w:rFonts w:ascii="Times New Roman" w:hAnsi="Times New Roman"/>
                <w:sz w:val="20"/>
              </w:rPr>
              <w:t>9. Comunicação</w:t>
            </w:r>
          </w:p>
        </w:tc>
        <w:tc>
          <w:tcPr>
            <w:tcW w:w="1842" w:type="dxa"/>
          </w:tcPr>
          <w:p>
            <w:pPr>
              <w:spacing w:after="0" w:line="240" w:lineRule="auto"/>
              <w:rPr>
                <w:rFonts w:ascii="Times New Roman" w:hAnsi="Times New Roman"/>
                <w:sz w:val="20"/>
              </w:rPr>
            </w:pPr>
            <w:r>
              <w:rPr>
                <w:rFonts w:ascii="Times New Roman" w:hAnsi="Times New Roman"/>
                <w:sz w:val="20"/>
              </w:rPr>
              <w:t>N9.1</w:t>
            </w:r>
          </w:p>
        </w:tc>
        <w:tc>
          <w:tcPr>
            <w:tcW w:w="1860" w:type="dxa"/>
          </w:tcPr>
          <w:p>
            <w:pPr>
              <w:spacing w:after="0" w:line="240" w:lineRule="auto"/>
              <w:rPr>
                <w:rFonts w:ascii="Times New Roman" w:hAnsi="Times New Roman"/>
                <w:sz w:val="20"/>
              </w:rPr>
            </w:pPr>
            <w:r>
              <w:rPr>
                <w:rFonts w:ascii="Times New Roman" w:hAnsi="Times New Roman"/>
                <w:sz w:val="20"/>
              </w:rPr>
              <w:t>9.1. Matriz de Comunicação (RACI)</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N9</w:t>
            </w:r>
          </w:p>
        </w:tc>
        <w:tc>
          <w:tcPr>
            <w:tcW w:w="1842" w:type="dxa"/>
          </w:tcPr>
          <w:p>
            <w:pPr>
              <w:spacing w:after="0" w:line="240" w:lineRule="auto"/>
              <w:rPr>
                <w:rFonts w:ascii="Times New Roman" w:hAnsi="Times New Roman"/>
                <w:sz w:val="20"/>
              </w:rPr>
            </w:pPr>
            <w:r>
              <w:rPr>
                <w:rFonts w:ascii="Times New Roman" w:hAnsi="Times New Roman"/>
                <w:sz w:val="20"/>
              </w:rPr>
              <w:t>9. Comunicação</w:t>
            </w:r>
          </w:p>
        </w:tc>
        <w:tc>
          <w:tcPr>
            <w:tcW w:w="1842" w:type="dxa"/>
          </w:tcPr>
          <w:p>
            <w:pPr>
              <w:spacing w:after="0" w:line="240" w:lineRule="auto"/>
              <w:rPr>
                <w:rFonts w:ascii="Times New Roman" w:hAnsi="Times New Roman"/>
                <w:sz w:val="20"/>
              </w:rPr>
            </w:pPr>
            <w:r>
              <w:rPr>
                <w:rFonts w:ascii="Times New Roman" w:hAnsi="Times New Roman"/>
                <w:sz w:val="20"/>
              </w:rPr>
              <w:t>N9.2</w:t>
            </w:r>
          </w:p>
        </w:tc>
        <w:tc>
          <w:tcPr>
            <w:tcW w:w="1860" w:type="dxa"/>
          </w:tcPr>
          <w:p>
            <w:pPr>
              <w:spacing w:after="0" w:line="240" w:lineRule="auto"/>
              <w:rPr>
                <w:rFonts w:ascii="Times New Roman" w:hAnsi="Times New Roman"/>
                <w:sz w:val="20"/>
              </w:rPr>
            </w:pPr>
            <w:r>
              <w:rPr>
                <w:rFonts w:ascii="Times New Roman" w:hAnsi="Times New Roman"/>
                <w:sz w:val="20"/>
              </w:rPr>
              <w:t>9.2. Canais Oficiais (GitHub, e-mail)</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N9</w:t>
            </w:r>
          </w:p>
        </w:tc>
        <w:tc>
          <w:tcPr>
            <w:tcW w:w="1842" w:type="dxa"/>
          </w:tcPr>
          <w:p>
            <w:pPr>
              <w:spacing w:after="0" w:line="240" w:lineRule="auto"/>
              <w:rPr>
                <w:rFonts w:ascii="Times New Roman" w:hAnsi="Times New Roman"/>
                <w:sz w:val="20"/>
              </w:rPr>
            </w:pPr>
            <w:r>
              <w:rPr>
                <w:rFonts w:ascii="Times New Roman" w:hAnsi="Times New Roman"/>
                <w:sz w:val="20"/>
              </w:rPr>
              <w:t>9. Comunicação</w:t>
            </w:r>
          </w:p>
        </w:tc>
        <w:tc>
          <w:tcPr>
            <w:tcW w:w="1842" w:type="dxa"/>
          </w:tcPr>
          <w:p>
            <w:pPr>
              <w:spacing w:after="0" w:line="240" w:lineRule="auto"/>
              <w:rPr>
                <w:rFonts w:ascii="Times New Roman" w:hAnsi="Times New Roman"/>
                <w:sz w:val="20"/>
              </w:rPr>
            </w:pPr>
            <w:r>
              <w:rPr>
                <w:rFonts w:ascii="Times New Roman" w:hAnsi="Times New Roman"/>
                <w:sz w:val="20"/>
              </w:rPr>
              <w:t>N9.4</w:t>
            </w:r>
          </w:p>
        </w:tc>
        <w:tc>
          <w:tcPr>
            <w:tcW w:w="1860" w:type="dxa"/>
          </w:tcPr>
          <w:p>
            <w:pPr>
              <w:spacing w:after="0" w:line="240" w:lineRule="auto"/>
              <w:rPr>
                <w:rFonts w:hint="default" w:ascii="Times New Roman" w:hAnsi="Times New Roman"/>
                <w:sz w:val="20"/>
                <w:lang w:val="en-US"/>
              </w:rPr>
            </w:pPr>
            <w:r>
              <w:rPr>
                <w:rFonts w:ascii="Times New Roman" w:hAnsi="Times New Roman"/>
                <w:sz w:val="20"/>
              </w:rPr>
              <w:t xml:space="preserve">9.4. Cerimônias com o Prof. Dr. Nivaldo </w:t>
            </w:r>
            <w:r>
              <w:rPr>
                <w:rFonts w:ascii="Times New Roman" w:hAnsi="Times New Roman"/>
                <w:sz w:val="20"/>
                <w:lang w:val="en-US"/>
              </w:rPr>
              <w:t>carleto</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N10</w:t>
            </w:r>
          </w:p>
        </w:tc>
        <w:tc>
          <w:tcPr>
            <w:tcW w:w="1842" w:type="dxa"/>
          </w:tcPr>
          <w:p>
            <w:pPr>
              <w:spacing w:after="0" w:line="240" w:lineRule="auto"/>
              <w:rPr>
                <w:rFonts w:ascii="Times New Roman" w:hAnsi="Times New Roman"/>
                <w:sz w:val="20"/>
              </w:rPr>
            </w:pPr>
            <w:r>
              <w:rPr>
                <w:rFonts w:ascii="Times New Roman" w:hAnsi="Times New Roman"/>
                <w:sz w:val="20"/>
              </w:rPr>
              <w:t>10. Base de Conhecimento</w:t>
            </w:r>
          </w:p>
        </w:tc>
        <w:tc>
          <w:tcPr>
            <w:tcW w:w="1842" w:type="dxa"/>
          </w:tcPr>
          <w:p>
            <w:pPr>
              <w:spacing w:after="0" w:line="240" w:lineRule="auto"/>
              <w:rPr>
                <w:rFonts w:ascii="Times New Roman" w:hAnsi="Times New Roman"/>
                <w:sz w:val="20"/>
              </w:rPr>
            </w:pPr>
            <w:r>
              <w:rPr>
                <w:rFonts w:ascii="Times New Roman" w:hAnsi="Times New Roman"/>
                <w:sz w:val="20"/>
              </w:rPr>
              <w:t>N10.1</w:t>
            </w:r>
          </w:p>
        </w:tc>
        <w:tc>
          <w:tcPr>
            <w:tcW w:w="1860" w:type="dxa"/>
          </w:tcPr>
          <w:p>
            <w:pPr>
              <w:spacing w:after="0" w:line="240" w:lineRule="auto"/>
              <w:rPr>
                <w:rFonts w:ascii="Times New Roman" w:hAnsi="Times New Roman"/>
                <w:sz w:val="20"/>
              </w:rPr>
            </w:pPr>
            <w:r>
              <w:rPr>
                <w:rFonts w:ascii="Times New Roman" w:hAnsi="Times New Roman"/>
                <w:sz w:val="20"/>
              </w:rPr>
              <w:t>10.1. ADRs (decisões arquiteturais)</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N10</w:t>
            </w:r>
          </w:p>
        </w:tc>
        <w:tc>
          <w:tcPr>
            <w:tcW w:w="1842" w:type="dxa"/>
          </w:tcPr>
          <w:p>
            <w:pPr>
              <w:spacing w:after="0" w:line="240" w:lineRule="auto"/>
              <w:rPr>
                <w:rFonts w:ascii="Times New Roman" w:hAnsi="Times New Roman"/>
                <w:sz w:val="20"/>
              </w:rPr>
            </w:pPr>
            <w:r>
              <w:rPr>
                <w:rFonts w:ascii="Times New Roman" w:hAnsi="Times New Roman"/>
                <w:sz w:val="20"/>
              </w:rPr>
              <w:t>10. Base de Conhecimento</w:t>
            </w:r>
          </w:p>
        </w:tc>
        <w:tc>
          <w:tcPr>
            <w:tcW w:w="1842" w:type="dxa"/>
          </w:tcPr>
          <w:p>
            <w:pPr>
              <w:spacing w:after="0" w:line="240" w:lineRule="auto"/>
              <w:rPr>
                <w:rFonts w:ascii="Times New Roman" w:hAnsi="Times New Roman"/>
                <w:sz w:val="20"/>
              </w:rPr>
            </w:pPr>
            <w:r>
              <w:rPr>
                <w:rFonts w:ascii="Times New Roman" w:hAnsi="Times New Roman"/>
                <w:sz w:val="20"/>
              </w:rPr>
              <w:t>N10.2</w:t>
            </w:r>
          </w:p>
        </w:tc>
        <w:tc>
          <w:tcPr>
            <w:tcW w:w="1860" w:type="dxa"/>
          </w:tcPr>
          <w:p>
            <w:pPr>
              <w:spacing w:after="0" w:line="240" w:lineRule="auto"/>
              <w:rPr>
                <w:rFonts w:ascii="Times New Roman" w:hAnsi="Times New Roman"/>
                <w:sz w:val="20"/>
                <w:lang w:val="en-US"/>
              </w:rPr>
            </w:pPr>
            <w:r>
              <w:rPr>
                <w:rFonts w:ascii="Times New Roman" w:hAnsi="Times New Roman"/>
                <w:sz w:val="20"/>
                <w:lang w:val="en-US"/>
              </w:rPr>
              <w:t>10.2. Lições Aprendidas Contínuas</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N10</w:t>
            </w:r>
          </w:p>
        </w:tc>
        <w:tc>
          <w:tcPr>
            <w:tcW w:w="1842" w:type="dxa"/>
          </w:tcPr>
          <w:p>
            <w:pPr>
              <w:spacing w:after="0" w:line="240" w:lineRule="auto"/>
              <w:rPr>
                <w:rFonts w:ascii="Times New Roman" w:hAnsi="Times New Roman"/>
                <w:sz w:val="20"/>
              </w:rPr>
            </w:pPr>
            <w:r>
              <w:rPr>
                <w:rFonts w:ascii="Times New Roman" w:hAnsi="Times New Roman"/>
                <w:sz w:val="20"/>
              </w:rPr>
              <w:t>10. Base de Conhecimento</w:t>
            </w:r>
          </w:p>
        </w:tc>
        <w:tc>
          <w:tcPr>
            <w:tcW w:w="1842" w:type="dxa"/>
          </w:tcPr>
          <w:p>
            <w:pPr>
              <w:spacing w:after="0" w:line="240" w:lineRule="auto"/>
              <w:rPr>
                <w:rFonts w:ascii="Times New Roman" w:hAnsi="Times New Roman"/>
                <w:sz w:val="20"/>
              </w:rPr>
            </w:pPr>
            <w:r>
              <w:rPr>
                <w:rFonts w:ascii="Times New Roman" w:hAnsi="Times New Roman"/>
                <w:sz w:val="20"/>
              </w:rPr>
              <w:t>N10.3</w:t>
            </w:r>
          </w:p>
        </w:tc>
        <w:tc>
          <w:tcPr>
            <w:tcW w:w="1860" w:type="dxa"/>
          </w:tcPr>
          <w:p>
            <w:pPr>
              <w:spacing w:after="0" w:line="240" w:lineRule="auto"/>
              <w:rPr>
                <w:rFonts w:ascii="Times New Roman" w:hAnsi="Times New Roman"/>
                <w:sz w:val="20"/>
              </w:rPr>
            </w:pPr>
            <w:r>
              <w:rPr>
                <w:rFonts w:ascii="Times New Roman" w:hAnsi="Times New Roman"/>
                <w:sz w:val="20"/>
              </w:rPr>
              <w:t>10.3. Catálogo de Prompts SDD</w:t>
            </w:r>
          </w:p>
        </w:tc>
        <w:tc>
          <w:tcPr>
            <w:tcW w:w="184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N11</w:t>
            </w:r>
          </w:p>
        </w:tc>
        <w:tc>
          <w:tcPr>
            <w:tcW w:w="1842" w:type="dxa"/>
          </w:tcPr>
          <w:p>
            <w:pPr>
              <w:spacing w:after="0" w:line="240" w:lineRule="auto"/>
              <w:rPr>
                <w:rFonts w:ascii="Times New Roman" w:hAnsi="Times New Roman"/>
                <w:sz w:val="20"/>
              </w:rPr>
            </w:pPr>
            <w:r>
              <w:rPr>
                <w:rFonts w:ascii="Times New Roman" w:hAnsi="Times New Roman"/>
                <w:sz w:val="20"/>
              </w:rPr>
              <w:t>11. Gestão de Mudanças</w:t>
            </w:r>
          </w:p>
        </w:tc>
        <w:tc>
          <w:tcPr>
            <w:tcW w:w="1842" w:type="dxa"/>
          </w:tcPr>
          <w:p>
            <w:pPr>
              <w:spacing w:after="0" w:line="240" w:lineRule="auto"/>
              <w:rPr>
                <w:rFonts w:ascii="Times New Roman" w:hAnsi="Times New Roman"/>
                <w:sz w:val="20"/>
              </w:rPr>
            </w:pPr>
            <w:r>
              <w:rPr>
                <w:rFonts w:ascii="Times New Roman" w:hAnsi="Times New Roman"/>
                <w:sz w:val="20"/>
              </w:rPr>
              <w:t>N11.1</w:t>
            </w:r>
          </w:p>
        </w:tc>
        <w:tc>
          <w:tcPr>
            <w:tcW w:w="1860" w:type="dxa"/>
          </w:tcPr>
          <w:p>
            <w:pPr>
              <w:spacing w:after="0" w:line="240" w:lineRule="auto"/>
              <w:rPr>
                <w:rFonts w:hint="default" w:ascii="Times New Roman" w:hAnsi="Times New Roman"/>
                <w:sz w:val="20"/>
                <w:lang w:val="en-US"/>
              </w:rPr>
            </w:pPr>
            <w:r>
              <w:rPr>
                <w:rFonts w:ascii="Times New Roman" w:hAnsi="Times New Roman"/>
                <w:sz w:val="20"/>
              </w:rPr>
              <w:t xml:space="preserve">11.1. CCB — Prof. Dr. Nivaldo </w:t>
            </w:r>
            <w:r>
              <w:rPr>
                <w:rFonts w:ascii="Times New Roman" w:hAnsi="Times New Roman"/>
                <w:sz w:val="20"/>
                <w:lang w:val="en-US"/>
              </w:rPr>
              <w:t>carleto</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N11</w:t>
            </w:r>
          </w:p>
        </w:tc>
        <w:tc>
          <w:tcPr>
            <w:tcW w:w="1842" w:type="dxa"/>
          </w:tcPr>
          <w:p>
            <w:pPr>
              <w:spacing w:after="0" w:line="240" w:lineRule="auto"/>
              <w:rPr>
                <w:rFonts w:ascii="Times New Roman" w:hAnsi="Times New Roman"/>
                <w:sz w:val="20"/>
              </w:rPr>
            </w:pPr>
            <w:r>
              <w:rPr>
                <w:rFonts w:ascii="Times New Roman" w:hAnsi="Times New Roman"/>
                <w:sz w:val="20"/>
              </w:rPr>
              <w:t>11. Gestão de Mudanças</w:t>
            </w:r>
          </w:p>
        </w:tc>
        <w:tc>
          <w:tcPr>
            <w:tcW w:w="1842" w:type="dxa"/>
          </w:tcPr>
          <w:p>
            <w:pPr>
              <w:spacing w:after="0" w:line="240" w:lineRule="auto"/>
              <w:rPr>
                <w:rFonts w:ascii="Times New Roman" w:hAnsi="Times New Roman"/>
                <w:sz w:val="20"/>
              </w:rPr>
            </w:pPr>
            <w:r>
              <w:rPr>
                <w:rFonts w:ascii="Times New Roman" w:hAnsi="Times New Roman"/>
                <w:sz w:val="20"/>
              </w:rPr>
              <w:t>N11.2</w:t>
            </w:r>
          </w:p>
        </w:tc>
        <w:tc>
          <w:tcPr>
            <w:tcW w:w="1860" w:type="dxa"/>
          </w:tcPr>
          <w:p>
            <w:pPr>
              <w:spacing w:after="0" w:line="240" w:lineRule="auto"/>
              <w:rPr>
                <w:rFonts w:ascii="Times New Roman" w:hAnsi="Times New Roman"/>
                <w:sz w:val="20"/>
              </w:rPr>
            </w:pPr>
            <w:r>
              <w:rPr>
                <w:rFonts w:ascii="Times New Roman" w:hAnsi="Times New Roman"/>
                <w:sz w:val="20"/>
              </w:rPr>
              <w:t>11.2. Registro de Solicitações de Mudança</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N11</w:t>
            </w:r>
          </w:p>
        </w:tc>
        <w:tc>
          <w:tcPr>
            <w:tcW w:w="1842" w:type="dxa"/>
          </w:tcPr>
          <w:p>
            <w:pPr>
              <w:spacing w:after="0" w:line="240" w:lineRule="auto"/>
              <w:rPr>
                <w:rFonts w:ascii="Times New Roman" w:hAnsi="Times New Roman"/>
                <w:sz w:val="20"/>
              </w:rPr>
            </w:pPr>
            <w:r>
              <w:rPr>
                <w:rFonts w:ascii="Times New Roman" w:hAnsi="Times New Roman"/>
                <w:sz w:val="20"/>
              </w:rPr>
              <w:t>11. Gestão de Mudanças</w:t>
            </w:r>
          </w:p>
        </w:tc>
        <w:tc>
          <w:tcPr>
            <w:tcW w:w="1842" w:type="dxa"/>
          </w:tcPr>
          <w:p>
            <w:pPr>
              <w:spacing w:after="0" w:line="240" w:lineRule="auto"/>
              <w:rPr>
                <w:rFonts w:ascii="Times New Roman" w:hAnsi="Times New Roman"/>
                <w:sz w:val="20"/>
              </w:rPr>
            </w:pPr>
            <w:r>
              <w:rPr>
                <w:rFonts w:ascii="Times New Roman" w:hAnsi="Times New Roman"/>
                <w:sz w:val="20"/>
              </w:rPr>
              <w:t>N11.3</w:t>
            </w:r>
          </w:p>
        </w:tc>
        <w:tc>
          <w:tcPr>
            <w:tcW w:w="1860" w:type="dxa"/>
          </w:tcPr>
          <w:p>
            <w:pPr>
              <w:spacing w:after="0" w:line="240" w:lineRule="auto"/>
              <w:rPr>
                <w:rFonts w:ascii="Times New Roman" w:hAnsi="Times New Roman"/>
                <w:sz w:val="20"/>
                <w:lang w:val="en-US"/>
              </w:rPr>
            </w:pPr>
            <w:r>
              <w:rPr>
                <w:rFonts w:ascii="Times New Roman" w:hAnsi="Times New Roman"/>
                <w:sz w:val="20"/>
                <w:lang w:val="en-US"/>
              </w:rPr>
              <w:t>11.3. Label change-request no GitHub</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N11</w:t>
            </w:r>
          </w:p>
        </w:tc>
        <w:tc>
          <w:tcPr>
            <w:tcW w:w="1842" w:type="dxa"/>
          </w:tcPr>
          <w:p>
            <w:pPr>
              <w:spacing w:after="0" w:line="240" w:lineRule="auto"/>
              <w:rPr>
                <w:rFonts w:ascii="Times New Roman" w:hAnsi="Times New Roman"/>
                <w:sz w:val="20"/>
              </w:rPr>
            </w:pPr>
            <w:r>
              <w:rPr>
                <w:rFonts w:ascii="Times New Roman" w:hAnsi="Times New Roman"/>
                <w:sz w:val="20"/>
              </w:rPr>
              <w:t>11. Gestão de Mudanças</w:t>
            </w:r>
          </w:p>
        </w:tc>
        <w:tc>
          <w:tcPr>
            <w:tcW w:w="1842" w:type="dxa"/>
          </w:tcPr>
          <w:p>
            <w:pPr>
              <w:spacing w:after="0" w:line="240" w:lineRule="auto"/>
              <w:rPr>
                <w:rFonts w:ascii="Times New Roman" w:hAnsi="Times New Roman"/>
                <w:sz w:val="20"/>
              </w:rPr>
            </w:pPr>
            <w:r>
              <w:rPr>
                <w:rFonts w:ascii="Times New Roman" w:hAnsi="Times New Roman"/>
                <w:sz w:val="20"/>
              </w:rPr>
              <w:t>N11.4</w:t>
            </w:r>
          </w:p>
        </w:tc>
        <w:tc>
          <w:tcPr>
            <w:tcW w:w="1860" w:type="dxa"/>
          </w:tcPr>
          <w:p>
            <w:pPr>
              <w:spacing w:after="0" w:line="240" w:lineRule="auto"/>
              <w:rPr>
                <w:rFonts w:ascii="Times New Roman" w:hAnsi="Times New Roman"/>
                <w:sz w:val="20"/>
              </w:rPr>
            </w:pPr>
            <w:r>
              <w:rPr>
                <w:rFonts w:ascii="Times New Roman" w:hAnsi="Times New Roman"/>
                <w:sz w:val="20"/>
              </w:rPr>
              <w:t>11.4. Aprovação e Versionamento</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N12</w:t>
            </w:r>
          </w:p>
        </w:tc>
        <w:tc>
          <w:tcPr>
            <w:tcW w:w="1842" w:type="dxa"/>
          </w:tcPr>
          <w:p>
            <w:pPr>
              <w:spacing w:after="0" w:line="240" w:lineRule="auto"/>
              <w:rPr>
                <w:rFonts w:ascii="Times New Roman" w:hAnsi="Times New Roman"/>
                <w:sz w:val="20"/>
              </w:rPr>
            </w:pPr>
            <w:r>
              <w:rPr>
                <w:rFonts w:ascii="Times New Roman" w:hAnsi="Times New Roman"/>
                <w:sz w:val="20"/>
              </w:rPr>
              <w:t>12. Documentação do Projeto</w:t>
            </w:r>
          </w:p>
        </w:tc>
        <w:tc>
          <w:tcPr>
            <w:tcW w:w="1842" w:type="dxa"/>
          </w:tcPr>
          <w:p>
            <w:pPr>
              <w:spacing w:after="0" w:line="240" w:lineRule="auto"/>
              <w:rPr>
                <w:rFonts w:ascii="Times New Roman" w:hAnsi="Times New Roman"/>
                <w:sz w:val="20"/>
              </w:rPr>
            </w:pPr>
            <w:r>
              <w:rPr>
                <w:rFonts w:ascii="Times New Roman" w:hAnsi="Times New Roman"/>
                <w:sz w:val="20"/>
              </w:rPr>
              <w:t>N12.1</w:t>
            </w:r>
          </w:p>
        </w:tc>
        <w:tc>
          <w:tcPr>
            <w:tcW w:w="1860" w:type="dxa"/>
          </w:tcPr>
          <w:p>
            <w:pPr>
              <w:spacing w:after="0" w:line="240" w:lineRule="auto"/>
              <w:rPr>
                <w:rFonts w:ascii="Times New Roman" w:hAnsi="Times New Roman"/>
                <w:sz w:val="20"/>
              </w:rPr>
            </w:pPr>
            <w:r>
              <w:rPr>
                <w:rFonts w:ascii="Times New Roman" w:hAnsi="Times New Roman"/>
                <w:sz w:val="20"/>
              </w:rPr>
              <w:t>12.1. Documentação Técnica (Arquitetura, APIs)</w:t>
            </w:r>
          </w:p>
        </w:tc>
        <w:tc>
          <w:tcPr>
            <w:tcW w:w="184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N12</w:t>
            </w:r>
          </w:p>
        </w:tc>
        <w:tc>
          <w:tcPr>
            <w:tcW w:w="1842" w:type="dxa"/>
          </w:tcPr>
          <w:p>
            <w:pPr>
              <w:spacing w:after="0" w:line="240" w:lineRule="auto"/>
              <w:rPr>
                <w:rFonts w:ascii="Times New Roman" w:hAnsi="Times New Roman"/>
                <w:sz w:val="20"/>
              </w:rPr>
            </w:pPr>
            <w:r>
              <w:rPr>
                <w:rFonts w:ascii="Times New Roman" w:hAnsi="Times New Roman"/>
                <w:sz w:val="20"/>
              </w:rPr>
              <w:t>12. Documentação do Projeto</w:t>
            </w:r>
          </w:p>
        </w:tc>
        <w:tc>
          <w:tcPr>
            <w:tcW w:w="1842" w:type="dxa"/>
          </w:tcPr>
          <w:p>
            <w:pPr>
              <w:spacing w:after="0" w:line="240" w:lineRule="auto"/>
              <w:rPr>
                <w:rFonts w:ascii="Times New Roman" w:hAnsi="Times New Roman"/>
                <w:sz w:val="20"/>
              </w:rPr>
            </w:pPr>
            <w:r>
              <w:rPr>
                <w:rFonts w:ascii="Times New Roman" w:hAnsi="Times New Roman"/>
                <w:sz w:val="20"/>
              </w:rPr>
              <w:t>N12.2</w:t>
            </w:r>
          </w:p>
        </w:tc>
        <w:tc>
          <w:tcPr>
            <w:tcW w:w="1860" w:type="dxa"/>
          </w:tcPr>
          <w:p>
            <w:pPr>
              <w:spacing w:after="0" w:line="240" w:lineRule="auto"/>
              <w:rPr>
                <w:rFonts w:ascii="Times New Roman" w:hAnsi="Times New Roman"/>
                <w:sz w:val="20"/>
              </w:rPr>
            </w:pPr>
            <w:r>
              <w:rPr>
                <w:rFonts w:ascii="Times New Roman" w:hAnsi="Times New Roman"/>
                <w:sz w:val="20"/>
              </w:rPr>
              <w:t>12.2. Manual do Usuário</w:t>
            </w:r>
          </w:p>
        </w:tc>
        <w:tc>
          <w:tcPr>
            <w:tcW w:w="184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N12</w:t>
            </w:r>
          </w:p>
        </w:tc>
        <w:tc>
          <w:tcPr>
            <w:tcW w:w="1842" w:type="dxa"/>
          </w:tcPr>
          <w:p>
            <w:pPr>
              <w:spacing w:after="0" w:line="240" w:lineRule="auto"/>
              <w:rPr>
                <w:rFonts w:ascii="Times New Roman" w:hAnsi="Times New Roman"/>
                <w:sz w:val="20"/>
              </w:rPr>
            </w:pPr>
            <w:r>
              <w:rPr>
                <w:rFonts w:ascii="Times New Roman" w:hAnsi="Times New Roman"/>
                <w:sz w:val="20"/>
              </w:rPr>
              <w:t>12. Documentação do Projeto</w:t>
            </w:r>
          </w:p>
        </w:tc>
        <w:tc>
          <w:tcPr>
            <w:tcW w:w="1842" w:type="dxa"/>
          </w:tcPr>
          <w:p>
            <w:pPr>
              <w:spacing w:after="0" w:line="240" w:lineRule="auto"/>
              <w:rPr>
                <w:rFonts w:ascii="Times New Roman" w:hAnsi="Times New Roman"/>
                <w:sz w:val="20"/>
              </w:rPr>
            </w:pPr>
            <w:r>
              <w:rPr>
                <w:rFonts w:ascii="Times New Roman" w:hAnsi="Times New Roman"/>
                <w:sz w:val="20"/>
              </w:rPr>
              <w:t>N12.4</w:t>
            </w:r>
          </w:p>
        </w:tc>
        <w:tc>
          <w:tcPr>
            <w:tcW w:w="1860" w:type="dxa"/>
          </w:tcPr>
          <w:p>
            <w:pPr>
              <w:spacing w:after="0" w:line="240" w:lineRule="auto"/>
              <w:rPr>
                <w:rFonts w:ascii="Times New Roman" w:hAnsi="Times New Roman"/>
                <w:sz w:val="20"/>
              </w:rPr>
            </w:pPr>
            <w:r>
              <w:rPr>
                <w:rFonts w:ascii="Times New Roman" w:hAnsi="Times New Roman"/>
                <w:sz w:val="20"/>
              </w:rPr>
              <w:t>12.4. Consolidação da Documentação Parcial</w:t>
            </w:r>
          </w:p>
        </w:tc>
        <w:tc>
          <w:tcPr>
            <w:tcW w:w="184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N13</w:t>
            </w:r>
          </w:p>
        </w:tc>
        <w:tc>
          <w:tcPr>
            <w:tcW w:w="1842" w:type="dxa"/>
          </w:tcPr>
          <w:p>
            <w:pPr>
              <w:spacing w:after="0" w:line="240" w:lineRule="auto"/>
              <w:rPr>
                <w:rFonts w:ascii="Times New Roman" w:hAnsi="Times New Roman"/>
                <w:sz w:val="20"/>
              </w:rPr>
            </w:pPr>
            <w:r>
              <w:rPr>
                <w:rFonts w:ascii="Times New Roman" w:hAnsi="Times New Roman"/>
                <w:sz w:val="20"/>
              </w:rPr>
              <w:t>13. Encerramento</w:t>
            </w:r>
          </w:p>
        </w:tc>
        <w:tc>
          <w:tcPr>
            <w:tcW w:w="1842" w:type="dxa"/>
          </w:tcPr>
          <w:p>
            <w:pPr>
              <w:spacing w:after="0" w:line="240" w:lineRule="auto"/>
              <w:rPr>
                <w:rFonts w:ascii="Times New Roman" w:hAnsi="Times New Roman"/>
                <w:sz w:val="20"/>
              </w:rPr>
            </w:pPr>
            <w:r>
              <w:rPr>
                <w:rFonts w:ascii="Times New Roman" w:hAnsi="Times New Roman"/>
                <w:sz w:val="20"/>
              </w:rPr>
              <w:t>N13.1</w:t>
            </w:r>
          </w:p>
        </w:tc>
        <w:tc>
          <w:tcPr>
            <w:tcW w:w="1860" w:type="dxa"/>
          </w:tcPr>
          <w:p>
            <w:pPr>
              <w:spacing w:after="0" w:line="240" w:lineRule="auto"/>
              <w:rPr>
                <w:rFonts w:ascii="Times New Roman" w:hAnsi="Times New Roman"/>
                <w:sz w:val="20"/>
              </w:rPr>
            </w:pPr>
            <w:r>
              <w:rPr>
                <w:rFonts w:ascii="Times New Roman" w:hAnsi="Times New Roman"/>
                <w:sz w:val="20"/>
              </w:rPr>
              <w:t>13.1. Lições Aprendidas Finais</w:t>
            </w:r>
          </w:p>
        </w:tc>
        <w:tc>
          <w:tcPr>
            <w:tcW w:w="184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N13</w:t>
            </w:r>
          </w:p>
        </w:tc>
        <w:tc>
          <w:tcPr>
            <w:tcW w:w="1842" w:type="dxa"/>
          </w:tcPr>
          <w:p>
            <w:pPr>
              <w:spacing w:after="0" w:line="240" w:lineRule="auto"/>
              <w:rPr>
                <w:rFonts w:ascii="Times New Roman" w:hAnsi="Times New Roman"/>
                <w:sz w:val="20"/>
              </w:rPr>
            </w:pPr>
            <w:r>
              <w:rPr>
                <w:rFonts w:ascii="Times New Roman" w:hAnsi="Times New Roman"/>
                <w:sz w:val="20"/>
              </w:rPr>
              <w:t>13. Encerramento</w:t>
            </w:r>
          </w:p>
        </w:tc>
        <w:tc>
          <w:tcPr>
            <w:tcW w:w="1842" w:type="dxa"/>
          </w:tcPr>
          <w:p>
            <w:pPr>
              <w:spacing w:after="0" w:line="240" w:lineRule="auto"/>
              <w:rPr>
                <w:rFonts w:ascii="Times New Roman" w:hAnsi="Times New Roman"/>
                <w:sz w:val="20"/>
              </w:rPr>
            </w:pPr>
            <w:r>
              <w:rPr>
                <w:rFonts w:ascii="Times New Roman" w:hAnsi="Times New Roman"/>
                <w:sz w:val="20"/>
              </w:rPr>
              <w:t>N13.2</w:t>
            </w:r>
          </w:p>
        </w:tc>
        <w:tc>
          <w:tcPr>
            <w:tcW w:w="1860" w:type="dxa"/>
          </w:tcPr>
          <w:p>
            <w:pPr>
              <w:spacing w:after="0" w:line="240" w:lineRule="auto"/>
              <w:rPr>
                <w:rFonts w:ascii="Times New Roman" w:hAnsi="Times New Roman"/>
                <w:sz w:val="20"/>
              </w:rPr>
            </w:pPr>
            <w:r>
              <w:rPr>
                <w:rFonts w:ascii="Times New Roman" w:hAnsi="Times New Roman"/>
                <w:sz w:val="20"/>
              </w:rPr>
              <w:t>13.2. Verificação SMART</w:t>
            </w:r>
          </w:p>
        </w:tc>
        <w:tc>
          <w:tcPr>
            <w:tcW w:w="184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N13</w:t>
            </w:r>
          </w:p>
        </w:tc>
        <w:tc>
          <w:tcPr>
            <w:tcW w:w="1842" w:type="dxa"/>
          </w:tcPr>
          <w:p>
            <w:pPr>
              <w:spacing w:after="0" w:line="240" w:lineRule="auto"/>
              <w:rPr>
                <w:rFonts w:ascii="Times New Roman" w:hAnsi="Times New Roman"/>
                <w:sz w:val="20"/>
              </w:rPr>
            </w:pPr>
            <w:r>
              <w:rPr>
                <w:rFonts w:ascii="Times New Roman" w:hAnsi="Times New Roman"/>
                <w:sz w:val="20"/>
              </w:rPr>
              <w:t>13. Encerramento</w:t>
            </w:r>
          </w:p>
        </w:tc>
        <w:tc>
          <w:tcPr>
            <w:tcW w:w="1842" w:type="dxa"/>
          </w:tcPr>
          <w:p>
            <w:pPr>
              <w:spacing w:after="0" w:line="240" w:lineRule="auto"/>
              <w:rPr>
                <w:rFonts w:ascii="Times New Roman" w:hAnsi="Times New Roman"/>
                <w:sz w:val="20"/>
              </w:rPr>
            </w:pPr>
            <w:r>
              <w:rPr>
                <w:rFonts w:ascii="Times New Roman" w:hAnsi="Times New Roman"/>
                <w:sz w:val="20"/>
              </w:rPr>
              <w:t>N13.3</w:t>
            </w:r>
          </w:p>
        </w:tc>
        <w:tc>
          <w:tcPr>
            <w:tcW w:w="1860" w:type="dxa"/>
          </w:tcPr>
          <w:p>
            <w:pPr>
              <w:spacing w:after="0" w:line="240" w:lineRule="auto"/>
              <w:rPr>
                <w:rFonts w:ascii="Times New Roman" w:hAnsi="Times New Roman"/>
                <w:sz w:val="20"/>
              </w:rPr>
            </w:pPr>
            <w:r>
              <w:rPr>
                <w:rFonts w:ascii="Times New Roman" w:hAnsi="Times New Roman"/>
                <w:sz w:val="20"/>
              </w:rPr>
              <w:t>13.3. Apresentação Final + Aceite</w:t>
            </w:r>
          </w:p>
        </w:tc>
        <w:tc>
          <w:tcPr>
            <w:tcW w:w="184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2" w:type="dxa"/>
          </w:tcPr>
          <w:p>
            <w:pPr>
              <w:spacing w:after="0" w:line="240" w:lineRule="auto"/>
              <w:rPr>
                <w:rFonts w:ascii="Times New Roman" w:hAnsi="Times New Roman"/>
                <w:sz w:val="20"/>
              </w:rPr>
            </w:pPr>
            <w:r>
              <w:rPr>
                <w:rFonts w:ascii="Times New Roman" w:hAnsi="Times New Roman"/>
                <w:sz w:val="20"/>
              </w:rPr>
              <w:t>N5</w:t>
            </w:r>
          </w:p>
        </w:tc>
        <w:tc>
          <w:tcPr>
            <w:tcW w:w="1842" w:type="dxa"/>
          </w:tcPr>
          <w:p>
            <w:pPr>
              <w:spacing w:after="0" w:line="240" w:lineRule="auto"/>
              <w:rPr>
                <w:rFonts w:ascii="Times New Roman" w:hAnsi="Times New Roman"/>
                <w:sz w:val="20"/>
              </w:rPr>
            </w:pPr>
            <w:r>
              <w:rPr>
                <w:rFonts w:ascii="Times New Roman" w:hAnsi="Times New Roman"/>
                <w:sz w:val="20"/>
              </w:rPr>
              <w:t>5. Desenvolvimento do MVP</w:t>
            </w:r>
          </w:p>
        </w:tc>
        <w:tc>
          <w:tcPr>
            <w:tcW w:w="1842" w:type="dxa"/>
          </w:tcPr>
          <w:p>
            <w:pPr>
              <w:spacing w:after="0" w:line="240" w:lineRule="auto"/>
              <w:rPr>
                <w:rFonts w:ascii="Times New Roman" w:hAnsi="Times New Roman"/>
                <w:sz w:val="20"/>
              </w:rPr>
            </w:pPr>
            <w:r>
              <w:rPr>
                <w:rFonts w:ascii="Times New Roman" w:hAnsi="Times New Roman"/>
                <w:sz w:val="20"/>
              </w:rPr>
              <w:t>N5.5</w:t>
            </w:r>
          </w:p>
        </w:tc>
        <w:tc>
          <w:tcPr>
            <w:tcW w:w="1860" w:type="dxa"/>
          </w:tcPr>
          <w:p>
            <w:pPr>
              <w:spacing w:after="0" w:line="240" w:lineRule="auto"/>
              <w:rPr>
                <w:rFonts w:ascii="Times New Roman" w:hAnsi="Times New Roman"/>
                <w:sz w:val="20"/>
              </w:rPr>
            </w:pPr>
            <w:r>
              <w:rPr>
                <w:rFonts w:ascii="Times New Roman" w:hAnsi="Times New Roman"/>
                <w:sz w:val="20"/>
              </w:rPr>
              <w:t>5.5. Integração com a API do Banco Central (PTAX)</w:t>
            </w:r>
          </w:p>
        </w:tc>
        <w:tc>
          <w:tcPr>
            <w:tcW w:w="184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spacing w:after="0" w:line="240" w:lineRule="auto"/>
              <w:rPr>
                <w:rFonts w:ascii="Times New Roman" w:hAnsi="Times New Roman"/>
                <w:sz w:val="20"/>
              </w:rPr>
            </w:pPr>
            <w:r>
              <w:rPr>
                <w:rFonts w:ascii="Times New Roman" w:hAnsi="Times New Roman"/>
                <w:sz w:val="20"/>
              </w:rPr>
              <w:t>N5</w:t>
            </w:r>
          </w:p>
        </w:tc>
        <w:tc>
          <w:tcPr>
            <w:tcW w:w="1842" w:type="dxa"/>
          </w:tcPr>
          <w:p>
            <w:pPr>
              <w:spacing w:after="0" w:line="240" w:lineRule="auto"/>
              <w:rPr>
                <w:rFonts w:ascii="Times New Roman" w:hAnsi="Times New Roman"/>
                <w:sz w:val="20"/>
              </w:rPr>
            </w:pPr>
            <w:r>
              <w:rPr>
                <w:rFonts w:ascii="Times New Roman" w:hAnsi="Times New Roman"/>
                <w:sz w:val="20"/>
              </w:rPr>
              <w:t>5. Desenvolvimento do MVP</w:t>
            </w:r>
          </w:p>
        </w:tc>
        <w:tc>
          <w:tcPr>
            <w:tcW w:w="1842" w:type="dxa"/>
          </w:tcPr>
          <w:p>
            <w:pPr>
              <w:spacing w:after="0" w:line="240" w:lineRule="auto"/>
              <w:rPr>
                <w:rFonts w:ascii="Times New Roman" w:hAnsi="Times New Roman"/>
                <w:sz w:val="20"/>
              </w:rPr>
            </w:pPr>
            <w:r>
              <w:rPr>
                <w:rFonts w:ascii="Times New Roman" w:hAnsi="Times New Roman"/>
                <w:sz w:val="20"/>
              </w:rPr>
              <w:t>N5.6</w:t>
            </w:r>
          </w:p>
        </w:tc>
        <w:tc>
          <w:tcPr>
            <w:tcW w:w="1860" w:type="dxa"/>
          </w:tcPr>
          <w:p>
            <w:pPr>
              <w:spacing w:after="0" w:line="240" w:lineRule="auto"/>
              <w:rPr>
                <w:rFonts w:ascii="Times New Roman" w:hAnsi="Times New Roman"/>
                <w:sz w:val="20"/>
              </w:rPr>
            </w:pPr>
            <w:r>
              <w:rPr>
                <w:rFonts w:ascii="Times New Roman" w:hAnsi="Times New Roman"/>
                <w:sz w:val="20"/>
              </w:rPr>
              <w:t>5.6. Motor de Comparação de Provedores e Taxas</w:t>
            </w:r>
          </w:p>
        </w:tc>
        <w:tc>
          <w:tcPr>
            <w:tcW w:w="1843" w:type="dxa"/>
          </w:tcPr>
          <w:p>
            <w:pPr>
              <w:spacing w:after="0" w:line="240" w:lineRule="auto"/>
              <w:rPr>
                <w:rFonts w:ascii="Times New Roman" w:hAnsi="Times New Roman"/>
                <w:sz w:val="20"/>
              </w:rPr>
            </w:pPr>
            <w:r>
              <w:rPr>
                <w:rFonts w:ascii="Times New Roman" w:hAnsi="Times New Roman"/>
                <w:sz w:val="20"/>
              </w:rPr>
              <w:t>MF2</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Pr>
        <w:rPr>
          <w:rFonts w:ascii="Times New Roman" w:hAnsi="Times New Roman"/>
          <w:sz w:val="24"/>
        </w:rPr>
      </w:pPr>
    </w:p>
    <w:p>
      <w:pPr>
        <w:pStyle w:val="2"/>
        <w:spacing w:before="360" w:after="360"/>
        <w:rPr>
          <w:rFonts w:cs="Times New Roman"/>
          <w:color w:val="000000"/>
        </w:rPr>
      </w:pPr>
      <w:bookmarkStart w:id="7" w:name="_Toc240734449"/>
      <w:r>
        <w:rPr>
          <w:rFonts w:cs="Times New Roman"/>
          <w:color w:val="000000"/>
        </w:rPr>
        <w:t>2.3 Gerenciamento de Custos</w:t>
      </w:r>
      <w:bookmarkEnd w:id="7"/>
    </w:p>
    <w:p>
      <w:pPr>
        <w:spacing w:after="0" w:line="360" w:lineRule="auto"/>
        <w:ind w:firstLine="708"/>
        <w:jc w:val="both"/>
        <w:rPr>
          <w:rFonts w:ascii="Times New Roman" w:hAnsi="Times New Roman"/>
          <w:color w:val="000000"/>
          <w:sz w:val="24"/>
        </w:rPr>
      </w:pPr>
      <w:r>
        <w:rPr>
          <w:rFonts w:ascii="Times New Roman" w:hAnsi="Times New Roman"/>
          <w:color w:val="000000"/>
          <w:sz w:val="24"/>
        </w:rPr>
        <w:t>O TAP estabelece, como restrição formal, a inexistência de verba institucional ou patrocínio para o projeto (orçamento de aquisições igual a zero), sendo vedada a contratação de qualquer ferramenta, biblioteca ou serviço oneroso — restrição que direcionou a seleção integral da stack tecnológica para soluções gratuitas e de código aberto (FOSS). Essa restrição, entretanto, não significa ausência de custos: o projeto consome recursos reais de energia elétrica, conectividade e serviços de assinatura de Inteligência Artificial, absorvidos diretamente pela equipe. Esta seção quantifica esses custos, considerando exclusivamente o desembolso financeiro efetivo ao longo dos três meses de execução.</w:t>
      </w:r>
    </w:p>
    <w:p>
      <w:pPr>
        <w:pStyle w:val="2"/>
        <w:spacing w:before="360" w:after="360"/>
        <w:rPr>
          <w:rFonts w:cs="Times New Roman"/>
          <w:color w:val="000000"/>
        </w:rPr>
      </w:pPr>
      <w:bookmarkStart w:id="8" w:name="_Toc240734450"/>
      <w:r>
        <w:rPr>
          <w:rFonts w:cs="Times New Roman"/>
          <w:color w:val="000000"/>
        </w:rPr>
        <w:t>2.3.1 Planilha de Custos (Tabela)</w:t>
      </w:r>
      <w:bookmarkEnd w:id="8"/>
    </w:p>
    <w:p>
      <w:pPr>
        <w:spacing w:after="0" w:line="360" w:lineRule="auto"/>
        <w:ind w:firstLine="708"/>
        <w:jc w:val="both"/>
        <w:rPr>
          <w:rFonts w:ascii="Times New Roman" w:hAnsi="Times New Roman"/>
          <w:color w:val="000000"/>
          <w:sz w:val="24"/>
        </w:rPr>
      </w:pPr>
      <w:r>
        <w:rPr>
          <w:rFonts w:ascii="Times New Roman" w:hAnsi="Times New Roman"/>
          <w:color w:val="000000"/>
          <w:sz w:val="24"/>
        </w:rPr>
        <w:t>A apuração dos custos adota as seguintes premissas declaradas: (i) horizonte de execução de 3 meses (01/09/2026 a 30/11/2026), com base de 30 dias por mês; (ii) não há remuneração financeira efetiva no âmbito acadêmico, razão pela qual o esforço da equipe não é convertido em custo monetário nesta planilha; (iii) tarifa de energia elétrica de R$ 0,80/kWh; (iv) consumo de 8 horas diárias dos equipamentos, em razão da execução local de inferência de modelos de linguagem (llama.cpp) durante as atividades de SDD; (v) uma assinatura individual de Inteligência Artificial a R$ 112,00 mensais, contratada apenas durante os dois meses de maior intensidade de desenvolvimento; e (vi) custo de conectividade estimado em R$ 100,00 mensais, valor a ser confirmado pela equipe. O Quadro 8 apresenta a planilha de custos consolidada.</w:t>
      </w:r>
    </w:p>
    <w:p>
      <w:pPr>
        <w:spacing w:before="240" w:after="60" w:line="240" w:lineRule="auto"/>
        <w:rPr>
          <w:rFonts w:ascii="Times New Roman" w:hAnsi="Times New Roman"/>
          <w:sz w:val="24"/>
        </w:rPr>
      </w:pPr>
      <w:r>
        <w:rPr>
          <w:rFonts w:ascii="Times New Roman" w:hAnsi="Times New Roman"/>
          <w:sz w:val="24"/>
        </w:rPr>
        <w:t>Quadro 8 — Planilha de custos do projeto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2544"/>
        <w:gridCol w:w="2357"/>
        <w:gridCol w:w="19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51" w:type="dxa"/>
          </w:tcPr>
          <w:p>
            <w:pPr>
              <w:spacing w:after="0" w:line="240" w:lineRule="auto"/>
              <w:rPr>
                <w:rFonts w:ascii="Times New Roman" w:hAnsi="Times New Roman"/>
                <w:sz w:val="20"/>
              </w:rPr>
            </w:pPr>
            <w:r>
              <w:rPr>
                <w:rFonts w:ascii="Times New Roman" w:hAnsi="Times New Roman"/>
                <w:sz w:val="20"/>
              </w:rPr>
              <w:t>Categoria de Custo</w:t>
            </w:r>
          </w:p>
        </w:tc>
        <w:tc>
          <w:tcPr>
            <w:tcW w:w="2544" w:type="dxa"/>
          </w:tcPr>
          <w:p>
            <w:pPr>
              <w:spacing w:after="0" w:line="240" w:lineRule="auto"/>
              <w:rPr>
                <w:rFonts w:ascii="Times New Roman" w:hAnsi="Times New Roman"/>
                <w:sz w:val="20"/>
              </w:rPr>
            </w:pPr>
            <w:r>
              <w:rPr>
                <w:rFonts w:ascii="Times New Roman" w:hAnsi="Times New Roman"/>
                <w:sz w:val="20"/>
              </w:rPr>
              <w:t>Base de Cálculo</w:t>
            </w:r>
          </w:p>
        </w:tc>
        <w:tc>
          <w:tcPr>
            <w:tcW w:w="2357" w:type="dxa"/>
          </w:tcPr>
          <w:p>
            <w:pPr>
              <w:spacing w:after="0" w:line="240" w:lineRule="auto"/>
              <w:rPr>
                <w:rFonts w:ascii="Times New Roman" w:hAnsi="Times New Roman"/>
                <w:sz w:val="20"/>
              </w:rPr>
            </w:pPr>
            <w:r>
              <w:rPr>
                <w:rFonts w:ascii="Times New Roman" w:hAnsi="Times New Roman"/>
                <w:sz w:val="20"/>
              </w:rPr>
              <w:t>Custo Mensal</w:t>
            </w:r>
          </w:p>
        </w:tc>
        <w:tc>
          <w:tcPr>
            <w:tcW w:w="1935" w:type="dxa"/>
          </w:tcPr>
          <w:p>
            <w:pPr>
              <w:spacing w:after="0" w:line="240" w:lineRule="auto"/>
              <w:rPr>
                <w:rFonts w:ascii="Times New Roman" w:hAnsi="Times New Roman"/>
                <w:sz w:val="20"/>
              </w:rPr>
            </w:pPr>
            <w:r>
              <w:rPr>
                <w:rFonts w:ascii="Times New Roman" w:hAnsi="Times New Roman"/>
                <w:sz w:val="20"/>
              </w:rPr>
              <w:t>Custo Total (3 meses)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tcPr>
          <w:p>
            <w:pPr>
              <w:spacing w:after="0" w:line="240" w:lineRule="auto"/>
              <w:rPr>
                <w:rFonts w:ascii="Times New Roman" w:hAnsi="Times New Roman"/>
                <w:sz w:val="20"/>
              </w:rPr>
            </w:pPr>
            <w:r>
              <w:rPr>
                <w:rFonts w:ascii="Times New Roman" w:hAnsi="Times New Roman"/>
                <w:sz w:val="20"/>
              </w:rPr>
              <w:t>Assinatura de IA (1 licença individual)</w:t>
            </w:r>
          </w:p>
        </w:tc>
        <w:tc>
          <w:tcPr>
            <w:tcW w:w="2544" w:type="dxa"/>
          </w:tcPr>
          <w:p>
            <w:pPr>
              <w:spacing w:after="0" w:line="240" w:lineRule="auto"/>
              <w:rPr>
                <w:rFonts w:ascii="Times New Roman" w:hAnsi="Times New Roman"/>
                <w:sz w:val="20"/>
              </w:rPr>
            </w:pPr>
            <w:r>
              <w:rPr>
                <w:rFonts w:ascii="Times New Roman" w:hAnsi="Times New Roman"/>
                <w:sz w:val="20"/>
              </w:rPr>
              <w:t>1 × R$ 112,00 por mês, incidente em 2 dos 3 meses</w:t>
            </w:r>
          </w:p>
        </w:tc>
        <w:tc>
          <w:tcPr>
            <w:tcW w:w="2357" w:type="dxa"/>
          </w:tcPr>
          <w:p>
            <w:pPr>
              <w:spacing w:after="0" w:line="240" w:lineRule="auto"/>
              <w:rPr>
                <w:rFonts w:ascii="Times New Roman" w:hAnsi="Times New Roman"/>
                <w:sz w:val="20"/>
              </w:rPr>
            </w:pPr>
            <w:r>
              <w:rPr>
                <w:rFonts w:ascii="Times New Roman" w:hAnsi="Times New Roman"/>
                <w:sz w:val="20"/>
              </w:rPr>
              <w:t>R$ 112,00</w:t>
            </w:r>
          </w:p>
        </w:tc>
        <w:tc>
          <w:tcPr>
            <w:tcW w:w="1935" w:type="dxa"/>
          </w:tcPr>
          <w:p>
            <w:pPr>
              <w:spacing w:after="0" w:line="240" w:lineRule="auto"/>
              <w:rPr>
                <w:rFonts w:ascii="Times New Roman" w:hAnsi="Times New Roman"/>
                <w:sz w:val="20"/>
              </w:rPr>
            </w:pPr>
            <w:r>
              <w:rPr>
                <w:rFonts w:ascii="Times New Roman" w:hAnsi="Times New Roman"/>
                <w:sz w:val="20"/>
              </w:rPr>
              <w:t>R$ 224,00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tcPr>
          <w:p>
            <w:pPr>
              <w:spacing w:after="0" w:line="240" w:lineRule="auto"/>
              <w:rPr>
                <w:rFonts w:ascii="Times New Roman" w:hAnsi="Times New Roman"/>
                <w:sz w:val="20"/>
              </w:rPr>
            </w:pPr>
            <w:r>
              <w:rPr>
                <w:rFonts w:ascii="Times New Roman" w:hAnsi="Times New Roman"/>
                <w:sz w:val="20"/>
              </w:rPr>
              <w:t>Energia elétrica — notebook</w:t>
            </w:r>
          </w:p>
        </w:tc>
        <w:tc>
          <w:tcPr>
            <w:tcW w:w="2544" w:type="dxa"/>
          </w:tcPr>
          <w:p>
            <w:pPr>
              <w:spacing w:after="0" w:line="240" w:lineRule="auto"/>
              <w:rPr>
                <w:rFonts w:ascii="Times New Roman" w:hAnsi="Times New Roman"/>
                <w:sz w:val="20"/>
              </w:rPr>
            </w:pPr>
            <w:r>
              <w:rPr>
                <w:rFonts w:ascii="Times New Roman" w:hAnsi="Times New Roman"/>
                <w:sz w:val="20"/>
              </w:rPr>
              <w:t>8 h/dia × 30 dias = 36 kWh × R$ 0,80/kWh</w:t>
            </w:r>
          </w:p>
        </w:tc>
        <w:tc>
          <w:tcPr>
            <w:tcW w:w="2357" w:type="dxa"/>
          </w:tcPr>
          <w:p>
            <w:pPr>
              <w:spacing w:after="0" w:line="240" w:lineRule="auto"/>
              <w:rPr>
                <w:rFonts w:ascii="Times New Roman" w:hAnsi="Times New Roman"/>
                <w:sz w:val="20"/>
              </w:rPr>
            </w:pPr>
            <w:r>
              <w:rPr>
                <w:rFonts w:ascii="Times New Roman" w:hAnsi="Times New Roman"/>
                <w:sz w:val="20"/>
              </w:rPr>
              <w:t>R$ 28,80</w:t>
            </w:r>
          </w:p>
        </w:tc>
        <w:tc>
          <w:tcPr>
            <w:tcW w:w="1935" w:type="dxa"/>
          </w:tcPr>
          <w:p>
            <w:pPr>
              <w:spacing w:after="0" w:line="240" w:lineRule="auto"/>
              <w:rPr>
                <w:rFonts w:ascii="Times New Roman" w:hAnsi="Times New Roman"/>
                <w:sz w:val="20"/>
              </w:rPr>
            </w:pPr>
            <w:r>
              <w:rPr>
                <w:rFonts w:ascii="Times New Roman" w:hAnsi="Times New Roman"/>
                <w:sz w:val="20"/>
              </w:rPr>
              <w:t>R$ 86,40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51" w:type="dxa"/>
          </w:tcPr>
          <w:p>
            <w:pPr>
              <w:spacing w:after="0" w:line="240" w:lineRule="auto"/>
              <w:rPr>
                <w:rFonts w:ascii="Times New Roman" w:hAnsi="Times New Roman"/>
                <w:sz w:val="20"/>
              </w:rPr>
            </w:pPr>
            <w:r>
              <w:rPr>
                <w:rFonts w:ascii="Times New Roman" w:hAnsi="Times New Roman"/>
                <w:sz w:val="20"/>
              </w:rPr>
              <w:t>Energia elétrica — ar-condicionado</w:t>
            </w:r>
          </w:p>
        </w:tc>
        <w:tc>
          <w:tcPr>
            <w:tcW w:w="2544" w:type="dxa"/>
          </w:tcPr>
          <w:p>
            <w:pPr>
              <w:spacing w:after="0" w:line="240" w:lineRule="auto"/>
              <w:rPr>
                <w:rFonts w:ascii="Times New Roman" w:hAnsi="Times New Roman"/>
                <w:sz w:val="20"/>
              </w:rPr>
            </w:pPr>
            <w:r>
              <w:rPr>
                <w:rFonts w:ascii="Times New Roman" w:hAnsi="Times New Roman"/>
                <w:sz w:val="20"/>
              </w:rPr>
              <w:t>8 h/dia × 30 dias = 240 kWh × R$ 0,80/kWh</w:t>
            </w:r>
          </w:p>
        </w:tc>
        <w:tc>
          <w:tcPr>
            <w:tcW w:w="2357" w:type="dxa"/>
          </w:tcPr>
          <w:p>
            <w:pPr>
              <w:spacing w:after="0" w:line="240" w:lineRule="auto"/>
              <w:rPr>
                <w:rFonts w:ascii="Times New Roman" w:hAnsi="Times New Roman"/>
                <w:sz w:val="20"/>
              </w:rPr>
            </w:pPr>
            <w:r>
              <w:rPr>
                <w:rFonts w:ascii="Times New Roman" w:hAnsi="Times New Roman"/>
                <w:sz w:val="20"/>
              </w:rPr>
              <w:t>R$ 192,00</w:t>
            </w:r>
          </w:p>
        </w:tc>
        <w:tc>
          <w:tcPr>
            <w:tcW w:w="1935" w:type="dxa"/>
          </w:tcPr>
          <w:p>
            <w:pPr>
              <w:spacing w:after="0" w:line="240" w:lineRule="auto"/>
              <w:rPr>
                <w:rFonts w:ascii="Times New Roman" w:hAnsi="Times New Roman"/>
                <w:sz w:val="20"/>
              </w:rPr>
            </w:pPr>
            <w:r>
              <w:rPr>
                <w:rFonts w:ascii="Times New Roman" w:hAnsi="Times New Roman"/>
                <w:sz w:val="20"/>
              </w:rPr>
              <w:t>R$ 576,00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tcPr>
          <w:p>
            <w:pPr>
              <w:spacing w:after="0" w:line="240" w:lineRule="auto"/>
              <w:rPr>
                <w:rFonts w:ascii="Times New Roman" w:hAnsi="Times New Roman"/>
                <w:sz w:val="20"/>
              </w:rPr>
            </w:pPr>
            <w:r>
              <w:rPr>
                <w:rFonts w:ascii="Times New Roman" w:hAnsi="Times New Roman"/>
                <w:sz w:val="20"/>
              </w:rPr>
              <w:t>Internet (banda larga) — estimado</w:t>
            </w:r>
          </w:p>
        </w:tc>
        <w:tc>
          <w:tcPr>
            <w:tcW w:w="2544" w:type="dxa"/>
          </w:tcPr>
          <w:p>
            <w:pPr>
              <w:spacing w:after="0" w:line="240" w:lineRule="auto"/>
              <w:rPr>
                <w:rFonts w:ascii="Times New Roman" w:hAnsi="Times New Roman"/>
                <w:sz w:val="20"/>
              </w:rPr>
            </w:pPr>
            <w:r>
              <w:rPr>
                <w:rFonts w:ascii="Times New Roman" w:hAnsi="Times New Roman"/>
                <w:sz w:val="20"/>
              </w:rPr>
              <w:t>Plano residencial compartilhado</w:t>
            </w:r>
          </w:p>
        </w:tc>
        <w:tc>
          <w:tcPr>
            <w:tcW w:w="2357" w:type="dxa"/>
          </w:tcPr>
          <w:p>
            <w:pPr>
              <w:spacing w:after="0" w:line="240" w:lineRule="auto"/>
              <w:rPr>
                <w:rFonts w:ascii="Times New Roman" w:hAnsi="Times New Roman"/>
                <w:sz w:val="20"/>
              </w:rPr>
            </w:pPr>
            <w:r>
              <w:rPr>
                <w:rFonts w:ascii="Times New Roman" w:hAnsi="Times New Roman"/>
                <w:sz w:val="20"/>
              </w:rPr>
              <w:t>R$ 100,00</w:t>
            </w:r>
          </w:p>
        </w:tc>
        <w:tc>
          <w:tcPr>
            <w:tcW w:w="1935" w:type="dxa"/>
          </w:tcPr>
          <w:p>
            <w:pPr>
              <w:spacing w:after="0" w:line="240" w:lineRule="auto"/>
              <w:rPr>
                <w:rFonts w:ascii="Times New Roman" w:hAnsi="Times New Roman"/>
                <w:sz w:val="20"/>
              </w:rPr>
            </w:pPr>
            <w:r>
              <w:rPr>
                <w:rFonts w:ascii="Times New Roman" w:hAnsi="Times New Roman"/>
                <w:sz w:val="20"/>
              </w:rPr>
              <w:t>R$ 300,00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tcPr>
          <w:p>
            <w:pPr>
              <w:spacing w:after="0" w:line="240" w:lineRule="auto"/>
              <w:rPr>
                <w:rFonts w:ascii="Times New Roman" w:hAnsi="Times New Roman"/>
                <w:sz w:val="20"/>
              </w:rPr>
            </w:pPr>
            <w:r>
              <w:rPr>
                <w:rFonts w:ascii="Times New Roman" w:hAnsi="Times New Roman"/>
                <w:sz w:val="20"/>
              </w:rPr>
              <w:t>Licenciamento de software (FOSS)</w:t>
            </w:r>
          </w:p>
        </w:tc>
        <w:tc>
          <w:tcPr>
            <w:tcW w:w="2544" w:type="dxa"/>
          </w:tcPr>
          <w:p>
            <w:pPr>
              <w:spacing w:after="0" w:line="240" w:lineRule="auto"/>
              <w:rPr>
                <w:rFonts w:ascii="Times New Roman" w:hAnsi="Times New Roman"/>
                <w:sz w:val="20"/>
              </w:rPr>
            </w:pPr>
            <w:r>
              <w:rPr>
                <w:rFonts w:ascii="Times New Roman" w:hAnsi="Times New Roman"/>
                <w:sz w:val="20"/>
              </w:rPr>
              <w:t>100% de licenças OSI (MIT, Apache 2.0, BSD, GPL)</w:t>
            </w:r>
          </w:p>
        </w:tc>
        <w:tc>
          <w:tcPr>
            <w:tcW w:w="2357" w:type="dxa"/>
          </w:tcPr>
          <w:p>
            <w:pPr>
              <w:spacing w:after="0" w:line="240" w:lineRule="auto"/>
              <w:rPr>
                <w:rFonts w:ascii="Times New Roman" w:hAnsi="Times New Roman"/>
                <w:sz w:val="20"/>
              </w:rPr>
            </w:pPr>
            <w:r>
              <w:rPr>
                <w:rFonts w:ascii="Times New Roman" w:hAnsi="Times New Roman"/>
                <w:sz w:val="20"/>
              </w:rPr>
              <w:t>R$ 0,00</w:t>
            </w:r>
          </w:p>
        </w:tc>
        <w:tc>
          <w:tcPr>
            <w:tcW w:w="1935" w:type="dxa"/>
          </w:tcPr>
          <w:p>
            <w:pPr>
              <w:spacing w:after="0" w:line="240" w:lineRule="auto"/>
              <w:rPr>
                <w:rFonts w:ascii="Times New Roman" w:hAnsi="Times New Roman"/>
                <w:sz w:val="20"/>
              </w:rPr>
            </w:pPr>
            <w:r>
              <w:rPr>
                <w:rFonts w:ascii="Times New Roman" w:hAnsi="Times New Roman"/>
                <w:sz w:val="20"/>
              </w:rPr>
              <w:t>R$ 0,00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tcPr>
          <w:p>
            <w:pPr>
              <w:spacing w:after="0" w:line="240" w:lineRule="auto"/>
              <w:rPr>
                <w:rFonts w:ascii="Times New Roman" w:hAnsi="Times New Roman"/>
                <w:sz w:val="20"/>
              </w:rPr>
            </w:pPr>
            <w:r>
              <w:rPr>
                <w:rFonts w:ascii="Times New Roman" w:hAnsi="Times New Roman"/>
                <w:sz w:val="20"/>
              </w:rPr>
              <w:t>Hospedagem e CI/CD</w:t>
            </w:r>
          </w:p>
        </w:tc>
        <w:tc>
          <w:tcPr>
            <w:tcW w:w="2544" w:type="dxa"/>
          </w:tcPr>
          <w:p>
            <w:pPr>
              <w:spacing w:after="0" w:line="240" w:lineRule="auto"/>
              <w:rPr>
                <w:rFonts w:ascii="Times New Roman" w:hAnsi="Times New Roman"/>
                <w:sz w:val="20"/>
              </w:rPr>
            </w:pPr>
            <w:r>
              <w:rPr>
                <w:rFonts w:ascii="Times New Roman" w:hAnsi="Times New Roman"/>
                <w:sz w:val="20"/>
              </w:rPr>
              <w:t>Planos gratuitos (GitHub Actions/Projects) e API de câmbio em free tier</w:t>
            </w:r>
          </w:p>
        </w:tc>
        <w:tc>
          <w:tcPr>
            <w:tcW w:w="2357" w:type="dxa"/>
          </w:tcPr>
          <w:p>
            <w:pPr>
              <w:spacing w:after="0" w:line="240" w:lineRule="auto"/>
              <w:rPr>
                <w:rFonts w:ascii="Times New Roman" w:hAnsi="Times New Roman"/>
                <w:sz w:val="20"/>
              </w:rPr>
            </w:pPr>
            <w:r>
              <w:rPr>
                <w:rFonts w:ascii="Times New Roman" w:hAnsi="Times New Roman"/>
                <w:sz w:val="20"/>
              </w:rPr>
              <w:t>R$ 0,00</w:t>
            </w:r>
          </w:p>
        </w:tc>
        <w:tc>
          <w:tcPr>
            <w:tcW w:w="1935" w:type="dxa"/>
          </w:tcPr>
          <w:p>
            <w:pPr>
              <w:spacing w:after="0" w:line="240" w:lineRule="auto"/>
              <w:rPr>
                <w:rFonts w:ascii="Times New Roman" w:hAnsi="Times New Roman"/>
                <w:sz w:val="20"/>
              </w:rPr>
            </w:pPr>
            <w:r>
              <w:rPr>
                <w:rFonts w:ascii="Times New Roman" w:hAnsi="Times New Roman"/>
                <w:sz w:val="20"/>
              </w:rPr>
              <w:t>R$ 0,00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51" w:type="dxa"/>
          </w:tcPr>
          <w:p>
            <w:pPr>
              <w:spacing w:after="0" w:line="240" w:lineRule="auto"/>
              <w:rPr>
                <w:rFonts w:ascii="Times New Roman" w:hAnsi="Times New Roman"/>
                <w:sz w:val="20"/>
              </w:rPr>
            </w:pPr>
            <w:r>
              <w:rPr>
                <w:rFonts w:ascii="Times New Roman" w:hAnsi="Times New Roman"/>
                <w:sz w:val="20"/>
              </w:rPr>
              <w:t>Hardware</w:t>
            </w:r>
          </w:p>
        </w:tc>
        <w:tc>
          <w:tcPr>
            <w:tcW w:w="2544" w:type="dxa"/>
          </w:tcPr>
          <w:p>
            <w:pPr>
              <w:spacing w:after="0" w:line="240" w:lineRule="auto"/>
              <w:rPr>
                <w:rFonts w:ascii="Times New Roman" w:hAnsi="Times New Roman"/>
                <w:sz w:val="20"/>
              </w:rPr>
            </w:pPr>
            <w:r>
              <w:rPr>
                <w:rFonts w:ascii="Times New Roman" w:hAnsi="Times New Roman"/>
                <w:sz w:val="20"/>
              </w:rPr>
              <w:t>Equipamentos próprios da equipe (sem aquisição)</w:t>
            </w:r>
          </w:p>
        </w:tc>
        <w:tc>
          <w:tcPr>
            <w:tcW w:w="2357" w:type="dxa"/>
          </w:tcPr>
          <w:p>
            <w:pPr>
              <w:spacing w:after="0" w:line="240" w:lineRule="auto"/>
              <w:rPr>
                <w:rFonts w:ascii="Times New Roman" w:hAnsi="Times New Roman"/>
                <w:sz w:val="20"/>
              </w:rPr>
            </w:pPr>
            <w:r>
              <w:rPr>
                <w:rFonts w:ascii="Times New Roman" w:hAnsi="Times New Roman"/>
                <w:sz w:val="20"/>
              </w:rPr>
              <w:t>R$ 0,00</w:t>
            </w:r>
          </w:p>
        </w:tc>
        <w:tc>
          <w:tcPr>
            <w:tcW w:w="1935" w:type="dxa"/>
          </w:tcPr>
          <w:p>
            <w:pPr>
              <w:spacing w:after="0" w:line="240" w:lineRule="auto"/>
              <w:rPr>
                <w:rFonts w:ascii="Times New Roman" w:hAnsi="Times New Roman"/>
                <w:sz w:val="20"/>
              </w:rPr>
            </w:pPr>
            <w:r>
              <w:rPr>
                <w:rFonts w:ascii="Times New Roman" w:hAnsi="Times New Roman"/>
                <w:sz w:val="20"/>
              </w:rPr>
              <w:t>R$ 0,00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dxa"/>
          </w:tcPr>
          <w:p>
            <w:pPr>
              <w:spacing w:after="0" w:line="240" w:lineRule="auto"/>
              <w:rPr>
                <w:rFonts w:ascii="Times New Roman" w:hAnsi="Times New Roman"/>
                <w:sz w:val="20"/>
              </w:rPr>
            </w:pPr>
            <w:r>
              <w:rPr>
                <w:rFonts w:ascii="Times New Roman" w:hAnsi="Times New Roman"/>
                <w:sz w:val="20"/>
              </w:rPr>
              <w:t>CUSTO TOTAL DO PROJETO</w:t>
            </w:r>
          </w:p>
        </w:tc>
        <w:tc>
          <w:tcPr>
            <w:tcW w:w="2544" w:type="dxa"/>
          </w:tcPr>
          <w:p>
            <w:pPr>
              <w:spacing w:after="0" w:line="240" w:lineRule="auto"/>
              <w:rPr>
                <w:rFonts w:ascii="Times New Roman" w:hAnsi="Times New Roman"/>
                <w:sz w:val="20"/>
              </w:rPr>
            </w:pPr>
            <w:r>
              <w:rPr>
                <w:rFonts w:ascii="Times New Roman" w:hAnsi="Times New Roman"/>
                <w:sz w:val="20"/>
              </w:rPr>
              <w:t>Assinaturas de IA + energia elétrica + internet</w:t>
            </w:r>
          </w:p>
        </w:tc>
        <w:tc>
          <w:tcPr>
            <w:tcW w:w="2357" w:type="dxa"/>
          </w:tcPr>
          <w:p>
            <w:pPr>
              <w:spacing w:after="0" w:line="240" w:lineRule="auto"/>
              <w:rPr>
                <w:rFonts w:ascii="Times New Roman" w:hAnsi="Times New Roman"/>
                <w:sz w:val="20"/>
              </w:rPr>
            </w:pPr>
            <w:r>
              <w:rPr>
                <w:rFonts w:ascii="Times New Roman" w:hAnsi="Times New Roman"/>
                <w:sz w:val="20"/>
              </w:rPr>
              <w:t>R$ 432,80 (meses 1–2) / R$ 320,80 (mês 3)</w:t>
            </w:r>
          </w:p>
        </w:tc>
        <w:tc>
          <w:tcPr>
            <w:tcW w:w="1935" w:type="dxa"/>
          </w:tcPr>
          <w:p>
            <w:pPr>
              <w:spacing w:after="0" w:line="240" w:lineRule="auto"/>
              <w:rPr>
                <w:rFonts w:ascii="Times New Roman" w:hAnsi="Times New Roman"/>
                <w:sz w:val="20"/>
              </w:rPr>
            </w:pPr>
            <w:r>
              <w:rPr>
                <w:rFonts w:ascii="Times New Roman" w:hAnsi="Times New Roman"/>
                <w:sz w:val="20"/>
              </w:rPr>
              <w:t>R$ 1.186,40</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Pr>
        <w:spacing w:after="0" w:line="360" w:lineRule="auto"/>
        <w:ind w:firstLine="708"/>
        <w:jc w:val="both"/>
        <w:rPr>
          <w:rFonts w:ascii="Times New Roman" w:hAnsi="Times New Roman"/>
          <w:color w:val="000000"/>
          <w:sz w:val="24"/>
        </w:rPr>
      </w:pPr>
      <w:r>
        <w:rPr>
          <w:rFonts w:ascii="Times New Roman" w:hAnsi="Times New Roman"/>
          <w:color w:val="000000"/>
          <w:sz w:val="24"/>
        </w:rPr>
        <w:t>Observa-se que o desembolso financeiro efetivo do projeto é de R$ 1.186,40 para todo o ciclo de três meses, valor absorvido integralmente pela equipe e composto pelo consumo de energia elétrica (R$ 662,40, ou 55,8% do total, dos quais R$ 576,00 referentes à climatização do ambiente de trabalho), pela conectividade (R$ 300,00) e pela assinatura de Inteligência Artificial (R$ 224,00), esta última incidente em apenas dois dos três meses. Por não haver remuneração da equipe, o orçamento do projeto resume-se a despesas recorrentes de baixo valor, o que reforça a adoção do princípio de Governança Mínima Viável (GMV) e a decisão de limitar a produção de artefatos àqueles que efetivamente agregam valor ou são exigidos academicamente.</w:t>
      </w:r>
    </w:p>
    <w:p>
      <w:pPr>
        <w:rPr>
          <w:rFonts w:ascii="Times New Roman" w:hAnsi="Times New Roman"/>
          <w:sz w:val="24"/>
        </w:rPr>
      </w:pPr>
    </w:p>
    <w:p>
      <w:pPr>
        <w:pStyle w:val="2"/>
        <w:spacing w:before="360" w:after="360"/>
        <w:rPr>
          <w:rFonts w:cs="Times New Roman"/>
          <w:color w:val="000000"/>
        </w:rPr>
      </w:pPr>
      <w:bookmarkStart w:id="9" w:name="_Toc240734451"/>
      <w:r>
        <w:rPr>
          <w:rFonts w:cs="Times New Roman"/>
          <w:color w:val="000000"/>
        </w:rPr>
        <w:t>2.4 Gerenciamento do Tempo</w:t>
      </w:r>
      <w:bookmarkEnd w:id="9"/>
    </w:p>
    <w:p>
      <w:pPr>
        <w:spacing w:after="0" w:line="360" w:lineRule="auto"/>
        <w:ind w:firstLine="708"/>
        <w:jc w:val="both"/>
        <w:rPr>
          <w:rFonts w:ascii="Times New Roman" w:hAnsi="Times New Roman"/>
          <w:color w:val="000000"/>
          <w:sz w:val="24"/>
        </w:rPr>
      </w:pPr>
      <w:r>
        <w:rPr>
          <w:rFonts w:ascii="Times New Roman" w:hAnsi="Times New Roman"/>
          <w:color w:val="000000"/>
          <w:sz w:val="24"/>
        </w:rPr>
        <w:t>O cronograma do projeto está organizado em três macro-fases temporais (MF1, MF2 e MF3), distribuídas em um horizonte de execução de três meses (01/09/2026 a 30/11/2026), com o Kanban (GitHub Projects) permitindo paralelismo entre as fases da EAP por meio de sistema pull e limites de WIP (work in progress). A EAP constitui a estrutura de decomposição do trabalho, enquanto as macro-fases correspondem a agrupamentos temporais para fins de gestão, não implicando execução estritamente sequencial das fases dentro de cada macro-fase.</w:t>
      </w:r>
    </w:p>
    <w:p>
      <w:pPr>
        <w:pStyle w:val="2"/>
        <w:spacing w:before="360" w:after="360"/>
        <w:rPr>
          <w:rFonts w:cs="Times New Roman"/>
          <w:color w:val="000000"/>
        </w:rPr>
      </w:pPr>
      <w:bookmarkStart w:id="10" w:name="_Toc240734452"/>
      <w:r>
        <w:rPr>
          <w:rFonts w:cs="Times New Roman"/>
          <w:color w:val="000000"/>
        </w:rPr>
        <w:t>2.4.1 Atividades (Tarefas)</w:t>
      </w:r>
      <w:bookmarkEnd w:id="10"/>
    </w:p>
    <w:p>
      <w:pPr>
        <w:spacing w:after="0" w:line="360" w:lineRule="auto"/>
        <w:ind w:firstLine="708"/>
        <w:jc w:val="both"/>
        <w:rPr>
          <w:rFonts w:ascii="Times New Roman" w:hAnsi="Times New Roman"/>
          <w:color w:val="000000"/>
          <w:sz w:val="24"/>
        </w:rPr>
      </w:pPr>
      <w:r>
        <w:rPr>
          <w:rFonts w:ascii="Times New Roman" w:hAnsi="Times New Roman"/>
          <w:color w:val="000000"/>
          <w:sz w:val="24"/>
        </w:rPr>
        <w:t>As atividades do projeto não coincidem com os pacotes de trabalho da EAP: em linha com o Domínio de Planejamento do PMBOK® 7ª edição, elas são derivadas dos pacotes por decomposição. Enquanto a EAP foca em entregas — expressas por substantivos —, a lista de atividades foca nas ações necessárias para gerá-las, expressas por verbos. Cada atividade derivada recebe código próprio (prefixo A), predecessoras, sucessoras, recursos alocados e restrições, e é a partir dessa lista, e não diretamente da EAP, que o cronograma é construído. A execução é gerida por quadro Kanban no GitHub Projects, com sistema puxado e limites de trabalho em progresso. O Quadro 9 exemplifica a decomposição aplicada a quatro pacotes representativos.</w:t>
      </w:r>
    </w:p>
    <w:p>
      <w:pPr>
        <w:spacing w:before="240" w:after="60" w:line="240" w:lineRule="auto"/>
        <w:rPr>
          <w:rFonts w:ascii="Times New Roman" w:hAnsi="Times New Roman"/>
          <w:sz w:val="24"/>
        </w:rPr>
      </w:pPr>
      <w:r>
        <w:rPr>
          <w:rFonts w:ascii="Times New Roman" w:hAnsi="Times New Roman"/>
          <w:sz w:val="24"/>
        </w:rPr>
        <w:t>Quadro 9 — Decomposição de pacotes de trabalho em atividades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5"/>
        <w:gridCol w:w="4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05" w:type="dxa"/>
          </w:tcPr>
          <w:p>
            <w:pPr>
              <w:spacing w:after="0" w:line="240" w:lineRule="auto"/>
              <w:rPr>
                <w:rFonts w:ascii="Times New Roman" w:hAnsi="Times New Roman"/>
                <w:sz w:val="20"/>
              </w:rPr>
            </w:pPr>
            <w:r>
              <w:rPr>
                <w:rFonts w:ascii="Times New Roman" w:hAnsi="Times New Roman"/>
                <w:sz w:val="20"/>
              </w:rPr>
              <w:t>Pacote da EAP (entrega)</w:t>
            </w:r>
          </w:p>
        </w:tc>
        <w:tc>
          <w:tcPr>
            <w:tcW w:w="4606" w:type="dxa"/>
          </w:tcPr>
          <w:p>
            <w:pPr>
              <w:spacing w:after="0" w:line="240" w:lineRule="auto"/>
              <w:rPr>
                <w:rFonts w:ascii="Times New Roman" w:hAnsi="Times New Roman"/>
                <w:sz w:val="20"/>
              </w:rPr>
            </w:pPr>
            <w:r>
              <w:rPr>
                <w:rFonts w:ascii="Times New Roman" w:hAnsi="Times New Roman"/>
                <w:sz w:val="20"/>
              </w:rPr>
              <w:t>Atividades Derivadas (ações)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5" w:type="dxa"/>
          </w:tcPr>
          <w:p>
            <w:pPr>
              <w:spacing w:after="0" w:line="240" w:lineRule="auto"/>
              <w:rPr>
                <w:rFonts w:ascii="Times New Roman" w:hAnsi="Times New Roman"/>
                <w:sz w:val="20"/>
              </w:rPr>
            </w:pPr>
            <w:r>
              <w:rPr>
                <w:rFonts w:ascii="Times New Roman" w:hAnsi="Times New Roman"/>
                <w:sz w:val="20"/>
              </w:rPr>
              <w:t>N1.2 Identificação de Stakeholders</w:t>
            </w:r>
          </w:p>
        </w:tc>
        <w:tc>
          <w:tcPr>
            <w:tcW w:w="4606" w:type="dxa"/>
          </w:tcPr>
          <w:p>
            <w:pPr>
              <w:spacing w:after="0" w:line="240" w:lineRule="auto"/>
              <w:rPr>
                <w:rFonts w:ascii="Times New Roman" w:hAnsi="Times New Roman"/>
                <w:sz w:val="20"/>
              </w:rPr>
            </w:pPr>
            <w:r>
              <w:rPr>
                <w:rFonts w:ascii="Times New Roman" w:hAnsi="Times New Roman"/>
                <w:sz w:val="20"/>
              </w:rPr>
              <w:t>A1.2.1 Listar stakeholders; A1.2.2 Classificar poder/interesse; A1.2.3 Documentar matriz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5" w:type="dxa"/>
          </w:tcPr>
          <w:p>
            <w:pPr>
              <w:spacing w:after="0" w:line="240" w:lineRule="auto"/>
              <w:rPr>
                <w:rFonts w:ascii="Times New Roman" w:hAnsi="Times New Roman"/>
                <w:sz w:val="20"/>
              </w:rPr>
            </w:pPr>
            <w:r>
              <w:rPr>
                <w:rFonts w:ascii="Times New Roman" w:hAnsi="Times New Roman"/>
                <w:sz w:val="20"/>
              </w:rPr>
              <w:t>N2.1 Requisitos Funcionais</w:t>
            </w:r>
          </w:p>
        </w:tc>
        <w:tc>
          <w:tcPr>
            <w:tcW w:w="4606" w:type="dxa"/>
          </w:tcPr>
          <w:p>
            <w:pPr>
              <w:spacing w:after="0" w:line="240" w:lineRule="auto"/>
              <w:rPr>
                <w:rFonts w:ascii="Times New Roman" w:hAnsi="Times New Roman"/>
                <w:sz w:val="20"/>
              </w:rPr>
            </w:pPr>
            <w:r>
              <w:rPr>
                <w:rFonts w:ascii="Times New Roman" w:hAnsi="Times New Roman"/>
                <w:sz w:val="20"/>
              </w:rPr>
              <w:t>A2.1.1 Entrevistar o orientador; A2.1.2 Redigir histórias de usuário; A2.1.3 Validar com o stakeholder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05" w:type="dxa"/>
          </w:tcPr>
          <w:p>
            <w:pPr>
              <w:spacing w:after="0" w:line="240" w:lineRule="auto"/>
              <w:rPr>
                <w:rFonts w:ascii="Times New Roman" w:hAnsi="Times New Roman"/>
                <w:sz w:val="20"/>
              </w:rPr>
            </w:pPr>
            <w:r>
              <w:rPr>
                <w:rFonts w:ascii="Times New Roman" w:hAnsi="Times New Roman"/>
                <w:sz w:val="20"/>
              </w:rPr>
              <w:t>N4.1 Seleção da Stack FOSS</w:t>
            </w:r>
          </w:p>
        </w:tc>
        <w:tc>
          <w:tcPr>
            <w:tcW w:w="4606" w:type="dxa"/>
          </w:tcPr>
          <w:p>
            <w:pPr>
              <w:spacing w:after="0" w:line="240" w:lineRule="auto"/>
              <w:rPr>
                <w:rFonts w:ascii="Times New Roman" w:hAnsi="Times New Roman"/>
                <w:sz w:val="20"/>
              </w:rPr>
            </w:pPr>
            <w:r>
              <w:rPr>
                <w:rFonts w:ascii="Times New Roman" w:hAnsi="Times New Roman"/>
                <w:sz w:val="20"/>
              </w:rPr>
              <w:t>A4.1.1 Pesquisar candidatos; A4.1.2 Aplicar critérios de governança mínima viável; A4.1.3 Redigir o ADR-002; A4.1.4 Validar com protótipo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5" w:type="dxa"/>
          </w:tcPr>
          <w:p>
            <w:pPr>
              <w:spacing w:after="0" w:line="240" w:lineRule="auto"/>
              <w:rPr>
                <w:rFonts w:ascii="Times New Roman" w:hAnsi="Times New Roman"/>
                <w:sz w:val="20"/>
              </w:rPr>
            </w:pPr>
            <w:r>
              <w:rPr>
                <w:rFonts w:ascii="Times New Roman" w:hAnsi="Times New Roman"/>
                <w:sz w:val="20"/>
              </w:rPr>
              <w:t>N5.1 Backend — Lógica de Negócio</w:t>
            </w:r>
          </w:p>
        </w:tc>
        <w:tc>
          <w:tcPr>
            <w:tcW w:w="4606" w:type="dxa"/>
          </w:tcPr>
          <w:p>
            <w:pPr>
              <w:spacing w:after="0" w:line="240" w:lineRule="auto"/>
              <w:rPr>
                <w:rFonts w:ascii="Times New Roman" w:hAnsi="Times New Roman"/>
                <w:sz w:val="20"/>
              </w:rPr>
            </w:pPr>
            <w:r>
              <w:rPr>
                <w:rFonts w:ascii="Times New Roman" w:hAnsi="Times New Roman"/>
                <w:sz w:val="20"/>
              </w:rPr>
              <w:t>A5.1.1 Modelar entidades de domínio (câmbio, spread, IOF); A5.1.2 Implementar serviços de cálculo; A5.1.3 Escrever testes unitários; A5.1.4 Documentar a API (OpenAPI)</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pStyle w:val="2"/>
        <w:spacing w:before="360" w:after="360"/>
        <w:rPr>
          <w:rFonts w:cs="Times New Roman"/>
          <w:color w:val="000000"/>
        </w:rPr>
      </w:pPr>
      <w:bookmarkStart w:id="11" w:name="_Toc240734453"/>
      <w:r>
        <w:rPr>
          <w:rFonts w:cs="Times New Roman"/>
          <w:color w:val="000000"/>
        </w:rPr>
        <w:t>2.4.2 Recursos</w:t>
      </w:r>
      <w:bookmarkEnd w:id="11"/>
    </w:p>
    <w:p>
      <w:pPr>
        <w:spacing w:after="0" w:line="360" w:lineRule="auto"/>
        <w:ind w:firstLine="708"/>
        <w:jc w:val="both"/>
        <w:rPr>
          <w:rFonts w:ascii="Times New Roman" w:hAnsi="Times New Roman"/>
          <w:color w:val="000000"/>
          <w:sz w:val="24"/>
        </w:rPr>
      </w:pPr>
      <w:r>
        <w:rPr>
          <w:rFonts w:ascii="Times New Roman" w:hAnsi="Times New Roman"/>
          <w:color w:val="000000"/>
          <w:sz w:val="24"/>
        </w:rPr>
        <w:t>O projeto conta com uma equipe de dois integrantes — Leonardo David Silva Setti, como gerente e desenvolvedor, e Fabricio de Lima Cabral, como desenvolvedor — que acumulam múltiplos papéis (gerência, análise, desenvolvimento, testes, documentação e DevOps), limitando a paralelização das atividades e elevando a dependência individual de cada membro. A disponibilidade planejada é de até 20 horas semanais por integrante, com monitoramento explícito de sobrecarga por meio de autorrelato semanal registrado no GitHub. Quanto aos recursos materiais, o ambiente de desenvolvimento local é uma estação de trabalho AMD Ryzen 7 8700G (8 núcleos e 16 threads, arquitetura Zen 4 com AVX-512), GPU integrada Radeon 780M, 58 GB de memória RAM efetiva e 4 TB de armazenamento, executando Arch Linux com kernel Zen. Essa configuração foi validada empiricamente como suficiente não apenas para as tarefas de desenvolvimento, modelagem e testes, mas também para a execução local de modelos de linguagem quantizados utilizados na abordagem SDD, eliminando a dependência de infraestrutura de nuvem paga. Permanece, contudo, a dependência de serviços externos gratuitos — API de cotações cambiais e hospedagem — sem garantia contratual de estabilidade ou continuidade.</w:t>
      </w:r>
    </w:p>
    <w:p>
      <w:pPr>
        <w:pStyle w:val="2"/>
        <w:spacing w:before="360" w:after="360"/>
        <w:rPr>
          <w:rFonts w:cs="Times New Roman"/>
          <w:color w:val="000000"/>
        </w:rPr>
      </w:pPr>
      <w:bookmarkStart w:id="12" w:name="_Toc240734454"/>
      <w:r>
        <w:rPr>
          <w:rFonts w:cs="Times New Roman"/>
          <w:color w:val="000000"/>
        </w:rPr>
        <w:t>2.4.3 Rede de Projeto</w:t>
      </w:r>
      <w:bookmarkEnd w:id="12"/>
    </w:p>
    <w:p>
      <w:pPr>
        <w:spacing w:after="0" w:line="360" w:lineRule="auto"/>
        <w:ind w:firstLine="708"/>
        <w:jc w:val="both"/>
        <w:rPr>
          <w:rFonts w:ascii="Times New Roman" w:hAnsi="Times New Roman"/>
          <w:color w:val="000000"/>
          <w:sz w:val="24"/>
        </w:rPr>
      </w:pPr>
      <w:r>
        <w:rPr>
          <w:rFonts w:ascii="Times New Roman" w:hAnsi="Times New Roman"/>
          <w:color w:val="000000"/>
          <w:sz w:val="24"/>
        </w:rPr>
        <w:t>A rede do projeto é derivada da lista de atividades e reflete a lógica de dependências entre as macro-fases e entre os pacotes de trabalho. Em nível macro, a rede é sequencial entre macro-fases e paralela dentro delas: a MF1 (Fundação) precede a MF2 (Construção), que precede a MF3 (Consolidação), mas as fases internas de cada macro-fase são executadas em paralelo, viabilizadas pelo sistema puxado do Kanban. As dependências obrigatórias mais relevantes são: a definição da stack FOSS (N4.1) e a configuração do ambiente (N4.2 e N4.3) precedem todo o desenvolvimento (N5); a arquitetura da solução (N3.1) e a modelagem de dados (N3.3) precedem a implementação do backend (N5.1 e N5.2); o backend de lógica de negócio (N5.1) precede o módulo de emissão de PDF (N5.4) e o frontend (N5.3); o backend de API de câmbio e cache (N5.2) precede a integração com a API do Banco Central (N5.5), que por sua vez precede o motor de comparação de provedores e taxas (N5.6); os testes (N6.1 e N6.2) dependem da conclusão dos módulos correspondentes; e a implantação (N8) depende do pipeline de integração contínua (N7.1). O diagrama de rede formal, em notação de precedência, será consolidado no Plano de Cronograma, a partir da lista completa de atividades derivadas.</w:t>
      </w:r>
    </w:p>
    <w:p>
      <w:pPr>
        <w:pStyle w:val="2"/>
        <w:spacing w:before="360" w:after="360"/>
        <w:rPr>
          <w:rFonts w:cs="Times New Roman"/>
          <w:color w:val="000000"/>
        </w:rPr>
      </w:pPr>
      <w:bookmarkStart w:id="13" w:name="_Toc240734455"/>
      <w:r>
        <w:rPr>
          <w:rFonts w:cs="Times New Roman"/>
          <w:color w:val="000000"/>
        </w:rPr>
        <w:t>2.4.4 Tabela de Precedência</w:t>
      </w:r>
      <w:bookmarkEnd w:id="13"/>
    </w:p>
    <w:p>
      <w:pPr>
        <w:spacing w:after="0" w:line="360" w:lineRule="auto"/>
        <w:ind w:firstLine="708"/>
        <w:jc w:val="both"/>
        <w:rPr>
          <w:rFonts w:ascii="Times New Roman" w:hAnsi="Times New Roman"/>
          <w:color w:val="000000"/>
          <w:sz w:val="24"/>
        </w:rPr>
      </w:pPr>
      <w:r>
        <w:rPr>
          <w:rFonts w:ascii="Times New Roman" w:hAnsi="Times New Roman"/>
          <w:color w:val="000000"/>
          <w:sz w:val="24"/>
        </w:rPr>
        <w:t>A tabela de precedência formaliza, para cada pacote de trabalho, seus predecessores imediatos e o tipo de dependência. O Quadro 10 apresenta a tabela de precedência dos pacotes do caminho principal do projeto, elaborada a partir das dependências obrigatórias identificadas; os pacotes não listados correspondem a atividades de apoio contínuo (comunicação, base de conhecimento e gestão de mudanças), executadas em paralelo ao longo de todo o ciclo e sem relação de precedência bloqueante.</w:t>
      </w:r>
    </w:p>
    <w:p>
      <w:pPr>
        <w:spacing w:before="240" w:after="60" w:line="240" w:lineRule="auto"/>
        <w:rPr>
          <w:rFonts w:ascii="Times New Roman" w:hAnsi="Times New Roman"/>
          <w:sz w:val="24"/>
        </w:rPr>
      </w:pPr>
      <w:r>
        <w:rPr>
          <w:rFonts w:ascii="Times New Roman" w:hAnsi="Times New Roman"/>
          <w:sz w:val="24"/>
        </w:rPr>
        <w:t>Quadro 10 — Tabela de precedência dos pacotes de trabalho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303"/>
        <w:gridCol w:w="2303"/>
        <w:gridCol w:w="2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2" w:type="dxa"/>
          </w:tcPr>
          <w:p>
            <w:pPr>
              <w:spacing w:after="0" w:line="240" w:lineRule="auto"/>
              <w:rPr>
                <w:rFonts w:ascii="Times New Roman" w:hAnsi="Times New Roman"/>
                <w:sz w:val="20"/>
              </w:rPr>
            </w:pPr>
            <w:r>
              <w:rPr>
                <w:rFonts w:ascii="Times New Roman" w:hAnsi="Times New Roman"/>
                <w:sz w:val="20"/>
              </w:rPr>
              <w:t>Pacote</w:t>
            </w:r>
          </w:p>
        </w:tc>
        <w:tc>
          <w:tcPr>
            <w:tcW w:w="2303" w:type="dxa"/>
          </w:tcPr>
          <w:p>
            <w:pPr>
              <w:spacing w:after="0" w:line="240" w:lineRule="auto"/>
              <w:rPr>
                <w:rFonts w:ascii="Times New Roman" w:hAnsi="Times New Roman"/>
                <w:sz w:val="20"/>
              </w:rPr>
            </w:pPr>
            <w:r>
              <w:rPr>
                <w:rFonts w:ascii="Times New Roman" w:hAnsi="Times New Roman"/>
                <w:sz w:val="20"/>
              </w:rPr>
              <w:t>Descrição</w:t>
            </w:r>
          </w:p>
        </w:tc>
        <w:tc>
          <w:tcPr>
            <w:tcW w:w="2303" w:type="dxa"/>
          </w:tcPr>
          <w:p>
            <w:pPr>
              <w:spacing w:after="0" w:line="240" w:lineRule="auto"/>
              <w:rPr>
                <w:rFonts w:ascii="Times New Roman" w:hAnsi="Times New Roman"/>
                <w:sz w:val="20"/>
              </w:rPr>
            </w:pPr>
            <w:r>
              <w:rPr>
                <w:rFonts w:ascii="Times New Roman" w:hAnsi="Times New Roman"/>
                <w:sz w:val="20"/>
              </w:rPr>
              <w:t>Predecessores Imediatos</w:t>
            </w:r>
          </w:p>
        </w:tc>
        <w:tc>
          <w:tcPr>
            <w:tcW w:w="2303" w:type="dxa"/>
          </w:tcPr>
          <w:p>
            <w:pPr>
              <w:spacing w:after="0" w:line="240" w:lineRule="auto"/>
              <w:rPr>
                <w:rFonts w:ascii="Times New Roman" w:hAnsi="Times New Roman"/>
                <w:sz w:val="20"/>
              </w:rPr>
            </w:pPr>
            <w:r>
              <w:rPr>
                <w:rFonts w:ascii="Times New Roman" w:hAnsi="Times New Roman"/>
                <w:sz w:val="20"/>
              </w:rPr>
              <w:t>Macro-Fase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N3.1</w:t>
            </w:r>
          </w:p>
        </w:tc>
        <w:tc>
          <w:tcPr>
            <w:tcW w:w="2303" w:type="dxa"/>
          </w:tcPr>
          <w:p>
            <w:pPr>
              <w:spacing w:after="0" w:line="240" w:lineRule="auto"/>
              <w:rPr>
                <w:rFonts w:ascii="Times New Roman" w:hAnsi="Times New Roman"/>
                <w:sz w:val="20"/>
              </w:rPr>
            </w:pPr>
            <w:r>
              <w:rPr>
                <w:rFonts w:ascii="Times New Roman" w:hAnsi="Times New Roman"/>
                <w:sz w:val="20"/>
              </w:rPr>
              <w:t>Arquitetura da Solução</w:t>
            </w:r>
          </w:p>
        </w:tc>
        <w:tc>
          <w:tcPr>
            <w:tcW w:w="2303" w:type="dxa"/>
          </w:tcPr>
          <w:p>
            <w:pPr>
              <w:spacing w:after="0" w:line="240" w:lineRule="auto"/>
              <w:rPr>
                <w:rFonts w:ascii="Times New Roman" w:hAnsi="Times New Roman"/>
                <w:sz w:val="20"/>
              </w:rPr>
            </w:pPr>
            <w:r>
              <w:rPr>
                <w:rFonts w:ascii="Times New Roman" w:hAnsi="Times New Roman"/>
                <w:sz w:val="20"/>
              </w:rPr>
              <w:t>N2.1, N2.2, N2.3</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N3.3</w:t>
            </w:r>
          </w:p>
        </w:tc>
        <w:tc>
          <w:tcPr>
            <w:tcW w:w="2303" w:type="dxa"/>
          </w:tcPr>
          <w:p>
            <w:pPr>
              <w:spacing w:after="0" w:line="240" w:lineRule="auto"/>
              <w:rPr>
                <w:rFonts w:ascii="Times New Roman" w:hAnsi="Times New Roman"/>
                <w:sz w:val="20"/>
              </w:rPr>
            </w:pPr>
            <w:r>
              <w:rPr>
                <w:rFonts w:ascii="Times New Roman" w:hAnsi="Times New Roman"/>
                <w:sz w:val="20"/>
              </w:rPr>
              <w:t>Modelagem de Dados (DER)</w:t>
            </w:r>
          </w:p>
        </w:tc>
        <w:tc>
          <w:tcPr>
            <w:tcW w:w="2303" w:type="dxa"/>
          </w:tcPr>
          <w:p>
            <w:pPr>
              <w:spacing w:after="0" w:line="240" w:lineRule="auto"/>
              <w:rPr>
                <w:rFonts w:ascii="Times New Roman" w:hAnsi="Times New Roman"/>
                <w:sz w:val="20"/>
              </w:rPr>
            </w:pPr>
            <w:r>
              <w:rPr>
                <w:rFonts w:ascii="Times New Roman" w:hAnsi="Times New Roman"/>
                <w:sz w:val="20"/>
              </w:rPr>
              <w:t>N3.1</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N4.1</w:t>
            </w:r>
          </w:p>
        </w:tc>
        <w:tc>
          <w:tcPr>
            <w:tcW w:w="2303" w:type="dxa"/>
          </w:tcPr>
          <w:p>
            <w:pPr>
              <w:spacing w:after="0" w:line="240" w:lineRule="auto"/>
              <w:rPr>
                <w:rFonts w:ascii="Times New Roman" w:hAnsi="Times New Roman"/>
                <w:sz w:val="20"/>
              </w:rPr>
            </w:pPr>
            <w:r>
              <w:rPr>
                <w:rFonts w:ascii="Times New Roman" w:hAnsi="Times New Roman"/>
                <w:sz w:val="20"/>
              </w:rPr>
              <w:t>Seleção e Validação da Stack FOSS</w:t>
            </w:r>
          </w:p>
        </w:tc>
        <w:tc>
          <w:tcPr>
            <w:tcW w:w="2303" w:type="dxa"/>
          </w:tcPr>
          <w:p>
            <w:pPr>
              <w:spacing w:after="0" w:line="240" w:lineRule="auto"/>
              <w:rPr>
                <w:rFonts w:ascii="Times New Roman" w:hAnsi="Times New Roman"/>
                <w:sz w:val="20"/>
              </w:rPr>
            </w:pPr>
            <w:r>
              <w:rPr>
                <w:rFonts w:ascii="Times New Roman" w:hAnsi="Times New Roman"/>
                <w:sz w:val="20"/>
              </w:rPr>
              <w:t>N3.1</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N4.2</w:t>
            </w:r>
          </w:p>
        </w:tc>
        <w:tc>
          <w:tcPr>
            <w:tcW w:w="2303" w:type="dxa"/>
          </w:tcPr>
          <w:p>
            <w:pPr>
              <w:spacing w:after="0" w:line="240" w:lineRule="auto"/>
              <w:rPr>
                <w:rFonts w:ascii="Times New Roman" w:hAnsi="Times New Roman"/>
                <w:sz w:val="20"/>
              </w:rPr>
            </w:pPr>
            <w:r>
              <w:rPr>
                <w:rFonts w:ascii="Times New Roman" w:hAnsi="Times New Roman"/>
                <w:sz w:val="20"/>
              </w:rPr>
              <w:t>Repositório Git + CI/CD</w:t>
            </w:r>
          </w:p>
        </w:tc>
        <w:tc>
          <w:tcPr>
            <w:tcW w:w="2303" w:type="dxa"/>
          </w:tcPr>
          <w:p>
            <w:pPr>
              <w:spacing w:after="0" w:line="240" w:lineRule="auto"/>
              <w:rPr>
                <w:rFonts w:ascii="Times New Roman" w:hAnsi="Times New Roman"/>
                <w:sz w:val="20"/>
              </w:rPr>
            </w:pPr>
            <w:r>
              <w:rPr>
                <w:rFonts w:ascii="Times New Roman" w:hAnsi="Times New Roman"/>
                <w:sz w:val="20"/>
              </w:rPr>
              <w:t>N4.1</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N4.3</w:t>
            </w:r>
          </w:p>
        </w:tc>
        <w:tc>
          <w:tcPr>
            <w:tcW w:w="2303" w:type="dxa"/>
          </w:tcPr>
          <w:p>
            <w:pPr>
              <w:spacing w:after="0" w:line="240" w:lineRule="auto"/>
              <w:rPr>
                <w:rFonts w:ascii="Times New Roman" w:hAnsi="Times New Roman"/>
                <w:sz w:val="20"/>
              </w:rPr>
            </w:pPr>
            <w:r>
              <w:rPr>
                <w:rFonts w:ascii="Times New Roman" w:hAnsi="Times New Roman"/>
                <w:sz w:val="20"/>
              </w:rPr>
              <w:t>Setup Local e Homologação</w:t>
            </w:r>
          </w:p>
        </w:tc>
        <w:tc>
          <w:tcPr>
            <w:tcW w:w="2303" w:type="dxa"/>
          </w:tcPr>
          <w:p>
            <w:pPr>
              <w:spacing w:after="0" w:line="240" w:lineRule="auto"/>
              <w:rPr>
                <w:rFonts w:ascii="Times New Roman" w:hAnsi="Times New Roman"/>
                <w:sz w:val="20"/>
              </w:rPr>
            </w:pPr>
            <w:r>
              <w:rPr>
                <w:rFonts w:ascii="Times New Roman" w:hAnsi="Times New Roman"/>
                <w:sz w:val="20"/>
              </w:rPr>
              <w:t>N4.2</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N5.1</w:t>
            </w:r>
          </w:p>
        </w:tc>
        <w:tc>
          <w:tcPr>
            <w:tcW w:w="2303" w:type="dxa"/>
          </w:tcPr>
          <w:p>
            <w:pPr>
              <w:spacing w:after="0" w:line="240" w:lineRule="auto"/>
              <w:rPr>
                <w:rFonts w:ascii="Times New Roman" w:hAnsi="Times New Roman"/>
                <w:sz w:val="20"/>
              </w:rPr>
            </w:pPr>
            <w:r>
              <w:rPr>
                <w:rFonts w:ascii="Times New Roman" w:hAnsi="Times New Roman"/>
                <w:sz w:val="20"/>
              </w:rPr>
              <w:t>Backend — Lógica de Negócio</w:t>
            </w:r>
          </w:p>
        </w:tc>
        <w:tc>
          <w:tcPr>
            <w:tcW w:w="2303" w:type="dxa"/>
          </w:tcPr>
          <w:p>
            <w:pPr>
              <w:spacing w:after="0" w:line="240" w:lineRule="auto"/>
              <w:rPr>
                <w:rFonts w:ascii="Times New Roman" w:hAnsi="Times New Roman"/>
                <w:sz w:val="20"/>
              </w:rPr>
            </w:pPr>
            <w:r>
              <w:rPr>
                <w:rFonts w:ascii="Times New Roman" w:hAnsi="Times New Roman"/>
                <w:sz w:val="20"/>
              </w:rPr>
              <w:t>N3.3, N4.3</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N5.2</w:t>
            </w:r>
          </w:p>
        </w:tc>
        <w:tc>
          <w:tcPr>
            <w:tcW w:w="2303" w:type="dxa"/>
          </w:tcPr>
          <w:p>
            <w:pPr>
              <w:spacing w:after="0" w:line="240" w:lineRule="auto"/>
              <w:rPr>
                <w:rFonts w:ascii="Times New Roman" w:hAnsi="Times New Roman"/>
                <w:sz w:val="20"/>
              </w:rPr>
            </w:pPr>
            <w:r>
              <w:rPr>
                <w:rFonts w:ascii="Times New Roman" w:hAnsi="Times New Roman"/>
                <w:sz w:val="20"/>
              </w:rPr>
              <w:t>Backend — API de Câmbio + Cache</w:t>
            </w:r>
          </w:p>
        </w:tc>
        <w:tc>
          <w:tcPr>
            <w:tcW w:w="2303" w:type="dxa"/>
          </w:tcPr>
          <w:p>
            <w:pPr>
              <w:spacing w:after="0" w:line="240" w:lineRule="auto"/>
              <w:rPr>
                <w:rFonts w:ascii="Times New Roman" w:hAnsi="Times New Roman"/>
                <w:sz w:val="20"/>
              </w:rPr>
            </w:pPr>
            <w:r>
              <w:rPr>
                <w:rFonts w:ascii="Times New Roman" w:hAnsi="Times New Roman"/>
                <w:sz w:val="20"/>
              </w:rPr>
              <w:t>N5.1</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N5.3</w:t>
            </w:r>
          </w:p>
        </w:tc>
        <w:tc>
          <w:tcPr>
            <w:tcW w:w="2303" w:type="dxa"/>
          </w:tcPr>
          <w:p>
            <w:pPr>
              <w:spacing w:after="0" w:line="240" w:lineRule="auto"/>
              <w:rPr>
                <w:rFonts w:ascii="Times New Roman" w:hAnsi="Times New Roman"/>
                <w:sz w:val="20"/>
              </w:rPr>
            </w:pPr>
            <w:r>
              <w:rPr>
                <w:rFonts w:ascii="Times New Roman" w:hAnsi="Times New Roman"/>
                <w:sz w:val="20"/>
              </w:rPr>
              <w:t>Frontend — Interface e Simulações</w:t>
            </w:r>
          </w:p>
        </w:tc>
        <w:tc>
          <w:tcPr>
            <w:tcW w:w="2303" w:type="dxa"/>
          </w:tcPr>
          <w:p>
            <w:pPr>
              <w:spacing w:after="0" w:line="240" w:lineRule="auto"/>
              <w:rPr>
                <w:rFonts w:ascii="Times New Roman" w:hAnsi="Times New Roman"/>
                <w:sz w:val="20"/>
              </w:rPr>
            </w:pPr>
            <w:r>
              <w:rPr>
                <w:rFonts w:ascii="Times New Roman" w:hAnsi="Times New Roman"/>
                <w:sz w:val="20"/>
              </w:rPr>
              <w:t>N3.2, N5.1</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N5.4</w:t>
            </w:r>
          </w:p>
        </w:tc>
        <w:tc>
          <w:tcPr>
            <w:tcW w:w="2303" w:type="dxa"/>
          </w:tcPr>
          <w:p>
            <w:pPr>
              <w:spacing w:after="0" w:line="240" w:lineRule="auto"/>
              <w:rPr>
                <w:rFonts w:ascii="Times New Roman" w:hAnsi="Times New Roman"/>
                <w:sz w:val="20"/>
              </w:rPr>
            </w:pPr>
            <w:r>
              <w:rPr>
                <w:rFonts w:ascii="Times New Roman" w:hAnsi="Times New Roman"/>
                <w:sz w:val="20"/>
              </w:rPr>
              <w:t>Módulo PDF (WeasyPrint)</w:t>
            </w:r>
          </w:p>
        </w:tc>
        <w:tc>
          <w:tcPr>
            <w:tcW w:w="2303" w:type="dxa"/>
          </w:tcPr>
          <w:p>
            <w:pPr>
              <w:spacing w:after="0" w:line="240" w:lineRule="auto"/>
              <w:rPr>
                <w:rFonts w:ascii="Times New Roman" w:hAnsi="Times New Roman"/>
                <w:sz w:val="20"/>
              </w:rPr>
            </w:pPr>
            <w:r>
              <w:rPr>
                <w:rFonts w:ascii="Times New Roman" w:hAnsi="Times New Roman"/>
                <w:sz w:val="20"/>
              </w:rPr>
              <w:t>N5.1</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N6.1</w:t>
            </w:r>
          </w:p>
        </w:tc>
        <w:tc>
          <w:tcPr>
            <w:tcW w:w="2303" w:type="dxa"/>
          </w:tcPr>
          <w:p>
            <w:pPr>
              <w:spacing w:after="0" w:line="240" w:lineRule="auto"/>
              <w:rPr>
                <w:rFonts w:ascii="Times New Roman" w:hAnsi="Times New Roman"/>
                <w:sz w:val="20"/>
              </w:rPr>
            </w:pPr>
            <w:r>
              <w:rPr>
                <w:rFonts w:ascii="Times New Roman" w:hAnsi="Times New Roman"/>
                <w:sz w:val="20"/>
              </w:rPr>
              <w:t>Testes Unitários/Integração (≥ 80%)</w:t>
            </w:r>
          </w:p>
        </w:tc>
        <w:tc>
          <w:tcPr>
            <w:tcW w:w="2303" w:type="dxa"/>
          </w:tcPr>
          <w:p>
            <w:pPr>
              <w:spacing w:after="0" w:line="240" w:lineRule="auto"/>
              <w:rPr>
                <w:rFonts w:ascii="Times New Roman" w:hAnsi="Times New Roman"/>
                <w:sz w:val="20"/>
              </w:rPr>
            </w:pPr>
            <w:r>
              <w:rPr>
                <w:rFonts w:ascii="Times New Roman" w:hAnsi="Times New Roman"/>
                <w:sz w:val="20"/>
              </w:rPr>
              <w:t>N5.2, N5.3, N5.4</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N6.2</w:t>
            </w:r>
          </w:p>
        </w:tc>
        <w:tc>
          <w:tcPr>
            <w:tcW w:w="2303" w:type="dxa"/>
          </w:tcPr>
          <w:p>
            <w:pPr>
              <w:spacing w:after="0" w:line="240" w:lineRule="auto"/>
              <w:rPr>
                <w:rFonts w:ascii="Times New Roman" w:hAnsi="Times New Roman"/>
                <w:sz w:val="20"/>
              </w:rPr>
            </w:pPr>
            <w:r>
              <w:rPr>
                <w:rFonts w:ascii="Times New Roman" w:hAnsi="Times New Roman"/>
                <w:sz w:val="20"/>
              </w:rPr>
              <w:t>Testes de Aceitação (UAT)</w:t>
            </w:r>
          </w:p>
        </w:tc>
        <w:tc>
          <w:tcPr>
            <w:tcW w:w="2303" w:type="dxa"/>
          </w:tcPr>
          <w:p>
            <w:pPr>
              <w:spacing w:after="0" w:line="240" w:lineRule="auto"/>
              <w:rPr>
                <w:rFonts w:ascii="Times New Roman" w:hAnsi="Times New Roman"/>
                <w:sz w:val="20"/>
              </w:rPr>
            </w:pPr>
            <w:r>
              <w:rPr>
                <w:rFonts w:ascii="Times New Roman" w:hAnsi="Times New Roman"/>
                <w:sz w:val="20"/>
              </w:rPr>
              <w:t>N6.1</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N7.1</w:t>
            </w:r>
          </w:p>
        </w:tc>
        <w:tc>
          <w:tcPr>
            <w:tcW w:w="2303" w:type="dxa"/>
          </w:tcPr>
          <w:p>
            <w:pPr>
              <w:spacing w:after="0" w:line="240" w:lineRule="auto"/>
              <w:rPr>
                <w:rFonts w:ascii="Times New Roman" w:hAnsi="Times New Roman"/>
                <w:sz w:val="20"/>
              </w:rPr>
            </w:pPr>
            <w:r>
              <w:rPr>
                <w:rFonts w:ascii="Times New Roman" w:hAnsi="Times New Roman"/>
                <w:sz w:val="20"/>
              </w:rPr>
              <w:t>Pipeline CI (lint + testes)</w:t>
            </w:r>
          </w:p>
        </w:tc>
        <w:tc>
          <w:tcPr>
            <w:tcW w:w="2303" w:type="dxa"/>
          </w:tcPr>
          <w:p>
            <w:pPr>
              <w:spacing w:after="0" w:line="240" w:lineRule="auto"/>
              <w:rPr>
                <w:rFonts w:ascii="Times New Roman" w:hAnsi="Times New Roman"/>
                <w:sz w:val="20"/>
              </w:rPr>
            </w:pPr>
            <w:r>
              <w:rPr>
                <w:rFonts w:ascii="Times New Roman" w:hAnsi="Times New Roman"/>
                <w:sz w:val="20"/>
              </w:rPr>
              <w:t>N4.2, N6.1</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N8.1</w:t>
            </w:r>
          </w:p>
        </w:tc>
        <w:tc>
          <w:tcPr>
            <w:tcW w:w="2303" w:type="dxa"/>
          </w:tcPr>
          <w:p>
            <w:pPr>
              <w:spacing w:after="0" w:line="240" w:lineRule="auto"/>
              <w:rPr>
                <w:rFonts w:ascii="Times New Roman" w:hAnsi="Times New Roman"/>
                <w:sz w:val="20"/>
              </w:rPr>
            </w:pPr>
            <w:r>
              <w:rPr>
                <w:rFonts w:ascii="Times New Roman" w:hAnsi="Times New Roman"/>
                <w:sz w:val="20"/>
              </w:rPr>
              <w:t>Publicação em Produção</w:t>
            </w:r>
          </w:p>
        </w:tc>
        <w:tc>
          <w:tcPr>
            <w:tcW w:w="2303" w:type="dxa"/>
          </w:tcPr>
          <w:p>
            <w:pPr>
              <w:spacing w:after="0" w:line="240" w:lineRule="auto"/>
              <w:rPr>
                <w:rFonts w:ascii="Times New Roman" w:hAnsi="Times New Roman"/>
                <w:sz w:val="20"/>
              </w:rPr>
            </w:pPr>
            <w:r>
              <w:rPr>
                <w:rFonts w:ascii="Times New Roman" w:hAnsi="Times New Roman"/>
                <w:sz w:val="20"/>
              </w:rPr>
              <w:t>N6.2, N7.1</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N8.2</w:t>
            </w:r>
          </w:p>
        </w:tc>
        <w:tc>
          <w:tcPr>
            <w:tcW w:w="2303" w:type="dxa"/>
          </w:tcPr>
          <w:p>
            <w:pPr>
              <w:spacing w:after="0" w:line="240" w:lineRule="auto"/>
              <w:rPr>
                <w:rFonts w:ascii="Times New Roman" w:hAnsi="Times New Roman"/>
                <w:sz w:val="20"/>
              </w:rPr>
            </w:pPr>
            <w:r>
              <w:rPr>
                <w:rFonts w:ascii="Times New Roman" w:hAnsi="Times New Roman"/>
                <w:sz w:val="20"/>
              </w:rPr>
              <w:t>Documentação de Deploy + Rollback</w:t>
            </w:r>
          </w:p>
        </w:tc>
        <w:tc>
          <w:tcPr>
            <w:tcW w:w="2303" w:type="dxa"/>
          </w:tcPr>
          <w:p>
            <w:pPr>
              <w:spacing w:after="0" w:line="240" w:lineRule="auto"/>
              <w:rPr>
                <w:rFonts w:ascii="Times New Roman" w:hAnsi="Times New Roman"/>
                <w:sz w:val="20"/>
              </w:rPr>
            </w:pPr>
            <w:r>
              <w:rPr>
                <w:rFonts w:ascii="Times New Roman" w:hAnsi="Times New Roman"/>
                <w:sz w:val="20"/>
              </w:rPr>
              <w:t>N8.1</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N12.1</w:t>
            </w:r>
          </w:p>
        </w:tc>
        <w:tc>
          <w:tcPr>
            <w:tcW w:w="2303" w:type="dxa"/>
          </w:tcPr>
          <w:p>
            <w:pPr>
              <w:spacing w:after="0" w:line="240" w:lineRule="auto"/>
              <w:rPr>
                <w:rFonts w:ascii="Times New Roman" w:hAnsi="Times New Roman"/>
                <w:sz w:val="20"/>
              </w:rPr>
            </w:pPr>
            <w:r>
              <w:rPr>
                <w:rFonts w:ascii="Times New Roman" w:hAnsi="Times New Roman"/>
                <w:sz w:val="20"/>
              </w:rPr>
              <w:t>Documentação Técnica (Arquitetura, APIs)</w:t>
            </w:r>
          </w:p>
        </w:tc>
        <w:tc>
          <w:tcPr>
            <w:tcW w:w="2303" w:type="dxa"/>
          </w:tcPr>
          <w:p>
            <w:pPr>
              <w:spacing w:after="0" w:line="240" w:lineRule="auto"/>
              <w:rPr>
                <w:rFonts w:ascii="Times New Roman" w:hAnsi="Times New Roman"/>
                <w:sz w:val="20"/>
              </w:rPr>
            </w:pPr>
            <w:r>
              <w:rPr>
                <w:rFonts w:ascii="Times New Roman" w:hAnsi="Times New Roman"/>
                <w:sz w:val="20"/>
              </w:rPr>
              <w:t>N5.2, N8.1</w:t>
            </w:r>
          </w:p>
        </w:tc>
        <w:tc>
          <w:tcPr>
            <w:tcW w:w="230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N12.4</w:t>
            </w:r>
          </w:p>
        </w:tc>
        <w:tc>
          <w:tcPr>
            <w:tcW w:w="2303" w:type="dxa"/>
          </w:tcPr>
          <w:p>
            <w:pPr>
              <w:spacing w:after="0" w:line="240" w:lineRule="auto"/>
              <w:rPr>
                <w:rFonts w:ascii="Times New Roman" w:hAnsi="Times New Roman"/>
                <w:sz w:val="20"/>
              </w:rPr>
            </w:pPr>
            <w:r>
              <w:rPr>
                <w:rFonts w:ascii="Times New Roman" w:hAnsi="Times New Roman"/>
                <w:sz w:val="20"/>
              </w:rPr>
              <w:t>Consolidação da Documentação Parcial</w:t>
            </w:r>
          </w:p>
        </w:tc>
        <w:tc>
          <w:tcPr>
            <w:tcW w:w="2303" w:type="dxa"/>
          </w:tcPr>
          <w:p>
            <w:pPr>
              <w:spacing w:after="0" w:line="240" w:lineRule="auto"/>
              <w:rPr>
                <w:rFonts w:ascii="Times New Roman" w:hAnsi="Times New Roman"/>
                <w:sz w:val="20"/>
              </w:rPr>
            </w:pPr>
            <w:r>
              <w:rPr>
                <w:rFonts w:ascii="Times New Roman" w:hAnsi="Times New Roman"/>
                <w:sz w:val="20"/>
              </w:rPr>
              <w:t>N12.1, N12.2</w:t>
            </w:r>
          </w:p>
        </w:tc>
        <w:tc>
          <w:tcPr>
            <w:tcW w:w="230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N13.2</w:t>
            </w:r>
          </w:p>
        </w:tc>
        <w:tc>
          <w:tcPr>
            <w:tcW w:w="2303" w:type="dxa"/>
          </w:tcPr>
          <w:p>
            <w:pPr>
              <w:spacing w:after="0" w:line="240" w:lineRule="auto"/>
              <w:rPr>
                <w:rFonts w:ascii="Times New Roman" w:hAnsi="Times New Roman"/>
                <w:sz w:val="20"/>
              </w:rPr>
            </w:pPr>
            <w:r>
              <w:rPr>
                <w:rFonts w:ascii="Times New Roman" w:hAnsi="Times New Roman"/>
                <w:sz w:val="20"/>
              </w:rPr>
              <w:t>Verificação SMART</w:t>
            </w:r>
          </w:p>
        </w:tc>
        <w:tc>
          <w:tcPr>
            <w:tcW w:w="2303" w:type="dxa"/>
          </w:tcPr>
          <w:p>
            <w:pPr>
              <w:spacing w:after="0" w:line="240" w:lineRule="auto"/>
              <w:rPr>
                <w:rFonts w:ascii="Times New Roman" w:hAnsi="Times New Roman"/>
                <w:sz w:val="20"/>
              </w:rPr>
            </w:pPr>
            <w:r>
              <w:rPr>
                <w:rFonts w:ascii="Times New Roman" w:hAnsi="Times New Roman"/>
                <w:sz w:val="20"/>
              </w:rPr>
              <w:t>N8.1, N12.4</w:t>
            </w:r>
          </w:p>
        </w:tc>
        <w:tc>
          <w:tcPr>
            <w:tcW w:w="230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N13.3</w:t>
            </w:r>
          </w:p>
        </w:tc>
        <w:tc>
          <w:tcPr>
            <w:tcW w:w="2303" w:type="dxa"/>
          </w:tcPr>
          <w:p>
            <w:pPr>
              <w:spacing w:after="0" w:line="240" w:lineRule="auto"/>
              <w:rPr>
                <w:rFonts w:ascii="Times New Roman" w:hAnsi="Times New Roman"/>
                <w:sz w:val="20"/>
              </w:rPr>
            </w:pPr>
            <w:r>
              <w:rPr>
                <w:rFonts w:ascii="Times New Roman" w:hAnsi="Times New Roman"/>
                <w:sz w:val="20"/>
              </w:rPr>
              <w:t>Apresentação Final + Aceite</w:t>
            </w:r>
          </w:p>
        </w:tc>
        <w:tc>
          <w:tcPr>
            <w:tcW w:w="2303" w:type="dxa"/>
          </w:tcPr>
          <w:p>
            <w:pPr>
              <w:spacing w:after="0" w:line="240" w:lineRule="auto"/>
              <w:rPr>
                <w:rFonts w:ascii="Times New Roman" w:hAnsi="Times New Roman"/>
                <w:sz w:val="20"/>
              </w:rPr>
            </w:pPr>
            <w:r>
              <w:rPr>
                <w:rFonts w:ascii="Times New Roman" w:hAnsi="Times New Roman"/>
                <w:sz w:val="20"/>
              </w:rPr>
              <w:t>N13.1, N13.2</w:t>
            </w:r>
          </w:p>
        </w:tc>
        <w:tc>
          <w:tcPr>
            <w:tcW w:w="2303" w:type="dxa"/>
          </w:tcPr>
          <w:p>
            <w:pPr>
              <w:spacing w:after="0" w:line="240" w:lineRule="auto"/>
              <w:rPr>
                <w:rFonts w:ascii="Times New Roman" w:hAnsi="Times New Roman"/>
                <w:sz w:val="20"/>
              </w:rPr>
            </w:pPr>
            <w:r>
              <w:rPr>
                <w:rFonts w:ascii="Times New Roman" w:hAnsi="Times New Roman"/>
                <w:sz w:val="20"/>
              </w:rPr>
              <w:t>MF3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N5.5</w:t>
            </w:r>
          </w:p>
        </w:tc>
        <w:tc>
          <w:tcPr>
            <w:tcW w:w="2303" w:type="dxa"/>
          </w:tcPr>
          <w:p>
            <w:pPr>
              <w:spacing w:after="0" w:line="240" w:lineRule="auto"/>
              <w:rPr>
                <w:rFonts w:ascii="Times New Roman" w:hAnsi="Times New Roman"/>
                <w:sz w:val="20"/>
              </w:rPr>
            </w:pPr>
            <w:r>
              <w:rPr>
                <w:rFonts w:ascii="Times New Roman" w:hAnsi="Times New Roman"/>
                <w:sz w:val="20"/>
              </w:rPr>
              <w:t>Integração com a API do Banco Central (PTAX)</w:t>
            </w:r>
          </w:p>
        </w:tc>
        <w:tc>
          <w:tcPr>
            <w:tcW w:w="2303" w:type="dxa"/>
          </w:tcPr>
          <w:p>
            <w:pPr>
              <w:spacing w:after="0" w:line="240" w:lineRule="auto"/>
              <w:rPr>
                <w:rFonts w:ascii="Times New Roman" w:hAnsi="Times New Roman"/>
                <w:sz w:val="20"/>
              </w:rPr>
            </w:pPr>
            <w:r>
              <w:rPr>
                <w:rFonts w:ascii="Times New Roman" w:hAnsi="Times New Roman"/>
                <w:sz w:val="20"/>
              </w:rPr>
              <w:t>N5.2</w:t>
            </w:r>
          </w:p>
        </w:tc>
        <w:tc>
          <w:tcPr>
            <w:tcW w:w="2303" w:type="dxa"/>
          </w:tcPr>
          <w:p>
            <w:pPr>
              <w:spacing w:after="0" w:line="240" w:lineRule="auto"/>
              <w:rPr>
                <w:rFonts w:ascii="Times New Roman" w:hAnsi="Times New Roman"/>
                <w:sz w:val="20"/>
              </w:rPr>
            </w:pPr>
            <w:r>
              <w:rPr>
                <w:rFonts w:ascii="Times New Roman" w:hAnsi="Times New Roman"/>
                <w:sz w:val="20"/>
              </w:rPr>
              <w:t>MF2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N5.6</w:t>
            </w:r>
          </w:p>
        </w:tc>
        <w:tc>
          <w:tcPr>
            <w:tcW w:w="2303" w:type="dxa"/>
          </w:tcPr>
          <w:p>
            <w:pPr>
              <w:spacing w:after="0" w:line="240" w:lineRule="auto"/>
              <w:rPr>
                <w:rFonts w:ascii="Times New Roman" w:hAnsi="Times New Roman"/>
                <w:sz w:val="20"/>
              </w:rPr>
            </w:pPr>
            <w:r>
              <w:rPr>
                <w:rFonts w:ascii="Times New Roman" w:hAnsi="Times New Roman"/>
                <w:sz w:val="20"/>
              </w:rPr>
              <w:t>Motor de Comparação de Provedores e Taxas</w:t>
            </w:r>
          </w:p>
        </w:tc>
        <w:tc>
          <w:tcPr>
            <w:tcW w:w="2303" w:type="dxa"/>
          </w:tcPr>
          <w:p>
            <w:pPr>
              <w:spacing w:after="0" w:line="240" w:lineRule="auto"/>
              <w:rPr>
                <w:rFonts w:ascii="Times New Roman" w:hAnsi="Times New Roman"/>
                <w:sz w:val="20"/>
              </w:rPr>
            </w:pPr>
            <w:r>
              <w:rPr>
                <w:rFonts w:ascii="Times New Roman" w:hAnsi="Times New Roman"/>
                <w:sz w:val="20"/>
              </w:rPr>
              <w:t>N5.5</w:t>
            </w:r>
          </w:p>
        </w:tc>
        <w:tc>
          <w:tcPr>
            <w:tcW w:w="2303" w:type="dxa"/>
          </w:tcPr>
          <w:p>
            <w:pPr>
              <w:spacing w:after="0" w:line="240" w:lineRule="auto"/>
              <w:rPr>
                <w:rFonts w:ascii="Times New Roman" w:hAnsi="Times New Roman"/>
                <w:sz w:val="20"/>
              </w:rPr>
            </w:pPr>
            <w:r>
              <w:rPr>
                <w:rFonts w:ascii="Times New Roman" w:hAnsi="Times New Roman"/>
                <w:sz w:val="20"/>
              </w:rPr>
              <w:t>MF2</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pStyle w:val="2"/>
        <w:spacing w:before="360" w:after="360"/>
        <w:rPr>
          <w:rFonts w:cs="Times New Roman"/>
          <w:color w:val="000000"/>
        </w:rPr>
      </w:pPr>
      <w:bookmarkStart w:id="14" w:name="_Toc240734456"/>
      <w:r>
        <w:rPr>
          <w:rFonts w:cs="Times New Roman"/>
          <w:color w:val="000000"/>
        </w:rPr>
        <w:t>2.4.5 Caminho Crítico do Projeto</w:t>
      </w:r>
      <w:bookmarkEnd w:id="14"/>
    </w:p>
    <w:p>
      <w:pPr>
        <w:spacing w:after="0" w:line="360" w:lineRule="auto"/>
        <w:ind w:firstLine="708"/>
        <w:jc w:val="both"/>
        <w:rPr>
          <w:rFonts w:ascii="Times New Roman" w:hAnsi="Times New Roman"/>
          <w:color w:val="000000"/>
          <w:sz w:val="24"/>
        </w:rPr>
      </w:pPr>
      <w:r>
        <w:rPr>
          <w:rFonts w:ascii="Times New Roman" w:hAnsi="Times New Roman"/>
          <w:color w:val="000000"/>
          <w:sz w:val="24"/>
        </w:rPr>
        <w:t>O caminho crítico do projeto — sequência de atividades sem folga, cujo atraso impacta diretamente a data de término — percorre a cadeia de dependências obrigatórias do produto: seleção e validação da stack FOSS (N4.1) → repositório e integração contínua (N4.2) → setup local e homologação (N4.3) → backend de lógica de negócio (N5.1) → backend de API de câmbio e cache (N5.2) → integração com a API do Banco Central (N5.5) → motor de comparação de provedores e taxas (N5.6) → frontend e simulações (N5.3) → módulo de emissão de PDF (N5.4) → testes unitários e de integração (N6.1) → testes de aceitação (N6.2) → publicação em produção (N8.1) → consolidação da documentação (N12.4) → apresentação final e aceite (N13.3). Essa cadeia atravessa as três macro-fases e está ancorada em dois marcos inegociáveis: a entrega documental parcial, em 22 de setembro de 2026, e a entrega final do MVP com documentação consolidada, em 30 de novembro de 2026, ao término do horizonte de três meses de execução. O plano de ação elaborado para o marco parcial estimou capacidade de 64 horas-equipe contra escopo de 46 horas, resultando em folga de 28% — indicador de que o caminho crítico, embora tenso, era viável no momento do planejamento. O cálculo formal de folgas por atividade será consolidado no Plano de Cronograma, após a decomposição completa dos 44 pacotes em atividades.</w:t>
      </w:r>
    </w:p>
    <w:p>
      <w:pPr>
        <w:pStyle w:val="2"/>
        <w:spacing w:before="360" w:after="360"/>
        <w:rPr>
          <w:rFonts w:cs="Times New Roman"/>
          <w:color w:val="000000"/>
        </w:rPr>
      </w:pPr>
      <w:bookmarkStart w:id="15" w:name="_Toc240734457"/>
      <w:r>
        <w:rPr>
          <w:rFonts w:cs="Times New Roman"/>
          <w:color w:val="000000"/>
        </w:rPr>
        <w:t>2.5 Gerenciamento da Qualidade</w:t>
      </w:r>
      <w:bookmarkEnd w:id="15"/>
    </w:p>
    <w:p>
      <w:pPr>
        <w:spacing w:after="0" w:line="360" w:lineRule="auto"/>
        <w:ind w:firstLine="708"/>
        <w:jc w:val="both"/>
        <w:rPr>
          <w:rFonts w:ascii="Times New Roman" w:hAnsi="Times New Roman"/>
          <w:color w:val="000000"/>
          <w:sz w:val="24"/>
        </w:rPr>
      </w:pPr>
      <w:r>
        <w:rPr>
          <w:rFonts w:ascii="Times New Roman" w:hAnsi="Times New Roman"/>
          <w:color w:val="000000"/>
          <w:sz w:val="24"/>
        </w:rPr>
        <w:t>O critério de qualidade do projeto exige que o código-fonte entregue atinja o índice mínimo de 80% de cobertura de testes automatizados — unitários e de integração, executados com pytest e coverage.py — e não apresente defeitos de severidade crítica ou alta no ambiente de homologação, sendo aprovado em roteiro de testes de aceitação que cubra 100% dos fluxos funcionais críticos (cálculo cambial, configuração de regimes e geração de PDF). Os critérios de qualidade foram consolidados em duas dimensões obrigatórias, em substituição ao modelo anterior de quatro dimensões simultâneas, considerado excessivo para uma equipe de duas pessoas: a dimensão de conformidade acadêmica (rastreabilidade ao TAP, aderência ao PMBOK® 7ª edição, consistência cruzada entre planos e linguagem técnica impessoal) e a dimensão de valor funcional (critérios de prontidão e de conclusão claros, código testado e implantação funcional em homologação). Uma terceira dimensão, opcional mas recomendada, trata da auditoria do processo SDD, por meio do registro dos prompts de geração, de commits com assinatura de coautoria de IA e de registros de decisão arquitetural.</w:t>
      </w:r>
    </w:p>
    <w:p>
      <w:pPr>
        <w:pStyle w:val="2"/>
        <w:spacing w:before="360" w:after="360"/>
        <w:rPr>
          <w:rFonts w:cs="Times New Roman"/>
          <w:color w:val="000000"/>
        </w:rPr>
      </w:pPr>
      <w:bookmarkStart w:id="16" w:name="_Toc240734458"/>
      <w:r>
        <w:rPr>
          <w:rFonts w:cs="Times New Roman"/>
          <w:color w:val="000000"/>
        </w:rPr>
        <w:t>2.5.1 PDCA</w:t>
      </w:r>
      <w:bookmarkEnd w:id="16"/>
    </w:p>
    <w:p>
      <w:pPr>
        <w:spacing w:after="0" w:line="360" w:lineRule="auto"/>
        <w:ind w:firstLine="708"/>
        <w:jc w:val="both"/>
        <w:rPr>
          <w:rFonts w:ascii="Times New Roman" w:hAnsi="Times New Roman"/>
          <w:color w:val="000000"/>
          <w:sz w:val="24"/>
        </w:rPr>
      </w:pPr>
      <w:r>
        <w:rPr>
          <w:rFonts w:ascii="Times New Roman" w:hAnsi="Times New Roman"/>
          <w:color w:val="000000"/>
          <w:sz w:val="24"/>
        </w:rPr>
        <w:t>O ciclo PDCA (Plan-Do-Check-Act) é adotado como ferramenta de melhoria contínua aplicada por atividade, e não ao projeto como um todo. A lista consolidada compreende doze ciclos PDCA documentados, todos vinculados a pacotes de trabalho da macro-fase de Fundação, conforme o Quadro 11. Registre-se que o Termo de Abertura do Projeto foi deliberadamente excluído dessa lista — antes composta por treze ciclos —, em razão da separação ontológica entre TAP, EAP e PDCA: sendo documento de autorização que antecede o planejamento, o TAP não é objeto de gerenciamento, e seu controle de evolução é feito por histórico de versões, não por ciclo PDCA formal. Os pacotes das macro-fases de Construção e Consolidação terão seus respectivos ciclos documentados até a entrega final.</w:t>
      </w:r>
    </w:p>
    <w:p>
      <w:pPr>
        <w:spacing w:before="240" w:after="60" w:line="240" w:lineRule="auto"/>
        <w:rPr>
          <w:rFonts w:ascii="Times New Roman" w:hAnsi="Times New Roman"/>
          <w:sz w:val="24"/>
        </w:rPr>
      </w:pPr>
      <w:r>
        <w:rPr>
          <w:rFonts w:ascii="Times New Roman" w:hAnsi="Times New Roman"/>
          <w:sz w:val="24"/>
        </w:rPr>
        <w:t>Quadro 11 — Ciclos PDCA aplicados ao projeto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303"/>
        <w:gridCol w:w="2303"/>
        <w:gridCol w:w="2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2" w:type="dxa"/>
          </w:tcPr>
          <w:p>
            <w:pPr>
              <w:spacing w:after="0" w:line="240" w:lineRule="auto"/>
              <w:rPr>
                <w:rFonts w:ascii="Times New Roman" w:hAnsi="Times New Roman"/>
                <w:sz w:val="20"/>
              </w:rPr>
            </w:pPr>
            <w:r>
              <w:rPr>
                <w:rFonts w:ascii="Times New Roman" w:hAnsi="Times New Roman"/>
                <w:sz w:val="20"/>
              </w:rPr>
              <w:t>#</w:t>
            </w:r>
          </w:p>
        </w:tc>
        <w:tc>
          <w:tcPr>
            <w:tcW w:w="2303" w:type="dxa"/>
          </w:tcPr>
          <w:p>
            <w:pPr>
              <w:spacing w:after="0" w:line="240" w:lineRule="auto"/>
              <w:rPr>
                <w:rFonts w:ascii="Times New Roman" w:hAnsi="Times New Roman"/>
                <w:sz w:val="20"/>
              </w:rPr>
            </w:pPr>
            <w:r>
              <w:rPr>
                <w:rFonts w:ascii="Times New Roman" w:hAnsi="Times New Roman"/>
                <w:sz w:val="20"/>
              </w:rPr>
              <w:t>Ciclo PDCA</w:t>
            </w:r>
          </w:p>
        </w:tc>
        <w:tc>
          <w:tcPr>
            <w:tcW w:w="2303" w:type="dxa"/>
          </w:tcPr>
          <w:p>
            <w:pPr>
              <w:spacing w:after="0" w:line="240" w:lineRule="auto"/>
              <w:rPr>
                <w:rFonts w:ascii="Times New Roman" w:hAnsi="Times New Roman"/>
                <w:sz w:val="20"/>
              </w:rPr>
            </w:pPr>
            <w:r>
              <w:rPr>
                <w:rFonts w:ascii="Times New Roman" w:hAnsi="Times New Roman"/>
                <w:sz w:val="20"/>
              </w:rPr>
              <w:t>Pacote da EAP</w:t>
            </w:r>
          </w:p>
        </w:tc>
        <w:tc>
          <w:tcPr>
            <w:tcW w:w="2303" w:type="dxa"/>
          </w:tcPr>
          <w:p>
            <w:pPr>
              <w:spacing w:after="0" w:line="240" w:lineRule="auto"/>
              <w:rPr>
                <w:rFonts w:ascii="Times New Roman" w:hAnsi="Times New Roman"/>
                <w:sz w:val="20"/>
              </w:rPr>
            </w:pPr>
            <w:r>
              <w:rPr>
                <w:rFonts w:ascii="Times New Roman" w:hAnsi="Times New Roman"/>
                <w:sz w:val="20"/>
              </w:rPr>
              <w:t>Macro-Fase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1</w:t>
            </w:r>
          </w:p>
        </w:tc>
        <w:tc>
          <w:tcPr>
            <w:tcW w:w="2303" w:type="dxa"/>
          </w:tcPr>
          <w:p>
            <w:pPr>
              <w:spacing w:after="0" w:line="240" w:lineRule="auto"/>
              <w:rPr>
                <w:rFonts w:ascii="Times New Roman" w:hAnsi="Times New Roman"/>
                <w:sz w:val="20"/>
              </w:rPr>
            </w:pPr>
            <w:r>
              <w:rPr>
                <w:rFonts w:ascii="Times New Roman" w:hAnsi="Times New Roman"/>
                <w:sz w:val="20"/>
              </w:rPr>
              <w:t>PDCA da Identificação de Stakeholders</w:t>
            </w:r>
          </w:p>
        </w:tc>
        <w:tc>
          <w:tcPr>
            <w:tcW w:w="2303" w:type="dxa"/>
          </w:tcPr>
          <w:p>
            <w:pPr>
              <w:spacing w:after="0" w:line="240" w:lineRule="auto"/>
              <w:rPr>
                <w:rFonts w:ascii="Times New Roman" w:hAnsi="Times New Roman"/>
                <w:sz w:val="20"/>
              </w:rPr>
            </w:pPr>
            <w:r>
              <w:rPr>
                <w:rFonts w:ascii="Times New Roman" w:hAnsi="Times New Roman"/>
                <w:sz w:val="20"/>
              </w:rPr>
              <w:t>N1.2</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2</w:t>
            </w:r>
          </w:p>
        </w:tc>
        <w:tc>
          <w:tcPr>
            <w:tcW w:w="2303" w:type="dxa"/>
          </w:tcPr>
          <w:p>
            <w:pPr>
              <w:spacing w:after="0" w:line="240" w:lineRule="auto"/>
              <w:rPr>
                <w:rFonts w:ascii="Times New Roman" w:hAnsi="Times New Roman"/>
                <w:sz w:val="20"/>
              </w:rPr>
            </w:pPr>
            <w:r>
              <w:rPr>
                <w:rFonts w:ascii="Times New Roman" w:hAnsi="Times New Roman"/>
                <w:sz w:val="20"/>
              </w:rPr>
              <w:t>PDCA dos Planos de Gerenciamento</w:t>
            </w:r>
          </w:p>
        </w:tc>
        <w:tc>
          <w:tcPr>
            <w:tcW w:w="2303" w:type="dxa"/>
          </w:tcPr>
          <w:p>
            <w:pPr>
              <w:spacing w:after="0" w:line="240" w:lineRule="auto"/>
              <w:rPr>
                <w:rFonts w:ascii="Times New Roman" w:hAnsi="Times New Roman"/>
                <w:sz w:val="20"/>
              </w:rPr>
            </w:pPr>
            <w:r>
              <w:rPr>
                <w:rFonts w:ascii="Times New Roman" w:hAnsi="Times New Roman"/>
                <w:sz w:val="20"/>
              </w:rPr>
              <w:t>N1.3</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3</w:t>
            </w:r>
          </w:p>
        </w:tc>
        <w:tc>
          <w:tcPr>
            <w:tcW w:w="2303" w:type="dxa"/>
          </w:tcPr>
          <w:p>
            <w:pPr>
              <w:spacing w:after="0" w:line="240" w:lineRule="auto"/>
              <w:rPr>
                <w:rFonts w:ascii="Times New Roman" w:hAnsi="Times New Roman"/>
                <w:sz w:val="20"/>
              </w:rPr>
            </w:pPr>
            <w:r>
              <w:rPr>
                <w:rFonts w:ascii="Times New Roman" w:hAnsi="Times New Roman"/>
                <w:sz w:val="20"/>
              </w:rPr>
              <w:t>PDCA do Plano da Qualidade</w:t>
            </w:r>
          </w:p>
        </w:tc>
        <w:tc>
          <w:tcPr>
            <w:tcW w:w="2303" w:type="dxa"/>
          </w:tcPr>
          <w:p>
            <w:pPr>
              <w:spacing w:after="0" w:line="240" w:lineRule="auto"/>
              <w:rPr>
                <w:rFonts w:ascii="Times New Roman" w:hAnsi="Times New Roman"/>
                <w:sz w:val="20"/>
              </w:rPr>
            </w:pPr>
            <w:r>
              <w:rPr>
                <w:rFonts w:ascii="Times New Roman" w:hAnsi="Times New Roman"/>
                <w:sz w:val="20"/>
              </w:rPr>
              <w:t>N1.4</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4</w:t>
            </w:r>
          </w:p>
        </w:tc>
        <w:tc>
          <w:tcPr>
            <w:tcW w:w="2303" w:type="dxa"/>
          </w:tcPr>
          <w:p>
            <w:pPr>
              <w:spacing w:after="0" w:line="240" w:lineRule="auto"/>
              <w:rPr>
                <w:rFonts w:ascii="Times New Roman" w:hAnsi="Times New Roman"/>
                <w:sz w:val="20"/>
              </w:rPr>
            </w:pPr>
            <w:r>
              <w:rPr>
                <w:rFonts w:ascii="Times New Roman" w:hAnsi="Times New Roman"/>
                <w:sz w:val="20"/>
              </w:rPr>
              <w:t>PDCA da Política de Licenciamento FOSS</w:t>
            </w:r>
          </w:p>
        </w:tc>
        <w:tc>
          <w:tcPr>
            <w:tcW w:w="2303" w:type="dxa"/>
          </w:tcPr>
          <w:p>
            <w:pPr>
              <w:spacing w:after="0" w:line="240" w:lineRule="auto"/>
              <w:rPr>
                <w:rFonts w:ascii="Times New Roman" w:hAnsi="Times New Roman"/>
                <w:sz w:val="20"/>
              </w:rPr>
            </w:pPr>
            <w:r>
              <w:rPr>
                <w:rFonts w:ascii="Times New Roman" w:hAnsi="Times New Roman"/>
                <w:sz w:val="20"/>
              </w:rPr>
              <w:t>N1.5</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5</w:t>
            </w:r>
          </w:p>
        </w:tc>
        <w:tc>
          <w:tcPr>
            <w:tcW w:w="2303" w:type="dxa"/>
          </w:tcPr>
          <w:p>
            <w:pPr>
              <w:spacing w:after="0" w:line="240" w:lineRule="auto"/>
              <w:rPr>
                <w:rFonts w:ascii="Times New Roman" w:hAnsi="Times New Roman"/>
                <w:sz w:val="20"/>
              </w:rPr>
            </w:pPr>
            <w:r>
              <w:rPr>
                <w:rFonts w:ascii="Times New Roman" w:hAnsi="Times New Roman"/>
                <w:sz w:val="20"/>
              </w:rPr>
              <w:t>PDCA do Backlog e do Kanban</w:t>
            </w:r>
          </w:p>
        </w:tc>
        <w:tc>
          <w:tcPr>
            <w:tcW w:w="2303" w:type="dxa"/>
          </w:tcPr>
          <w:p>
            <w:pPr>
              <w:spacing w:after="0" w:line="240" w:lineRule="auto"/>
              <w:rPr>
                <w:rFonts w:ascii="Times New Roman" w:hAnsi="Times New Roman"/>
                <w:sz w:val="20"/>
              </w:rPr>
            </w:pPr>
            <w:r>
              <w:rPr>
                <w:rFonts w:ascii="Times New Roman" w:hAnsi="Times New Roman"/>
                <w:sz w:val="20"/>
              </w:rPr>
              <w:t>N1.6</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6</w:t>
            </w:r>
          </w:p>
        </w:tc>
        <w:tc>
          <w:tcPr>
            <w:tcW w:w="2303" w:type="dxa"/>
          </w:tcPr>
          <w:p>
            <w:pPr>
              <w:spacing w:after="0" w:line="240" w:lineRule="auto"/>
              <w:rPr>
                <w:rFonts w:ascii="Times New Roman" w:hAnsi="Times New Roman"/>
                <w:sz w:val="20"/>
              </w:rPr>
            </w:pPr>
            <w:r>
              <w:rPr>
                <w:rFonts w:ascii="Times New Roman" w:hAnsi="Times New Roman"/>
                <w:sz w:val="20"/>
              </w:rPr>
              <w:t>PDCA dos Requisitos Funcionais</w:t>
            </w:r>
          </w:p>
        </w:tc>
        <w:tc>
          <w:tcPr>
            <w:tcW w:w="2303" w:type="dxa"/>
          </w:tcPr>
          <w:p>
            <w:pPr>
              <w:spacing w:after="0" w:line="240" w:lineRule="auto"/>
              <w:rPr>
                <w:rFonts w:ascii="Times New Roman" w:hAnsi="Times New Roman"/>
                <w:sz w:val="20"/>
              </w:rPr>
            </w:pPr>
            <w:r>
              <w:rPr>
                <w:rFonts w:ascii="Times New Roman" w:hAnsi="Times New Roman"/>
                <w:sz w:val="20"/>
              </w:rPr>
              <w:t>N2.1</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7</w:t>
            </w:r>
          </w:p>
        </w:tc>
        <w:tc>
          <w:tcPr>
            <w:tcW w:w="2303" w:type="dxa"/>
          </w:tcPr>
          <w:p>
            <w:pPr>
              <w:spacing w:after="0" w:line="240" w:lineRule="auto"/>
              <w:rPr>
                <w:rFonts w:ascii="Times New Roman" w:hAnsi="Times New Roman"/>
                <w:sz w:val="20"/>
              </w:rPr>
            </w:pPr>
            <w:r>
              <w:rPr>
                <w:rFonts w:ascii="Times New Roman" w:hAnsi="Times New Roman"/>
                <w:sz w:val="20"/>
              </w:rPr>
              <w:t>PDCA dos Requisitos Não Funcionais</w:t>
            </w:r>
          </w:p>
        </w:tc>
        <w:tc>
          <w:tcPr>
            <w:tcW w:w="2303" w:type="dxa"/>
          </w:tcPr>
          <w:p>
            <w:pPr>
              <w:spacing w:after="0" w:line="240" w:lineRule="auto"/>
              <w:rPr>
                <w:rFonts w:ascii="Times New Roman" w:hAnsi="Times New Roman"/>
                <w:sz w:val="20"/>
              </w:rPr>
            </w:pPr>
            <w:r>
              <w:rPr>
                <w:rFonts w:ascii="Times New Roman" w:hAnsi="Times New Roman"/>
                <w:sz w:val="20"/>
              </w:rPr>
              <w:t>N2.2</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8</w:t>
            </w:r>
          </w:p>
        </w:tc>
        <w:tc>
          <w:tcPr>
            <w:tcW w:w="2303" w:type="dxa"/>
          </w:tcPr>
          <w:p>
            <w:pPr>
              <w:spacing w:after="0" w:line="240" w:lineRule="auto"/>
              <w:rPr>
                <w:rFonts w:ascii="Times New Roman" w:hAnsi="Times New Roman"/>
                <w:sz w:val="20"/>
              </w:rPr>
            </w:pPr>
            <w:r>
              <w:rPr>
                <w:rFonts w:ascii="Times New Roman" w:hAnsi="Times New Roman"/>
                <w:sz w:val="20"/>
              </w:rPr>
              <w:t>PDCA dos Casos de Uso</w:t>
            </w:r>
          </w:p>
        </w:tc>
        <w:tc>
          <w:tcPr>
            <w:tcW w:w="2303" w:type="dxa"/>
          </w:tcPr>
          <w:p>
            <w:pPr>
              <w:spacing w:after="0" w:line="240" w:lineRule="auto"/>
              <w:rPr>
                <w:rFonts w:ascii="Times New Roman" w:hAnsi="Times New Roman"/>
                <w:sz w:val="20"/>
              </w:rPr>
            </w:pPr>
            <w:r>
              <w:rPr>
                <w:rFonts w:ascii="Times New Roman" w:hAnsi="Times New Roman"/>
                <w:sz w:val="20"/>
              </w:rPr>
              <w:t>N2.3</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9</w:t>
            </w:r>
          </w:p>
        </w:tc>
        <w:tc>
          <w:tcPr>
            <w:tcW w:w="2303" w:type="dxa"/>
          </w:tcPr>
          <w:p>
            <w:pPr>
              <w:spacing w:after="0" w:line="240" w:lineRule="auto"/>
              <w:rPr>
                <w:rFonts w:ascii="Times New Roman" w:hAnsi="Times New Roman"/>
                <w:sz w:val="20"/>
              </w:rPr>
            </w:pPr>
            <w:r>
              <w:rPr>
                <w:rFonts w:ascii="Times New Roman" w:hAnsi="Times New Roman"/>
                <w:sz w:val="20"/>
              </w:rPr>
              <w:t>PDCA da Arquitetura da Solução</w:t>
            </w:r>
          </w:p>
        </w:tc>
        <w:tc>
          <w:tcPr>
            <w:tcW w:w="2303" w:type="dxa"/>
          </w:tcPr>
          <w:p>
            <w:pPr>
              <w:spacing w:after="0" w:line="240" w:lineRule="auto"/>
              <w:rPr>
                <w:rFonts w:ascii="Times New Roman" w:hAnsi="Times New Roman"/>
                <w:sz w:val="20"/>
              </w:rPr>
            </w:pPr>
            <w:r>
              <w:rPr>
                <w:rFonts w:ascii="Times New Roman" w:hAnsi="Times New Roman"/>
                <w:sz w:val="20"/>
              </w:rPr>
              <w:t>N3.1</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10</w:t>
            </w:r>
          </w:p>
        </w:tc>
        <w:tc>
          <w:tcPr>
            <w:tcW w:w="2303" w:type="dxa"/>
          </w:tcPr>
          <w:p>
            <w:pPr>
              <w:spacing w:after="0" w:line="240" w:lineRule="auto"/>
              <w:rPr>
                <w:rFonts w:ascii="Times New Roman" w:hAnsi="Times New Roman"/>
                <w:sz w:val="20"/>
              </w:rPr>
            </w:pPr>
            <w:r>
              <w:rPr>
                <w:rFonts w:ascii="Times New Roman" w:hAnsi="Times New Roman"/>
                <w:sz w:val="20"/>
              </w:rPr>
              <w:t>PDCA do Protótipo UX/UI</w:t>
            </w:r>
          </w:p>
        </w:tc>
        <w:tc>
          <w:tcPr>
            <w:tcW w:w="2303" w:type="dxa"/>
          </w:tcPr>
          <w:p>
            <w:pPr>
              <w:spacing w:after="0" w:line="240" w:lineRule="auto"/>
              <w:rPr>
                <w:rFonts w:ascii="Times New Roman" w:hAnsi="Times New Roman"/>
                <w:sz w:val="20"/>
              </w:rPr>
            </w:pPr>
            <w:r>
              <w:rPr>
                <w:rFonts w:ascii="Times New Roman" w:hAnsi="Times New Roman"/>
                <w:sz w:val="20"/>
              </w:rPr>
              <w:t>N3.2</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11</w:t>
            </w:r>
          </w:p>
        </w:tc>
        <w:tc>
          <w:tcPr>
            <w:tcW w:w="2303" w:type="dxa"/>
          </w:tcPr>
          <w:p>
            <w:pPr>
              <w:spacing w:after="0" w:line="240" w:lineRule="auto"/>
              <w:rPr>
                <w:rFonts w:ascii="Times New Roman" w:hAnsi="Times New Roman"/>
                <w:sz w:val="20"/>
              </w:rPr>
            </w:pPr>
            <w:r>
              <w:rPr>
                <w:rFonts w:ascii="Times New Roman" w:hAnsi="Times New Roman"/>
                <w:sz w:val="20"/>
              </w:rPr>
              <w:t>PDCA da Modelagem de Dados (DER)</w:t>
            </w:r>
          </w:p>
        </w:tc>
        <w:tc>
          <w:tcPr>
            <w:tcW w:w="2303" w:type="dxa"/>
          </w:tcPr>
          <w:p>
            <w:pPr>
              <w:spacing w:after="0" w:line="240" w:lineRule="auto"/>
              <w:rPr>
                <w:rFonts w:ascii="Times New Roman" w:hAnsi="Times New Roman"/>
                <w:sz w:val="20"/>
              </w:rPr>
            </w:pPr>
            <w:r>
              <w:rPr>
                <w:rFonts w:ascii="Times New Roman" w:hAnsi="Times New Roman"/>
                <w:sz w:val="20"/>
              </w:rPr>
              <w:t>N3.3</w:t>
            </w:r>
          </w:p>
        </w:tc>
        <w:tc>
          <w:tcPr>
            <w:tcW w:w="2303" w:type="dxa"/>
          </w:tcPr>
          <w:p>
            <w:pPr>
              <w:spacing w:after="0" w:line="240" w:lineRule="auto"/>
              <w:rPr>
                <w:rFonts w:ascii="Times New Roman" w:hAnsi="Times New Roman"/>
                <w:sz w:val="20"/>
              </w:rPr>
            </w:pPr>
            <w:r>
              <w:rPr>
                <w:rFonts w:ascii="Times New Roman" w:hAnsi="Times New Roman"/>
                <w:sz w:val="20"/>
              </w:rPr>
              <w:t>MF1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12</w:t>
            </w:r>
          </w:p>
        </w:tc>
        <w:tc>
          <w:tcPr>
            <w:tcW w:w="2303" w:type="dxa"/>
          </w:tcPr>
          <w:p>
            <w:pPr>
              <w:spacing w:after="0" w:line="240" w:lineRule="auto"/>
              <w:rPr>
                <w:rFonts w:ascii="Times New Roman" w:hAnsi="Times New Roman"/>
                <w:sz w:val="20"/>
              </w:rPr>
            </w:pPr>
            <w:r>
              <w:rPr>
                <w:rFonts w:ascii="Times New Roman" w:hAnsi="Times New Roman"/>
                <w:sz w:val="20"/>
              </w:rPr>
              <w:t>PDCA da Seleção da Stack FOSS</w:t>
            </w:r>
          </w:p>
        </w:tc>
        <w:tc>
          <w:tcPr>
            <w:tcW w:w="2303" w:type="dxa"/>
          </w:tcPr>
          <w:p>
            <w:pPr>
              <w:spacing w:after="0" w:line="240" w:lineRule="auto"/>
              <w:rPr>
                <w:rFonts w:ascii="Times New Roman" w:hAnsi="Times New Roman"/>
                <w:sz w:val="20"/>
              </w:rPr>
            </w:pPr>
            <w:r>
              <w:rPr>
                <w:rFonts w:ascii="Times New Roman" w:hAnsi="Times New Roman"/>
                <w:sz w:val="20"/>
              </w:rPr>
              <w:t>N4.1</w:t>
            </w:r>
          </w:p>
        </w:tc>
        <w:tc>
          <w:tcPr>
            <w:tcW w:w="2303" w:type="dxa"/>
          </w:tcPr>
          <w:p>
            <w:pPr>
              <w:spacing w:after="0" w:line="240" w:lineRule="auto"/>
              <w:rPr>
                <w:rFonts w:ascii="Times New Roman" w:hAnsi="Times New Roman"/>
                <w:sz w:val="20"/>
              </w:rPr>
            </w:pPr>
            <w:r>
              <w:rPr>
                <w:rFonts w:ascii="Times New Roman" w:hAnsi="Times New Roman"/>
                <w:sz w:val="20"/>
              </w:rPr>
              <w:t>MF1</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pStyle w:val="2"/>
        <w:spacing w:before="360" w:after="360"/>
        <w:rPr>
          <w:rFonts w:cs="Times New Roman"/>
          <w:color w:val="000000"/>
        </w:rPr>
      </w:pPr>
      <w:bookmarkStart w:id="17" w:name="_Toc240734459"/>
      <w:r>
        <w:rPr>
          <w:rFonts w:cs="Times New Roman"/>
          <w:color w:val="000000"/>
        </w:rPr>
        <w:t>2.5.2 Diagrama de Causa e Efeito</w:t>
      </w:r>
      <w:bookmarkEnd w:id="17"/>
    </w:p>
    <w:p>
      <w:pPr>
        <w:spacing w:after="0" w:line="360" w:lineRule="auto"/>
        <w:ind w:firstLine="708"/>
        <w:jc w:val="both"/>
        <w:rPr>
          <w:rFonts w:ascii="Times New Roman" w:hAnsi="Times New Roman"/>
          <w:color w:val="000000"/>
          <w:sz w:val="24"/>
        </w:rPr>
      </w:pPr>
      <w:r>
        <w:rPr>
          <w:rFonts w:ascii="Times New Roman" w:hAnsi="Times New Roman"/>
          <w:color w:val="000000"/>
          <w:sz w:val="24"/>
        </w:rPr>
        <w:t>Complementarmente ao PDCA, o projeto aplica o Diagrama de Causa e Efeito (Diagrama de Ishikawa) segundo o modelo dos 6M — Método, Máquina, Mão de obra, Material, Medida e Meio ambiente —, para investigação sistemática das causas-raiz de não conformidades identificadas durante os testes e a homologação. A aplicação do modelo ao contexto do COGME identifica, como causas potenciais recorrentes: em Método, a imaturidade da abordagem SDD e a ausência de linha de base para as métricas de fluxo; em Máquina, os limites de desempenho da inferência local de modelos de linguagem e a instabilidade das APIs externas gratuitas; em Mão de obra, a disponibilidade restrita de 20 horas semanais por integrante e a acumulação de papéis; em Material, a indefinição inicial da stack tecnológica, posteriormente resolvida pelo ADR-002; em Medida, a ausência de linha de base de tempo de ciclo e vazão, endereçada por período de calibração entre 23 de setembro e 3 de outubro de 2026; e em Meio ambiente, as restrições do calendário letivo noturno. O diagrama formal, com o detalhamento das espinhas por ocorrência, integra o Plano de Qualidade.</w:t>
      </w:r>
    </w:p>
    <w:p>
      <w:pPr>
        <w:pStyle w:val="2"/>
        <w:spacing w:before="360" w:after="360"/>
        <w:rPr>
          <w:rFonts w:cs="Times New Roman"/>
        </w:rPr>
      </w:pPr>
      <w:bookmarkStart w:id="18" w:name="_Toc240734460"/>
      <w:r>
        <w:rPr>
          <w:rFonts w:cs="Times New Roman"/>
        </w:rPr>
        <w:t>2.5.3 Painel de Medição</w:t>
      </w:r>
      <w:bookmarkEnd w:id="18"/>
    </w:p>
    <w:p>
      <w:pPr>
        <w:spacing w:after="0" w:line="360" w:lineRule="auto"/>
        <w:ind w:firstLine="708"/>
        <w:jc w:val="both"/>
        <w:rPr>
          <w:rFonts w:ascii="Times New Roman" w:hAnsi="Times New Roman"/>
          <w:sz w:val="24"/>
        </w:rPr>
      </w:pPr>
      <w:r>
        <w:rPr>
          <w:rFonts w:ascii="Times New Roman" w:hAnsi="Times New Roman"/>
          <w:sz w:val="24"/>
        </w:rPr>
        <w:t>O Domínio de Medição do PMBOK® 7ª edição estabelece que a avaliação do desempenho deve produzir informação acionável, e não apenas registro histórico. Como o projeto não possui remuneração nem orçamento de aquisições, os indicadores clássicos de valor agregado perdem poder informativo, razão pela qual a medição se apoia em métricas de fluxo extraídas diretamente do quadro Kanban, complementadas por indicadores de qualidade do produto. Cada indicador possui meta, fonte de dado e gatilho de ação previamente definidos, de modo que a superação de um limite dispare resposta imediata, e não discussão posterior. As metas serão calibradas ao término do período de estabilização, entre 23 de setembro e 3 de outubro de 2026, quando houver massa de dados suficiente. O Quadro 12 apresenta o painel de medição do projeto.</w:t>
      </w:r>
    </w:p>
    <w:p>
      <w:pPr>
        <w:spacing w:before="240" w:after="60" w:line="240" w:lineRule="auto"/>
        <w:rPr>
          <w:rFonts w:ascii="Times New Roman" w:hAnsi="Times New Roman"/>
          <w:sz w:val="24"/>
        </w:rPr>
      </w:pPr>
      <w:r>
        <w:rPr>
          <w:rFonts w:ascii="Times New Roman" w:hAnsi="Times New Roman"/>
          <w:sz w:val="24"/>
        </w:rPr>
        <w:t>Quadro 12 — Painel de medição do projeto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303"/>
        <w:gridCol w:w="2303"/>
        <w:gridCol w:w="2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2" w:type="dxa"/>
          </w:tcPr>
          <w:p>
            <w:pPr>
              <w:spacing w:after="0" w:line="240" w:lineRule="auto"/>
              <w:rPr>
                <w:rFonts w:ascii="Times New Roman" w:hAnsi="Times New Roman"/>
              </w:rPr>
            </w:pPr>
            <w:r>
              <w:rPr>
                <w:rFonts w:ascii="Times New Roman" w:hAnsi="Times New Roman"/>
              </w:rPr>
              <w:t>Indicador</w:t>
            </w:r>
          </w:p>
        </w:tc>
        <w:tc>
          <w:tcPr>
            <w:tcW w:w="2303" w:type="dxa"/>
          </w:tcPr>
          <w:p>
            <w:pPr>
              <w:spacing w:after="0" w:line="240" w:lineRule="auto"/>
              <w:rPr>
                <w:rFonts w:ascii="Times New Roman" w:hAnsi="Times New Roman"/>
              </w:rPr>
            </w:pPr>
            <w:r>
              <w:rPr>
                <w:rFonts w:ascii="Times New Roman" w:hAnsi="Times New Roman"/>
              </w:rPr>
              <w:t>Meta de referência</w:t>
            </w:r>
          </w:p>
        </w:tc>
        <w:tc>
          <w:tcPr>
            <w:tcW w:w="2303" w:type="dxa"/>
          </w:tcPr>
          <w:p>
            <w:pPr>
              <w:spacing w:after="0" w:line="240" w:lineRule="auto"/>
              <w:rPr>
                <w:rFonts w:ascii="Times New Roman" w:hAnsi="Times New Roman"/>
              </w:rPr>
            </w:pPr>
            <w:r>
              <w:rPr>
                <w:rFonts w:ascii="Times New Roman" w:hAnsi="Times New Roman"/>
              </w:rPr>
              <w:t>Fonte do dado</w:t>
            </w:r>
          </w:p>
        </w:tc>
        <w:tc>
          <w:tcPr>
            <w:tcW w:w="2303" w:type="dxa"/>
          </w:tcPr>
          <w:p>
            <w:pPr>
              <w:spacing w:after="0" w:line="240" w:lineRule="auto"/>
              <w:rPr>
                <w:rFonts w:ascii="Times New Roman" w:hAnsi="Times New Roman"/>
              </w:rPr>
            </w:pPr>
            <w:r>
              <w:rPr>
                <w:rFonts w:ascii="Times New Roman" w:hAnsi="Times New Roman"/>
              </w:rPr>
              <w:t>Gatilho de 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rPr>
            </w:pPr>
            <w:r>
              <w:rPr>
                <w:rFonts w:ascii="Times New Roman" w:hAnsi="Times New Roman"/>
              </w:rPr>
              <w:t>Tempo de ciclo por cartão</w:t>
            </w:r>
          </w:p>
        </w:tc>
        <w:tc>
          <w:tcPr>
            <w:tcW w:w="2303" w:type="dxa"/>
          </w:tcPr>
          <w:p>
            <w:pPr>
              <w:spacing w:after="0" w:line="240" w:lineRule="auto"/>
              <w:rPr>
                <w:rFonts w:ascii="Times New Roman" w:hAnsi="Times New Roman"/>
              </w:rPr>
            </w:pPr>
            <w:r>
              <w:rPr>
                <w:rFonts w:ascii="Times New Roman" w:hAnsi="Times New Roman"/>
              </w:rPr>
              <w:t>Até 5 dias corridos</w:t>
            </w:r>
          </w:p>
        </w:tc>
        <w:tc>
          <w:tcPr>
            <w:tcW w:w="2303" w:type="dxa"/>
          </w:tcPr>
          <w:p>
            <w:pPr>
              <w:spacing w:after="0" w:line="240" w:lineRule="auto"/>
              <w:rPr>
                <w:rFonts w:ascii="Times New Roman" w:hAnsi="Times New Roman"/>
              </w:rPr>
            </w:pPr>
            <w:r>
              <w:rPr>
                <w:rFonts w:ascii="Times New Roman" w:hAnsi="Times New Roman"/>
              </w:rPr>
              <w:t>Painel do GitHub Projects</w:t>
            </w:r>
          </w:p>
        </w:tc>
        <w:tc>
          <w:tcPr>
            <w:tcW w:w="2303" w:type="dxa"/>
          </w:tcPr>
          <w:p>
            <w:pPr>
              <w:spacing w:after="0" w:line="240" w:lineRule="auto"/>
              <w:rPr>
                <w:rFonts w:ascii="Times New Roman" w:hAnsi="Times New Roman"/>
              </w:rPr>
            </w:pPr>
            <w:r>
              <w:rPr>
                <w:rFonts w:ascii="Times New Roman" w:hAnsi="Times New Roman"/>
              </w:rPr>
              <w:t>Dois cartões consecutivos acima da meta exigem revisão da decomposição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rPr>
            </w:pPr>
            <w:r>
              <w:rPr>
                <w:rFonts w:ascii="Times New Roman" w:hAnsi="Times New Roman"/>
              </w:rPr>
              <w:t>Vazão semanal</w:t>
            </w:r>
          </w:p>
        </w:tc>
        <w:tc>
          <w:tcPr>
            <w:tcW w:w="2303" w:type="dxa"/>
          </w:tcPr>
          <w:p>
            <w:pPr>
              <w:spacing w:after="0" w:line="240" w:lineRule="auto"/>
              <w:rPr>
                <w:rFonts w:ascii="Times New Roman" w:hAnsi="Times New Roman"/>
              </w:rPr>
            </w:pPr>
            <w:r>
              <w:rPr>
                <w:rFonts w:ascii="Times New Roman" w:hAnsi="Times New Roman"/>
              </w:rPr>
              <w:t>Mínimo de 3 cartões concluídos</w:t>
            </w:r>
          </w:p>
        </w:tc>
        <w:tc>
          <w:tcPr>
            <w:tcW w:w="2303" w:type="dxa"/>
          </w:tcPr>
          <w:p>
            <w:pPr>
              <w:spacing w:after="0" w:line="240" w:lineRule="auto"/>
              <w:rPr>
                <w:rFonts w:ascii="Times New Roman" w:hAnsi="Times New Roman"/>
              </w:rPr>
            </w:pPr>
            <w:r>
              <w:rPr>
                <w:rFonts w:ascii="Times New Roman" w:hAnsi="Times New Roman"/>
              </w:rPr>
              <w:t>Painel do GitHub Projects</w:t>
            </w:r>
          </w:p>
        </w:tc>
        <w:tc>
          <w:tcPr>
            <w:tcW w:w="2303" w:type="dxa"/>
          </w:tcPr>
          <w:p>
            <w:pPr>
              <w:spacing w:after="0" w:line="240" w:lineRule="auto"/>
              <w:rPr>
                <w:rFonts w:ascii="Times New Roman" w:hAnsi="Times New Roman"/>
              </w:rPr>
            </w:pPr>
            <w:r>
              <w:rPr>
                <w:rFonts w:ascii="Times New Roman" w:hAnsi="Times New Roman"/>
              </w:rPr>
              <w:t>Duas semanas seguidas abaixo da meta exigem replanejamento do escopo do período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rPr>
            </w:pPr>
            <w:r>
              <w:rPr>
                <w:rFonts w:ascii="Times New Roman" w:hAnsi="Times New Roman"/>
              </w:rPr>
              <w:t>Trabalho em progresso</w:t>
            </w:r>
          </w:p>
        </w:tc>
        <w:tc>
          <w:tcPr>
            <w:tcW w:w="2303" w:type="dxa"/>
          </w:tcPr>
          <w:p>
            <w:pPr>
              <w:spacing w:after="0" w:line="240" w:lineRule="auto"/>
              <w:rPr>
                <w:rFonts w:ascii="Times New Roman" w:hAnsi="Times New Roman"/>
              </w:rPr>
            </w:pPr>
            <w:r>
              <w:rPr>
                <w:rFonts w:ascii="Times New Roman" w:hAnsi="Times New Roman"/>
              </w:rPr>
              <w:t>Máximo de 2 cartões por integrante</w:t>
            </w:r>
          </w:p>
        </w:tc>
        <w:tc>
          <w:tcPr>
            <w:tcW w:w="2303" w:type="dxa"/>
          </w:tcPr>
          <w:p>
            <w:pPr>
              <w:spacing w:after="0" w:line="240" w:lineRule="auto"/>
              <w:rPr>
                <w:rFonts w:ascii="Times New Roman" w:hAnsi="Times New Roman"/>
              </w:rPr>
            </w:pPr>
            <w:r>
              <w:rPr>
                <w:rFonts w:ascii="Times New Roman" w:hAnsi="Times New Roman"/>
              </w:rPr>
              <w:t>Quadro Kanban</w:t>
            </w:r>
          </w:p>
        </w:tc>
        <w:tc>
          <w:tcPr>
            <w:tcW w:w="2303" w:type="dxa"/>
          </w:tcPr>
          <w:p>
            <w:pPr>
              <w:spacing w:after="0" w:line="240" w:lineRule="auto"/>
              <w:rPr>
                <w:rFonts w:ascii="Times New Roman" w:hAnsi="Times New Roman"/>
              </w:rPr>
            </w:pPr>
            <w:r>
              <w:rPr>
                <w:rFonts w:ascii="Times New Roman" w:hAnsi="Times New Roman"/>
              </w:rPr>
              <w:t>Bloqueio de novas entradas até a conclusão de um cartão em andamento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rPr>
            </w:pPr>
            <w:r>
              <w:rPr>
                <w:rFonts w:ascii="Times New Roman" w:hAnsi="Times New Roman"/>
              </w:rPr>
              <w:t>Idade do trabalho em andamento</w:t>
            </w:r>
          </w:p>
        </w:tc>
        <w:tc>
          <w:tcPr>
            <w:tcW w:w="2303" w:type="dxa"/>
          </w:tcPr>
          <w:p>
            <w:pPr>
              <w:spacing w:after="0" w:line="240" w:lineRule="auto"/>
              <w:rPr>
                <w:rFonts w:ascii="Times New Roman" w:hAnsi="Times New Roman"/>
              </w:rPr>
            </w:pPr>
            <w:r>
              <w:rPr>
                <w:rFonts w:ascii="Times New Roman" w:hAnsi="Times New Roman"/>
              </w:rPr>
              <w:t>Nenhum cartão parado por mais de 7 dias</w:t>
            </w:r>
          </w:p>
        </w:tc>
        <w:tc>
          <w:tcPr>
            <w:tcW w:w="2303" w:type="dxa"/>
          </w:tcPr>
          <w:p>
            <w:pPr>
              <w:spacing w:after="0" w:line="240" w:lineRule="auto"/>
              <w:rPr>
                <w:rFonts w:ascii="Times New Roman" w:hAnsi="Times New Roman"/>
              </w:rPr>
            </w:pPr>
            <w:r>
              <w:rPr>
                <w:rFonts w:ascii="Times New Roman" w:hAnsi="Times New Roman"/>
              </w:rPr>
              <w:t>Quadro Kanban</w:t>
            </w:r>
          </w:p>
        </w:tc>
        <w:tc>
          <w:tcPr>
            <w:tcW w:w="2303" w:type="dxa"/>
          </w:tcPr>
          <w:p>
            <w:pPr>
              <w:spacing w:after="0" w:line="240" w:lineRule="auto"/>
              <w:rPr>
                <w:rFonts w:ascii="Times New Roman" w:hAnsi="Times New Roman"/>
              </w:rPr>
            </w:pPr>
            <w:r>
              <w:rPr>
                <w:rFonts w:ascii="Times New Roman" w:hAnsi="Times New Roman"/>
              </w:rPr>
              <w:t>Escalonamento imediato ao orientador quando houver impedimento externo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rPr>
            </w:pPr>
            <w:r>
              <w:rPr>
                <w:rFonts w:ascii="Times New Roman" w:hAnsi="Times New Roman"/>
              </w:rPr>
              <w:t>Taxa de retrabalho</w:t>
            </w:r>
          </w:p>
        </w:tc>
        <w:tc>
          <w:tcPr>
            <w:tcW w:w="2303" w:type="dxa"/>
          </w:tcPr>
          <w:p>
            <w:pPr>
              <w:spacing w:after="0" w:line="240" w:lineRule="auto"/>
              <w:rPr>
                <w:rFonts w:ascii="Times New Roman" w:hAnsi="Times New Roman"/>
              </w:rPr>
            </w:pPr>
            <w:r>
              <w:rPr>
                <w:rFonts w:ascii="Times New Roman" w:hAnsi="Times New Roman"/>
              </w:rPr>
              <w:t>Até 15% dos cartões concluídos reabertos</w:t>
            </w:r>
          </w:p>
        </w:tc>
        <w:tc>
          <w:tcPr>
            <w:tcW w:w="2303" w:type="dxa"/>
          </w:tcPr>
          <w:p>
            <w:pPr>
              <w:spacing w:after="0" w:line="240" w:lineRule="auto"/>
              <w:rPr>
                <w:rFonts w:ascii="Times New Roman" w:hAnsi="Times New Roman"/>
              </w:rPr>
            </w:pPr>
            <w:r>
              <w:rPr>
                <w:rFonts w:ascii="Times New Roman" w:hAnsi="Times New Roman"/>
              </w:rPr>
              <w:t>Histórico de issues</w:t>
            </w:r>
          </w:p>
        </w:tc>
        <w:tc>
          <w:tcPr>
            <w:tcW w:w="2303" w:type="dxa"/>
          </w:tcPr>
          <w:p>
            <w:pPr>
              <w:spacing w:after="0" w:line="240" w:lineRule="auto"/>
              <w:rPr>
                <w:rFonts w:ascii="Times New Roman" w:hAnsi="Times New Roman"/>
              </w:rPr>
            </w:pPr>
            <w:r>
              <w:rPr>
                <w:rFonts w:ascii="Times New Roman" w:hAnsi="Times New Roman"/>
              </w:rPr>
              <w:t>Acima da meta, abre-se investigação de causa-raiz pelo diagrama de Ishikawa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rPr>
            </w:pPr>
            <w:r>
              <w:rPr>
                <w:rFonts w:ascii="Times New Roman" w:hAnsi="Times New Roman"/>
              </w:rPr>
              <w:t>Cobertura de testes automatizados</w:t>
            </w:r>
          </w:p>
        </w:tc>
        <w:tc>
          <w:tcPr>
            <w:tcW w:w="2303" w:type="dxa"/>
          </w:tcPr>
          <w:p>
            <w:pPr>
              <w:spacing w:after="0" w:line="240" w:lineRule="auto"/>
              <w:rPr>
                <w:rFonts w:ascii="Times New Roman" w:hAnsi="Times New Roman"/>
              </w:rPr>
            </w:pPr>
            <w:r>
              <w:rPr>
                <w:rFonts w:ascii="Times New Roman" w:hAnsi="Times New Roman"/>
              </w:rPr>
              <w:t>Mínimo de 70% das regras de negócio</w:t>
            </w:r>
          </w:p>
        </w:tc>
        <w:tc>
          <w:tcPr>
            <w:tcW w:w="2303" w:type="dxa"/>
          </w:tcPr>
          <w:p>
            <w:pPr>
              <w:spacing w:after="0" w:line="240" w:lineRule="auto"/>
              <w:rPr>
                <w:rFonts w:ascii="Times New Roman" w:hAnsi="Times New Roman"/>
              </w:rPr>
            </w:pPr>
            <w:r>
              <w:rPr>
                <w:rFonts w:ascii="Times New Roman" w:hAnsi="Times New Roman"/>
              </w:rPr>
              <w:t>Relatório do pipeline de integração contínua</w:t>
            </w:r>
          </w:p>
        </w:tc>
        <w:tc>
          <w:tcPr>
            <w:tcW w:w="2303" w:type="dxa"/>
          </w:tcPr>
          <w:p>
            <w:pPr>
              <w:spacing w:after="0" w:line="240" w:lineRule="auto"/>
              <w:rPr>
                <w:rFonts w:ascii="Times New Roman" w:hAnsi="Times New Roman"/>
              </w:rPr>
            </w:pPr>
            <w:r>
              <w:rPr>
                <w:rFonts w:ascii="Times New Roman" w:hAnsi="Times New Roman"/>
              </w:rPr>
              <w:t>Abaixo da meta, bloqueia-se a publicação em produção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rPr>
            </w:pPr>
            <w:r>
              <w:rPr>
                <w:rFonts w:ascii="Times New Roman" w:hAnsi="Times New Roman"/>
              </w:rPr>
              <w:t>Aderência aos critérios de aceite</w:t>
            </w:r>
          </w:p>
        </w:tc>
        <w:tc>
          <w:tcPr>
            <w:tcW w:w="2303" w:type="dxa"/>
          </w:tcPr>
          <w:p>
            <w:pPr>
              <w:spacing w:after="0" w:line="240" w:lineRule="auto"/>
              <w:rPr>
                <w:rFonts w:ascii="Times New Roman" w:hAnsi="Times New Roman"/>
              </w:rPr>
            </w:pPr>
            <w:r>
              <w:rPr>
                <w:rFonts w:ascii="Times New Roman" w:hAnsi="Times New Roman"/>
              </w:rPr>
              <w:t>100% dos requisitos com critério verificado</w:t>
            </w:r>
          </w:p>
        </w:tc>
        <w:tc>
          <w:tcPr>
            <w:tcW w:w="2303" w:type="dxa"/>
          </w:tcPr>
          <w:p>
            <w:pPr>
              <w:spacing w:after="0" w:line="240" w:lineRule="auto"/>
              <w:rPr>
                <w:rFonts w:ascii="Times New Roman" w:hAnsi="Times New Roman"/>
              </w:rPr>
            </w:pPr>
            <w:r>
              <w:rPr>
                <w:rFonts w:ascii="Times New Roman" w:hAnsi="Times New Roman"/>
              </w:rPr>
              <w:t>Testes de aceitação</w:t>
            </w:r>
          </w:p>
        </w:tc>
        <w:tc>
          <w:tcPr>
            <w:tcW w:w="2303" w:type="dxa"/>
          </w:tcPr>
          <w:p>
            <w:pPr>
              <w:spacing w:after="0" w:line="240" w:lineRule="auto"/>
              <w:rPr>
                <w:rFonts w:ascii="Times New Roman" w:hAnsi="Times New Roman"/>
              </w:rPr>
            </w:pPr>
            <w:r>
              <w:rPr>
                <w:rFonts w:ascii="Times New Roman" w:hAnsi="Times New Roman"/>
              </w:rPr>
              <w:t>Requisito sem verificação não é considerado entregue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rPr>
            </w:pPr>
            <w:r>
              <w:rPr>
                <w:rFonts w:ascii="Times New Roman" w:hAnsi="Times New Roman"/>
              </w:rPr>
              <w:t>Sobrecarga da equipe</w:t>
            </w:r>
          </w:p>
        </w:tc>
        <w:tc>
          <w:tcPr>
            <w:tcW w:w="2303" w:type="dxa"/>
          </w:tcPr>
          <w:p>
            <w:pPr>
              <w:spacing w:after="0" w:line="240" w:lineRule="auto"/>
              <w:rPr>
                <w:rFonts w:ascii="Times New Roman" w:hAnsi="Times New Roman"/>
              </w:rPr>
            </w:pPr>
            <w:r>
              <w:rPr>
                <w:rFonts w:ascii="Times New Roman" w:hAnsi="Times New Roman"/>
              </w:rPr>
              <w:t>Até 20 horas semanais por integrante</w:t>
            </w:r>
          </w:p>
        </w:tc>
        <w:tc>
          <w:tcPr>
            <w:tcW w:w="2303" w:type="dxa"/>
          </w:tcPr>
          <w:p>
            <w:pPr>
              <w:spacing w:after="0" w:line="240" w:lineRule="auto"/>
              <w:rPr>
                <w:rFonts w:ascii="Times New Roman" w:hAnsi="Times New Roman"/>
              </w:rPr>
            </w:pPr>
            <w:r>
              <w:rPr>
                <w:rFonts w:ascii="Times New Roman" w:hAnsi="Times New Roman"/>
              </w:rPr>
              <w:t>Autodeclaração semanal</w:t>
            </w:r>
          </w:p>
        </w:tc>
        <w:tc>
          <w:tcPr>
            <w:tcW w:w="2303" w:type="dxa"/>
          </w:tcPr>
          <w:p>
            <w:pPr>
              <w:spacing w:after="0" w:line="240" w:lineRule="auto"/>
              <w:rPr>
                <w:rFonts w:ascii="Times New Roman" w:hAnsi="Times New Roman"/>
              </w:rPr>
            </w:pPr>
            <w:r>
              <w:rPr>
                <w:rFonts w:ascii="Times New Roman" w:hAnsi="Times New Roman"/>
              </w:rPr>
              <w:t>Excesso em duas semanas exige redução de escopo do período</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pStyle w:val="2"/>
        <w:spacing w:before="360" w:after="360"/>
        <w:rPr>
          <w:rFonts w:cs="Times New Roman"/>
          <w:color w:val="000000"/>
        </w:rPr>
      </w:pPr>
      <w:bookmarkStart w:id="19" w:name="_Toc240734461"/>
      <w:r>
        <w:rPr>
          <w:rFonts w:cs="Times New Roman"/>
          <w:color w:val="000000"/>
        </w:rPr>
        <w:t>2.6 Gerenciamento de Recursos</w:t>
      </w:r>
      <w:bookmarkEnd w:id="19"/>
    </w:p>
    <w:p>
      <w:pPr>
        <w:spacing w:after="0" w:line="360" w:lineRule="auto"/>
        <w:ind w:firstLine="708"/>
        <w:jc w:val="both"/>
        <w:rPr>
          <w:rFonts w:ascii="Times New Roman" w:hAnsi="Times New Roman"/>
          <w:color w:val="000000"/>
          <w:sz w:val="24"/>
        </w:rPr>
      </w:pPr>
      <w:r>
        <w:rPr>
          <w:rFonts w:ascii="Times New Roman" w:hAnsi="Times New Roman"/>
          <w:color w:val="000000"/>
          <w:sz w:val="24"/>
        </w:rPr>
        <w:t>A equipe de dois integrantes constitui simultaneamente o recurso humano central do projeto e sua principal restrição, pois cada membro acumula os papéis de gerência, análise, desenvolvimento, testes, documentação e DevOps. Em atenção ao Domínio de Equipe do PMBOK® 7ª edição, a governança do projeto incorporou uma métrica explícita de sobrecarga — limite de 20 horas semanais por integrante —, monitorada por autorrelato semanal em canal assíncrono do repositório. Os recursos materiais compreendem a estação de trabalho local descrita na seção 2.4.2, dimensionada para suportar também a inferência local de modelos de linguagem, e os serviços gratuitos de versionamento, integração contínua e hospedagem. Registre-se que, em razão do escopo acadêmico e da inexistência de orçamento de aquisições, as áreas de conhecimento de Aquisições e de Gerenciamento das Partes Interessadas foram tratadas com simplificação pedagógica (premissa P8), concentrando-se o esforço de gerenciamento nas oito áreas remanescentes.</w:t>
      </w:r>
    </w:p>
    <w:p>
      <w:pPr>
        <w:pStyle w:val="2"/>
        <w:spacing w:before="360" w:after="360"/>
        <w:rPr>
          <w:rFonts w:cs="Times New Roman"/>
          <w:color w:val="000000"/>
        </w:rPr>
      </w:pPr>
      <w:bookmarkStart w:id="20" w:name="_Toc240734462"/>
      <w:r>
        <w:rPr>
          <w:rFonts w:cs="Times New Roman"/>
          <w:color w:val="000000"/>
        </w:rPr>
        <w:t>2.6.1 Escritório do Projeto</w:t>
      </w:r>
      <w:bookmarkEnd w:id="20"/>
    </w:p>
    <w:p>
      <w:pPr>
        <w:spacing w:after="0" w:line="360" w:lineRule="auto"/>
        <w:ind w:firstLine="708"/>
        <w:jc w:val="both"/>
        <w:rPr>
          <w:rFonts w:ascii="Times New Roman" w:hAnsi="Times New Roman"/>
          <w:color w:val="000000"/>
          <w:sz w:val="24"/>
        </w:rPr>
      </w:pPr>
      <w:r>
        <w:rPr>
          <w:rFonts w:ascii="Times New Roman" w:hAnsi="Times New Roman"/>
          <w:color w:val="000000"/>
          <w:sz w:val="24"/>
        </w:rPr>
        <w:t>O projeto não dispõe de escritório de projetos (PMO) físico ou formalmente instituído, dada sua natureza acadêmica e o tamanho da equipe. Suas funções são exercidas de forma distribuída pelo aluno-gerente e operacionalizadas por meio do GitHub Projects, formalmente designado como fonte única de verdade do projeto pelo registro de decisão arquitetural ADR-001. Nessa condição, a plataforma centraliza o backlog, o quadro Kanban, o registro de riscos, o histórico de decisões e as métricas de fluxo obtidas pelos painéis de análise do próprio repositório, cumprindo em escala reduzida o papel de escritório de projetos. Essa decisão substituiu a produção de relatórios estáticos periódicos e de cronogramas de Gantt mantidos manualmente: caso um diagrama de Gantt seja exigido, ele é derivado a posteriori do quadro Kanban, e não o contrário.</w:t>
      </w:r>
    </w:p>
    <w:p>
      <w:pPr>
        <w:spacing w:after="0" w:line="360" w:lineRule="auto"/>
        <w:ind w:firstLine="708"/>
        <w:jc w:val="both"/>
        <w:rPr>
          <w:rFonts w:ascii="Times New Roman" w:hAnsi="Times New Roman"/>
          <w:sz w:val="24"/>
        </w:rPr>
      </w:pPr>
      <w:r>
        <w:rPr>
          <w:rFonts w:ascii="Times New Roman" w:hAnsi="Times New Roman"/>
          <w:sz w:val="24"/>
        </w:rPr>
        <w:t>A ausência de estrutura dedicada não implica ausência das funções que um escritório de projetos desempenha. O Quadro 13 relaciona as funções típicas de um escritório de projetos de apoio, segundo a literatura de gerenciamento, ao modo como cada uma é exercida no COGME e ao artefato que a materializa, evidenciando que a supressão da estrutura formal decorre de adaptação ao porte do projeto, e não de desconhecimento da prática.</w:t>
      </w:r>
    </w:p>
    <w:p>
      <w:pPr>
        <w:spacing w:before="240" w:after="60" w:line="240" w:lineRule="auto"/>
        <w:rPr>
          <w:rFonts w:ascii="Times New Roman" w:hAnsi="Times New Roman"/>
          <w:sz w:val="24"/>
        </w:rPr>
      </w:pPr>
      <w:r>
        <w:rPr>
          <w:rFonts w:ascii="Times New Roman" w:hAnsi="Times New Roman"/>
          <w:sz w:val="24"/>
        </w:rPr>
        <w:t>Quadro 13 — Funções de escritório de projetos no COGME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070"/>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70" w:type="dxa"/>
          </w:tcPr>
          <w:p>
            <w:pPr>
              <w:spacing w:after="0" w:line="240" w:lineRule="auto"/>
              <w:rPr>
                <w:rFonts w:ascii="Times New Roman" w:hAnsi="Times New Roman"/>
              </w:rPr>
            </w:pPr>
            <w:r>
              <w:rPr>
                <w:rFonts w:ascii="Times New Roman" w:hAnsi="Times New Roman"/>
              </w:rPr>
              <w:t>Função de escritório de projetos</w:t>
            </w:r>
          </w:p>
        </w:tc>
        <w:tc>
          <w:tcPr>
            <w:tcW w:w="3070" w:type="dxa"/>
          </w:tcPr>
          <w:p>
            <w:pPr>
              <w:spacing w:after="0" w:line="240" w:lineRule="auto"/>
              <w:rPr>
                <w:rFonts w:ascii="Times New Roman" w:hAnsi="Times New Roman"/>
              </w:rPr>
            </w:pPr>
            <w:r>
              <w:rPr>
                <w:rFonts w:ascii="Times New Roman" w:hAnsi="Times New Roman"/>
              </w:rPr>
              <w:t>Como é exercida no COGME</w:t>
            </w:r>
          </w:p>
        </w:tc>
        <w:tc>
          <w:tcPr>
            <w:tcW w:w="3071" w:type="dxa"/>
          </w:tcPr>
          <w:p>
            <w:pPr>
              <w:spacing w:after="0" w:line="240" w:lineRule="auto"/>
              <w:rPr>
                <w:rFonts w:ascii="Times New Roman" w:hAnsi="Times New Roman"/>
              </w:rPr>
            </w:pPr>
            <w:r>
              <w:rPr>
                <w:rFonts w:ascii="Times New Roman" w:hAnsi="Times New Roman"/>
              </w:rPr>
              <w:t>Artefato ou ferramenta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Governança e tomada de decisão</w:t>
            </w:r>
          </w:p>
        </w:tc>
        <w:tc>
          <w:tcPr>
            <w:tcW w:w="3070" w:type="dxa"/>
          </w:tcPr>
          <w:p>
            <w:pPr>
              <w:spacing w:after="0" w:line="240" w:lineRule="auto"/>
              <w:rPr>
                <w:rFonts w:ascii="Times New Roman" w:hAnsi="Times New Roman"/>
              </w:rPr>
            </w:pPr>
            <w:r>
              <w:rPr>
                <w:rFonts w:ascii="Times New Roman" w:hAnsi="Times New Roman"/>
              </w:rPr>
              <w:t>Decisões estruturantes registradas, datadas e justificadas antes da execução</w:t>
            </w:r>
          </w:p>
        </w:tc>
        <w:tc>
          <w:tcPr>
            <w:tcW w:w="3071" w:type="dxa"/>
          </w:tcPr>
          <w:p>
            <w:pPr>
              <w:spacing w:after="0" w:line="240" w:lineRule="auto"/>
              <w:rPr>
                <w:rFonts w:ascii="Times New Roman" w:hAnsi="Times New Roman"/>
              </w:rPr>
            </w:pPr>
            <w:r>
              <w:rPr>
                <w:rFonts w:ascii="Times New Roman" w:hAnsi="Times New Roman"/>
              </w:rPr>
              <w:t>Registros de decisão arquitetural (ADR-001 a ADR-004)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Padronização de processos</w:t>
            </w:r>
          </w:p>
        </w:tc>
        <w:tc>
          <w:tcPr>
            <w:tcW w:w="3070" w:type="dxa"/>
          </w:tcPr>
          <w:p>
            <w:pPr>
              <w:spacing w:after="0" w:line="240" w:lineRule="auto"/>
              <w:rPr>
                <w:rFonts w:ascii="Times New Roman" w:hAnsi="Times New Roman"/>
              </w:rPr>
            </w:pPr>
            <w:r>
              <w:rPr>
                <w:rFonts w:ascii="Times New Roman" w:hAnsi="Times New Roman"/>
              </w:rPr>
              <w:t>Modelos de issue e de pull request, convenção de commits e critérios de revisão</w:t>
            </w:r>
          </w:p>
        </w:tc>
        <w:tc>
          <w:tcPr>
            <w:tcW w:w="3071" w:type="dxa"/>
          </w:tcPr>
          <w:p>
            <w:pPr>
              <w:spacing w:after="0" w:line="240" w:lineRule="auto"/>
              <w:rPr>
                <w:rFonts w:ascii="Times New Roman" w:hAnsi="Times New Roman"/>
              </w:rPr>
            </w:pPr>
            <w:r>
              <w:rPr>
                <w:rFonts w:ascii="Times New Roman" w:hAnsi="Times New Roman"/>
              </w:rPr>
              <w:t>Repositório do projeto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rPr>
            </w:pPr>
            <w:r>
              <w:rPr>
                <w:rFonts w:ascii="Times New Roman" w:hAnsi="Times New Roman"/>
              </w:rPr>
              <w:t>Repositório de conhecimento</w:t>
            </w:r>
          </w:p>
        </w:tc>
        <w:tc>
          <w:tcPr>
            <w:tcW w:w="3070" w:type="dxa"/>
          </w:tcPr>
          <w:p>
            <w:pPr>
              <w:spacing w:after="0" w:line="240" w:lineRule="auto"/>
              <w:rPr>
                <w:rFonts w:ascii="Times New Roman" w:hAnsi="Times New Roman"/>
              </w:rPr>
            </w:pPr>
            <w:r>
              <w:rPr>
                <w:rFonts w:ascii="Times New Roman" w:hAnsi="Times New Roman"/>
              </w:rPr>
              <w:t>Documentação versionada junto ao código, acessível a toda a equipe</w:t>
            </w:r>
          </w:p>
        </w:tc>
        <w:tc>
          <w:tcPr>
            <w:tcW w:w="3071" w:type="dxa"/>
          </w:tcPr>
          <w:p>
            <w:pPr>
              <w:spacing w:after="0" w:line="240" w:lineRule="auto"/>
              <w:rPr>
                <w:rFonts w:ascii="Times New Roman" w:hAnsi="Times New Roman"/>
              </w:rPr>
            </w:pPr>
            <w:r>
              <w:rPr>
                <w:rFonts w:ascii="Times New Roman" w:hAnsi="Times New Roman"/>
              </w:rPr>
              <w:t>Diretório de documentação do repositório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Monitoramento de desempenho</w:t>
            </w:r>
          </w:p>
        </w:tc>
        <w:tc>
          <w:tcPr>
            <w:tcW w:w="3070" w:type="dxa"/>
          </w:tcPr>
          <w:p>
            <w:pPr>
              <w:spacing w:after="0" w:line="240" w:lineRule="auto"/>
              <w:rPr>
                <w:rFonts w:ascii="Times New Roman" w:hAnsi="Times New Roman"/>
              </w:rPr>
            </w:pPr>
            <w:r>
              <w:rPr>
                <w:rFonts w:ascii="Times New Roman" w:hAnsi="Times New Roman"/>
              </w:rPr>
              <w:t>Acompanhamento contínuo das métricas de fluxo e dos indicadores de qualidade</w:t>
            </w:r>
          </w:p>
        </w:tc>
        <w:tc>
          <w:tcPr>
            <w:tcW w:w="3071" w:type="dxa"/>
          </w:tcPr>
          <w:p>
            <w:pPr>
              <w:spacing w:after="0" w:line="240" w:lineRule="auto"/>
              <w:rPr>
                <w:rFonts w:ascii="Times New Roman" w:hAnsi="Times New Roman"/>
              </w:rPr>
            </w:pPr>
            <w:r>
              <w:rPr>
                <w:rFonts w:ascii="Times New Roman" w:hAnsi="Times New Roman"/>
              </w:rPr>
              <w:t>Painel do GitHub Projects e painel de medição (Quadro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Controle integrado de mudanças</w:t>
            </w:r>
          </w:p>
        </w:tc>
        <w:tc>
          <w:tcPr>
            <w:tcW w:w="3070" w:type="dxa"/>
          </w:tcPr>
          <w:p>
            <w:pPr>
              <w:spacing w:after="0" w:line="240" w:lineRule="auto"/>
              <w:rPr>
                <w:rFonts w:ascii="Times New Roman" w:hAnsi="Times New Roman"/>
              </w:rPr>
            </w:pPr>
            <w:r>
              <w:rPr>
                <w:rFonts w:ascii="Times New Roman" w:hAnsi="Times New Roman"/>
              </w:rPr>
              <w:t>Alterações de escopo submetidas à aprovação do orientador antes da execução</w:t>
            </w:r>
          </w:p>
        </w:tc>
        <w:tc>
          <w:tcPr>
            <w:tcW w:w="3071" w:type="dxa"/>
          </w:tcPr>
          <w:p>
            <w:pPr>
              <w:spacing w:after="0" w:line="240" w:lineRule="auto"/>
              <w:rPr>
                <w:rFonts w:ascii="Times New Roman" w:hAnsi="Times New Roman"/>
              </w:rPr>
            </w:pPr>
            <w:r>
              <w:rPr>
                <w:rFonts w:ascii="Times New Roman" w:hAnsi="Times New Roman"/>
              </w:rPr>
              <w:t>Comitê de controle de mudanças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Gestão de riscos</w:t>
            </w:r>
          </w:p>
        </w:tc>
        <w:tc>
          <w:tcPr>
            <w:tcW w:w="3070" w:type="dxa"/>
          </w:tcPr>
          <w:p>
            <w:pPr>
              <w:spacing w:after="0" w:line="240" w:lineRule="auto"/>
              <w:rPr>
                <w:rFonts w:ascii="Times New Roman" w:hAnsi="Times New Roman"/>
              </w:rPr>
            </w:pPr>
            <w:r>
              <w:rPr>
                <w:rFonts w:ascii="Times New Roman" w:hAnsi="Times New Roman"/>
              </w:rPr>
              <w:t>Registro vivo, revisado a cada marco, com resposta planejada por risco</w:t>
            </w:r>
          </w:p>
        </w:tc>
        <w:tc>
          <w:tcPr>
            <w:tcW w:w="3071" w:type="dxa"/>
          </w:tcPr>
          <w:p>
            <w:pPr>
              <w:spacing w:after="0" w:line="240" w:lineRule="auto"/>
              <w:rPr>
                <w:rFonts w:ascii="Times New Roman" w:hAnsi="Times New Roman"/>
              </w:rPr>
            </w:pPr>
            <w:r>
              <w:rPr>
                <w:rFonts w:ascii="Times New Roman" w:hAnsi="Times New Roman"/>
              </w:rPr>
              <w:t>Registro de riscos (Quadro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rPr>
            </w:pPr>
            <w:r>
              <w:rPr>
                <w:rFonts w:ascii="Times New Roman" w:hAnsi="Times New Roman"/>
              </w:rPr>
              <w:t>Suporte metodológico</w:t>
            </w:r>
          </w:p>
        </w:tc>
        <w:tc>
          <w:tcPr>
            <w:tcW w:w="3070" w:type="dxa"/>
          </w:tcPr>
          <w:p>
            <w:pPr>
              <w:spacing w:after="0" w:line="240" w:lineRule="auto"/>
              <w:rPr>
                <w:rFonts w:ascii="Times New Roman" w:hAnsi="Times New Roman"/>
              </w:rPr>
            </w:pPr>
            <w:r>
              <w:rPr>
                <w:rFonts w:ascii="Times New Roman" w:hAnsi="Times New Roman"/>
              </w:rPr>
              <w:t>Definição da abordagem, dos limites de trabalho em progresso e da cadência</w:t>
            </w:r>
          </w:p>
        </w:tc>
        <w:tc>
          <w:tcPr>
            <w:tcW w:w="3071" w:type="dxa"/>
          </w:tcPr>
          <w:p>
            <w:pPr>
              <w:spacing w:after="0" w:line="240" w:lineRule="auto"/>
              <w:rPr>
                <w:rFonts w:ascii="Times New Roman" w:hAnsi="Times New Roman"/>
              </w:rPr>
            </w:pPr>
            <w:r>
              <w:rPr>
                <w:rFonts w:ascii="Times New Roman" w:hAnsi="Times New Roman"/>
              </w:rPr>
              <w:t>Estratégia de adaptação (Quadro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rPr>
            </w:pPr>
            <w:r>
              <w:rPr>
                <w:rFonts w:ascii="Times New Roman" w:hAnsi="Times New Roman"/>
              </w:rPr>
              <w:t>Gestão de benefícios</w:t>
            </w:r>
          </w:p>
        </w:tc>
        <w:tc>
          <w:tcPr>
            <w:tcW w:w="3070" w:type="dxa"/>
          </w:tcPr>
          <w:p>
            <w:pPr>
              <w:spacing w:after="0" w:line="240" w:lineRule="auto"/>
              <w:rPr>
                <w:rFonts w:ascii="Times New Roman" w:hAnsi="Times New Roman"/>
              </w:rPr>
            </w:pPr>
            <w:r>
              <w:rPr>
                <w:rFonts w:ascii="Times New Roman" w:hAnsi="Times New Roman"/>
              </w:rPr>
              <w:t>Acompanhamento do valor entregue frente aos objetivos declarados no TAP</w:t>
            </w:r>
          </w:p>
        </w:tc>
        <w:tc>
          <w:tcPr>
            <w:tcW w:w="3071" w:type="dxa"/>
          </w:tcPr>
          <w:p>
            <w:pPr>
              <w:spacing w:after="0" w:line="240" w:lineRule="auto"/>
              <w:rPr>
                <w:rFonts w:ascii="Times New Roman" w:hAnsi="Times New Roman"/>
              </w:rPr>
            </w:pPr>
            <w:r>
              <w:rPr>
                <w:rFonts w:ascii="Times New Roman" w:hAnsi="Times New Roman"/>
              </w:rPr>
              <w:t>Critérios de aceite e objetivos SMART do TAP</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pStyle w:val="2"/>
        <w:spacing w:before="360" w:after="360"/>
        <w:rPr>
          <w:rFonts w:cs="Times New Roman"/>
          <w:color w:val="000000"/>
        </w:rPr>
      </w:pPr>
      <w:bookmarkStart w:id="21" w:name="_Toc240734463"/>
      <w:r>
        <w:rPr>
          <w:rFonts w:cs="Times New Roman"/>
          <w:color w:val="000000"/>
        </w:rPr>
        <w:t>2.6.2 Matriz de Responsabilidade</w:t>
      </w:r>
      <w:bookmarkEnd w:id="21"/>
    </w:p>
    <w:p>
      <w:pPr>
        <w:spacing w:after="0" w:line="360" w:lineRule="auto"/>
        <w:ind w:firstLine="708"/>
        <w:jc w:val="both"/>
        <w:rPr>
          <w:rFonts w:ascii="Times New Roman" w:hAnsi="Times New Roman"/>
          <w:color w:val="000000"/>
          <w:sz w:val="24"/>
        </w:rPr>
      </w:pPr>
      <w:r>
        <w:rPr>
          <w:rFonts w:ascii="Times New Roman" w:hAnsi="Times New Roman"/>
          <w:color w:val="000000"/>
          <w:sz w:val="24"/>
        </w:rPr>
        <w:t>A matriz de responsabilidades do projeto adota o formato RACI simplificado, coerente com a dimensão da equipe e com a premissa P7, segundo a qual o professor orientador é o único stakeholder formal com poder de aprovação, acumulando os papéis de patrocinador, avaliador e presidente do comitê de controle de mudanças. O Quadro 14 apresenta a matriz aplicada às principais entregas do projeto, na qual se adota a convenção R para responsável pela execução, A para aprovador, C para consultado e I para informado.</w:t>
      </w:r>
    </w:p>
    <w:p>
      <w:pPr>
        <w:spacing w:before="240" w:after="60" w:line="240" w:lineRule="auto"/>
        <w:rPr>
          <w:rFonts w:ascii="Times New Roman" w:hAnsi="Times New Roman"/>
          <w:sz w:val="24"/>
        </w:rPr>
      </w:pPr>
      <w:r>
        <w:rPr>
          <w:rFonts w:ascii="Times New Roman" w:hAnsi="Times New Roman"/>
          <w:sz w:val="24"/>
        </w:rPr>
        <w:t>Quadro 14 — Matriz de responsabilidade (RACI)</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303"/>
        <w:gridCol w:w="2303"/>
        <w:gridCol w:w="2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2" w:type="dxa"/>
          </w:tcPr>
          <w:p>
            <w:pPr>
              <w:spacing w:after="0" w:line="240" w:lineRule="auto"/>
              <w:rPr>
                <w:rFonts w:ascii="Times New Roman" w:hAnsi="Times New Roman"/>
                <w:sz w:val="20"/>
              </w:rPr>
            </w:pPr>
            <w:r>
              <w:rPr>
                <w:rFonts w:ascii="Times New Roman" w:hAnsi="Times New Roman"/>
                <w:sz w:val="20"/>
              </w:rPr>
              <w:t>Entrega / Decisão</w:t>
            </w:r>
          </w:p>
        </w:tc>
        <w:tc>
          <w:tcPr>
            <w:tcW w:w="2303" w:type="dxa"/>
          </w:tcPr>
          <w:p>
            <w:pPr>
              <w:spacing w:after="0" w:line="240" w:lineRule="auto"/>
              <w:rPr>
                <w:rFonts w:ascii="Times New Roman" w:hAnsi="Times New Roman"/>
                <w:sz w:val="20"/>
              </w:rPr>
            </w:pPr>
            <w:r>
              <w:rPr>
                <w:rFonts w:ascii="Times New Roman" w:hAnsi="Times New Roman"/>
                <w:sz w:val="20"/>
              </w:rPr>
              <w:t>Gerente do Projeto</w:t>
            </w:r>
          </w:p>
        </w:tc>
        <w:tc>
          <w:tcPr>
            <w:tcW w:w="2303" w:type="dxa"/>
          </w:tcPr>
          <w:p>
            <w:pPr>
              <w:spacing w:after="0" w:line="240" w:lineRule="auto"/>
              <w:rPr>
                <w:rFonts w:ascii="Times New Roman" w:hAnsi="Times New Roman"/>
                <w:sz w:val="20"/>
              </w:rPr>
            </w:pPr>
            <w:r>
              <w:rPr>
                <w:rFonts w:ascii="Times New Roman" w:hAnsi="Times New Roman"/>
                <w:sz w:val="20"/>
              </w:rPr>
              <w:t>Desenvolvedor</w:t>
            </w:r>
          </w:p>
        </w:tc>
        <w:tc>
          <w:tcPr>
            <w:tcW w:w="2303" w:type="dxa"/>
          </w:tcPr>
          <w:p>
            <w:pPr>
              <w:spacing w:after="0" w:line="240" w:lineRule="auto"/>
              <w:rPr>
                <w:rFonts w:ascii="Times New Roman" w:hAnsi="Times New Roman"/>
                <w:sz w:val="20"/>
              </w:rPr>
            </w:pPr>
            <w:r>
              <w:rPr>
                <w:rFonts w:ascii="Times New Roman" w:hAnsi="Times New Roman"/>
                <w:sz w:val="20"/>
              </w:rPr>
              <w:t>Orientador (Cliente/CCB)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Termo de Abertura do Projeto (TAP)</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Planos de Gerenciamento</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Levantamento de Requisitos</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Registros de Decisão Arquitetural (ADR)</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Desenvolvimento do Backend</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Desenvolvimento do Frontend</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Testes Automatizados e UAT</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Pipeline de CI e Implantação</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Solicitações de Mudança</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tcPr>
          <w:p>
            <w:pPr>
              <w:spacing w:after="0" w:line="240" w:lineRule="auto"/>
              <w:rPr>
                <w:rFonts w:ascii="Times New Roman" w:hAnsi="Times New Roman"/>
                <w:sz w:val="20"/>
              </w:rPr>
            </w:pPr>
            <w:r>
              <w:rPr>
                <w:rFonts w:ascii="Times New Roman" w:hAnsi="Times New Roman"/>
                <w:sz w:val="20"/>
              </w:rPr>
              <w:t>Documentação Técnica e Manual</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2" w:type="dxa"/>
          </w:tcPr>
          <w:p>
            <w:pPr>
              <w:spacing w:after="0" w:line="240" w:lineRule="auto"/>
              <w:rPr>
                <w:rFonts w:ascii="Times New Roman" w:hAnsi="Times New Roman"/>
                <w:sz w:val="20"/>
              </w:rPr>
            </w:pPr>
            <w:r>
              <w:rPr>
                <w:rFonts w:ascii="Times New Roman" w:hAnsi="Times New Roman"/>
                <w:sz w:val="20"/>
              </w:rPr>
              <w:t>Apresentação Final e Aceite</w:t>
            </w:r>
          </w:p>
        </w:tc>
        <w:tc>
          <w:tcPr>
            <w:tcW w:w="2303" w:type="dxa"/>
          </w:tcPr>
          <w:p>
            <w:pPr>
              <w:spacing w:after="0" w:line="240" w:lineRule="auto"/>
              <w:rPr>
                <w:rFonts w:ascii="Times New Roman" w:hAnsi="Times New Roman"/>
                <w:sz w:val="20"/>
              </w:rPr>
            </w:pPr>
            <w:r>
              <w:rPr>
                <w:rFonts w:ascii="Times New Roman" w:hAnsi="Times New Roman"/>
                <w:sz w:val="20"/>
              </w:rPr>
              <w:t>R</w:t>
            </w:r>
          </w:p>
        </w:tc>
        <w:tc>
          <w:tcPr>
            <w:tcW w:w="2303" w:type="dxa"/>
          </w:tcPr>
          <w:p>
            <w:pPr>
              <w:spacing w:after="0" w:line="240" w:lineRule="auto"/>
              <w:rPr>
                <w:rFonts w:ascii="Times New Roman" w:hAnsi="Times New Roman"/>
                <w:sz w:val="20"/>
              </w:rPr>
            </w:pPr>
            <w:r>
              <w:rPr>
                <w:rFonts w:ascii="Times New Roman" w:hAnsi="Times New Roman"/>
                <w:sz w:val="20"/>
              </w:rPr>
              <w:t>C</w:t>
            </w:r>
          </w:p>
        </w:tc>
        <w:tc>
          <w:tcPr>
            <w:tcW w:w="2303" w:type="dxa"/>
          </w:tcPr>
          <w:p>
            <w:pPr>
              <w:spacing w:after="0" w:line="240" w:lineRule="auto"/>
              <w:rPr>
                <w:rFonts w:ascii="Times New Roman" w:hAnsi="Times New Roman"/>
                <w:sz w:val="20"/>
              </w:rPr>
            </w:pPr>
            <w:r>
              <w:rPr>
                <w:rFonts w:ascii="Times New Roman" w:hAnsi="Times New Roman"/>
                <w:sz w:val="20"/>
              </w:rPr>
              <w:t>A</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
      <w:pPr>
        <w:pStyle w:val="2"/>
        <w:spacing w:before="360" w:after="360"/>
        <w:rPr>
          <w:rFonts w:cs="Times New Roman"/>
          <w:color w:val="000000"/>
        </w:rPr>
      </w:pPr>
      <w:bookmarkStart w:id="22" w:name="_Toc240734464"/>
      <w:r>
        <w:rPr>
          <w:rFonts w:cs="Times New Roman"/>
          <w:color w:val="000000"/>
        </w:rPr>
        <w:t>2.7 Gerenciamento das Comunicações</w:t>
      </w:r>
      <w:bookmarkEnd w:id="22"/>
    </w:p>
    <w:p>
      <w:pPr>
        <w:spacing w:after="0" w:line="360" w:lineRule="auto"/>
        <w:ind w:firstLine="708"/>
        <w:jc w:val="both"/>
        <w:rPr>
          <w:rFonts w:ascii="Times New Roman" w:hAnsi="Times New Roman"/>
          <w:color w:val="000000"/>
          <w:sz w:val="24"/>
        </w:rPr>
      </w:pPr>
      <w:r>
        <w:rPr>
          <w:rFonts w:ascii="Times New Roman" w:hAnsi="Times New Roman"/>
          <w:color w:val="000000"/>
          <w:sz w:val="24"/>
        </w:rPr>
        <w:t>O gerenciamento das comunicações do projeto COGME é estruturado na fase N9 da EAP, integrante da macro-fase de Fundação, e orienta-se pelo Domínio de Stakeholders do PMBOK® 7ª edição, sob a premissa de comunicação predominantemente assíncrona e concentrada em um único repositório. A decisão de adotar o GitHub Projects como fonte única de verdade eliminou os relatórios quinzenais estáticos originalmente previstos, substituídos pela consulta direta aos painéis e às discussões do repositório — decisão registrada no ADR-001 e justificada pelo princípio de governança mínima viável.</w:t>
      </w:r>
    </w:p>
    <w:p>
      <w:pPr>
        <w:spacing w:after="0" w:line="360" w:lineRule="auto"/>
        <w:ind w:firstLine="708"/>
        <w:jc w:val="both"/>
        <w:rPr>
          <w:rFonts w:ascii="Times New Roman" w:hAnsi="Times New Roman"/>
          <w:sz w:val="24"/>
        </w:rPr>
      </w:pPr>
      <w:r>
        <w:rPr>
          <w:rFonts w:ascii="Times New Roman" w:hAnsi="Times New Roman"/>
          <w:sz w:val="24"/>
        </w:rPr>
        <w:t>Embora o orientador seja o único stakeholder com poder formal de aprovação, o projeto reconhece outras partes interessadas cuja influência, ainda que indireta, condiciona decisões de escopo e de comunicação. Classificadas pelo grau de poder e de interesse, situam-se em alta influência e alto interesse o orientador e a própria equipe de desenvolvimento; em baixo poder e alto interesse, os profissionais autônomos que constituem o público-alvo do produto e a comunidade de software livre, cujo engajamento se dá pela abertura do repositório; e em alto poder e baixo interesse, a banca avaliadora e a coordenação do curso, cuja expectativa é atendida pela conformidade documental. A estratégia de engajamento é, portanto, diferenciada: aprovação formal e cadência definida para o primeiro grupo, transparência do repositório para o segundo e aderência às normas acadêmicas para o terceiro.</w:t>
      </w:r>
    </w:p>
    <w:p>
      <w:pPr>
        <w:pStyle w:val="2"/>
        <w:spacing w:before="360" w:after="360"/>
        <w:rPr>
          <w:rFonts w:cs="Times New Roman"/>
          <w:color w:val="000000"/>
        </w:rPr>
      </w:pPr>
      <w:bookmarkStart w:id="23" w:name="_Toc240734465"/>
      <w:r>
        <w:rPr>
          <w:rFonts w:cs="Times New Roman"/>
          <w:color w:val="000000"/>
        </w:rPr>
        <w:t>2.7.1 Comunicação Interna</w:t>
      </w:r>
      <w:bookmarkEnd w:id="23"/>
    </w:p>
    <w:p>
      <w:pPr>
        <w:spacing w:after="0" w:line="360" w:lineRule="auto"/>
        <w:ind w:firstLine="708"/>
        <w:jc w:val="both"/>
        <w:rPr>
          <w:rFonts w:ascii="Times New Roman" w:hAnsi="Times New Roman"/>
          <w:color w:val="000000"/>
          <w:sz w:val="24"/>
        </w:rPr>
      </w:pPr>
      <w:r>
        <w:rPr>
          <w:rFonts w:ascii="Times New Roman" w:hAnsi="Times New Roman"/>
          <w:color w:val="000000"/>
          <w:sz w:val="24"/>
        </w:rPr>
        <w:t>Internamente, a comunicação entre os dois integrantes ocorre de forma assíncrona e diária, por meio do quadro Kanban do GitHub Projects — que registra o andamento e os impedimentos de cada cartão — e das discussões do repositório, utilizadas também para o autorrelato semanal de carga de trabalho previsto na métrica de sobrecarga. Impedimentos e riscos são sinalizados por etiquetas específicas, e as decisões técnicas relevantes são consolidadas em registros de decisão arquitetural, compondo a base de conhecimento do projeto (fase N10).</w:t>
      </w:r>
    </w:p>
    <w:p>
      <w:pPr>
        <w:pStyle w:val="2"/>
        <w:spacing w:before="360" w:after="360"/>
        <w:rPr>
          <w:rFonts w:cs="Times New Roman"/>
          <w:color w:val="000000"/>
        </w:rPr>
      </w:pPr>
      <w:bookmarkStart w:id="24" w:name="_Toc240734466"/>
      <w:r>
        <w:rPr>
          <w:rFonts w:cs="Times New Roman"/>
          <w:color w:val="000000"/>
        </w:rPr>
        <w:t>2.7.2 Comunicação Externa</w:t>
      </w:r>
      <w:bookmarkEnd w:id="24"/>
    </w:p>
    <w:p>
      <w:pPr>
        <w:spacing w:after="0" w:line="360" w:lineRule="auto"/>
        <w:ind w:firstLine="708"/>
        <w:jc w:val="both"/>
        <w:rPr>
          <w:rFonts w:ascii="Times New Roman" w:hAnsi="Times New Roman"/>
          <w:color w:val="000000"/>
          <w:sz w:val="24"/>
        </w:rPr>
      </w:pPr>
      <w:r>
        <w:rPr>
          <w:rFonts w:ascii="Times New Roman" w:hAnsi="Times New Roman"/>
          <w:color w:val="000000"/>
          <w:sz w:val="24"/>
        </w:rPr>
        <w:t>Externamente, a comunicação com o professor orientador, na qualidade de cliente e único stakeholder formal, ocorre pelos canais oficiais definidos no pacote N9.2 — repositório público, correio eletrônico e reuniões presenciais — complementados pelas cerimônias de apresentação e validação previstas no pacote N9.4. Por deliberação de governança, qualquer decisão que privilegie a entrega de valor em detrimento da completude documental deve ser justificada por registro de decisão arquitetural e comunicada ao orientador no prazo de até 48 horas. A submissão formal das entregas ocorre por meio de registro de demanda no próprio repositório, preservando a rastreabilidade das aprovações.</w:t>
      </w:r>
    </w:p>
    <w:p>
      <w:pPr>
        <w:pStyle w:val="2"/>
        <w:spacing w:before="360" w:after="360"/>
        <w:rPr>
          <w:rFonts w:cs="Times New Roman"/>
          <w:color w:val="000000"/>
        </w:rPr>
      </w:pPr>
      <w:bookmarkStart w:id="25" w:name="_Toc240734467"/>
      <w:r>
        <w:rPr>
          <w:rFonts w:cs="Times New Roman"/>
          <w:color w:val="000000"/>
        </w:rPr>
        <w:t>2.7.3 Representar as Comunicações</w:t>
      </w:r>
      <w:bookmarkEnd w:id="25"/>
    </w:p>
    <w:p>
      <w:pPr>
        <w:spacing w:after="0" w:line="360" w:lineRule="auto"/>
        <w:ind w:firstLine="708"/>
        <w:jc w:val="both"/>
        <w:rPr>
          <w:rFonts w:ascii="Times New Roman" w:hAnsi="Times New Roman"/>
          <w:color w:val="000000"/>
          <w:sz w:val="24"/>
        </w:rPr>
      </w:pPr>
      <w:r>
        <w:rPr>
          <w:rFonts w:ascii="Times New Roman" w:hAnsi="Times New Roman"/>
          <w:color w:val="000000"/>
          <w:sz w:val="24"/>
        </w:rPr>
        <w:t>A representação formal do fluxo de comunicações é dada pela matriz RACI apresentada na seção 2.6.2, complementada pelo mapeamento entre domínios de desempenho, ritos de execução e artefatos de comunicação: o Domínio de Stakeholders é atendido por revisão assíncrona em registros de demanda, com artefato de matriz de comunicação simplificada e periodicidade quinzenal; o Domínio de Equipe, por acompanhamento diário assíncrono e limites de trabalho em progresso, com artefato de matriz RACI; o Domínio de Planejamento, por refinamento semanal do backlog; o Domínio de Medição, por painéis de métricas de fluxo com frequência semanal; e o Domínio de Incerteza, por registro de riscos com etiquetas específicas e revisão quinzenal.</w:t>
      </w:r>
    </w:p>
    <w:p>
      <w:pPr>
        <w:pStyle w:val="2"/>
        <w:spacing w:before="360" w:after="360"/>
        <w:rPr>
          <w:rFonts w:cs="Times New Roman"/>
          <w:color w:val="000000"/>
        </w:rPr>
      </w:pPr>
      <w:bookmarkStart w:id="26" w:name="_Toc240734468"/>
      <w:r>
        <w:rPr>
          <w:rFonts w:cs="Times New Roman"/>
          <w:color w:val="000000"/>
        </w:rPr>
        <w:t>2.8 Gerenciamento de Riscos</w:t>
      </w:r>
      <w:bookmarkEnd w:id="26"/>
    </w:p>
    <w:p>
      <w:pPr>
        <w:spacing w:after="0" w:line="360" w:lineRule="auto"/>
        <w:ind w:firstLine="708"/>
        <w:jc w:val="both"/>
        <w:rPr>
          <w:rFonts w:ascii="Times New Roman" w:hAnsi="Times New Roman"/>
          <w:color w:val="000000"/>
          <w:sz w:val="24"/>
        </w:rPr>
      </w:pPr>
      <w:r>
        <w:rPr>
          <w:rFonts w:ascii="Times New Roman" w:hAnsi="Times New Roman"/>
          <w:color w:val="000000"/>
          <w:sz w:val="24"/>
        </w:rPr>
        <w:t>O gerenciamento de riscos do projeto orienta-se pelo Domínio de Incerteza do PMBOK® 7ª edição e é operacionalizado por um registro de riscos mantido no próprio repositório, com etiquetas de risco e de impedimento, submetido a revisão quinzenal. Cada risco é qualificado por probabilidade, impacto e severidade resultante, e associado a uma resposta planejada com responsável e prazo. A seguir, os riscos são apresentados em duas categorias — comuns a projetos de desenvolvimento de software e específicos do contexto do COGME —, sendo o registro consolidado apresentado na subseção 2.8.3.</w:t>
      </w:r>
    </w:p>
    <w:p>
      <w:pPr>
        <w:pStyle w:val="2"/>
        <w:spacing w:before="360" w:after="360"/>
        <w:rPr>
          <w:rFonts w:cs="Times New Roman"/>
          <w:color w:val="000000"/>
        </w:rPr>
      </w:pPr>
      <w:bookmarkStart w:id="27" w:name="_Toc240734469"/>
      <w:r>
        <w:rPr>
          <w:rFonts w:cs="Times New Roman"/>
          <w:color w:val="000000"/>
        </w:rPr>
        <w:t>2.8.1 Comuns</w:t>
      </w:r>
      <w:bookmarkEnd w:id="27"/>
    </w:p>
    <w:p>
      <w:pPr>
        <w:spacing w:after="0" w:line="360" w:lineRule="auto"/>
        <w:ind w:firstLine="708"/>
        <w:jc w:val="both"/>
        <w:rPr>
          <w:rFonts w:ascii="Times New Roman" w:hAnsi="Times New Roman"/>
          <w:color w:val="000000"/>
          <w:sz w:val="24"/>
        </w:rPr>
      </w:pPr>
      <w:r>
        <w:rPr>
          <w:rFonts w:ascii="Times New Roman" w:hAnsi="Times New Roman"/>
          <w:color w:val="000000"/>
          <w:sz w:val="24"/>
        </w:rPr>
        <w:t>Entre os riscos comuns a projetos de desenvolvimento de software, destacam-se: a sobrecarga de governança, com probabilidade estimada em 70%, consistente no consumo de mais da metade do tempo da equipe por atividades de documentação em detrimento da construção do produto, mitigado pela aplicação do princípio de governança mínima viável; a alteração não controlada de escopo, com probabilidade de 50% e impacto alto, mitigada por critérios rigorosos de prontidão e pela submissão de mudanças ao comitê de controle; a sobrecarga da equipe, com probabilidade de 50%, decorrente da eventual extrapolação do limite de 20 horas semanais por integrante, monitorada por métrica explícita e por limites de trabalho em progresso; e a ausência de plano formal de contingência, consequência direta da inexistência de recursos financeiros, humanos ou tecnológicos excedentes, o que torna a resposta a imprevistos dependente de ações preventivas e de replanejamento rápido.</w:t>
      </w:r>
    </w:p>
    <w:p>
      <w:pPr>
        <w:pStyle w:val="2"/>
        <w:spacing w:before="360" w:after="360"/>
        <w:rPr>
          <w:rFonts w:cs="Times New Roman"/>
          <w:color w:val="000000"/>
        </w:rPr>
      </w:pPr>
      <w:bookmarkStart w:id="28" w:name="_Toc240734470"/>
      <w:r>
        <w:rPr>
          <w:rFonts w:cs="Times New Roman"/>
          <w:color w:val="000000"/>
        </w:rPr>
        <w:t>2.8.2 Específicos</w:t>
      </w:r>
      <w:bookmarkEnd w:id="28"/>
    </w:p>
    <w:p>
      <w:pPr>
        <w:spacing w:after="0" w:line="360" w:lineRule="auto"/>
        <w:ind w:firstLine="708"/>
        <w:jc w:val="both"/>
        <w:rPr>
          <w:rFonts w:ascii="Times New Roman" w:hAnsi="Times New Roman"/>
          <w:color w:val="000000"/>
          <w:sz w:val="24"/>
        </w:rPr>
      </w:pPr>
      <w:r>
        <w:rPr>
          <w:rFonts w:ascii="Times New Roman" w:hAnsi="Times New Roman"/>
          <w:color w:val="000000"/>
          <w:sz w:val="24"/>
        </w:rPr>
        <w:t>Como riscos específicos do COGME, destacam-se: a indefinição da stack tecnológica, originalmente o risco mais severo do projeto, com probabilidade estimada em 80% e potencial de bloqueio integral da fase de desenvolvimento, encerrado pela formalização do ADR-002; a dessincronização entre a EAP e o quadro Kanban, com probabilidade de 60%, mitigada por mapeamento um para um entre pacotes de trabalho e cartões; a confusão conceitual entre TAP, EAP e ciclos PDCA, endereçada pelo ADR-004; o não atendimento das metas de desempenho pela inferência local de modelos de linguagem, mitigado pela existência de modelo alternativo de menor porte previamente validado; a dependência crítica de APIs externas gratuitas de cotação cambial, cuja indisponibilidade compromete a função central do produto, mitigada pela adoção da API do Banco Central do Brasil como fonte oficial e pelo cache local de cotações; a desatualização das tarifas e dos spreads dos provedores de pagamento internacional, nem sempre expostos por interface pública, endereçada por base parametrizável com data de vigência e revisão manual periódica; a divergência entre a cotação PTAX e a taxa efetivamente praticada pelo provedor, tratada pela exibição explícita da fonte e da data de cada cotação; e a exigência de licenciamento integralmente aberto do produto final, que restringe sua comercialização futura. Registre-se ainda o risco de que o orientador venha a exigir cronograma em formato tradicional de Gantt, considerado mitigado pela possibilidade de derivá-lo a partir do quadro Kanban.</w:t>
      </w:r>
    </w:p>
    <w:p>
      <w:pPr>
        <w:pStyle w:val="2"/>
        <w:spacing w:before="360" w:after="360"/>
        <w:rPr>
          <w:rFonts w:cs="Times New Roman"/>
          <w:color w:val="000000"/>
        </w:rPr>
      </w:pPr>
      <w:bookmarkStart w:id="29" w:name="_Toc240734471"/>
      <w:r>
        <w:rPr>
          <w:rFonts w:cs="Times New Roman"/>
          <w:color w:val="000000"/>
        </w:rPr>
        <w:t>2.8.3 Quadro de Riscos</w:t>
      </w:r>
      <w:bookmarkEnd w:id="29"/>
    </w:p>
    <w:p>
      <w:pPr>
        <w:spacing w:after="0" w:line="360" w:lineRule="auto"/>
        <w:ind w:firstLine="708"/>
        <w:jc w:val="both"/>
        <w:rPr>
          <w:rFonts w:ascii="Times New Roman" w:hAnsi="Times New Roman"/>
          <w:color w:val="000000"/>
          <w:sz w:val="24"/>
        </w:rPr>
      </w:pPr>
      <w:r>
        <w:rPr>
          <w:rFonts w:ascii="Times New Roman" w:hAnsi="Times New Roman"/>
          <w:color w:val="000000"/>
          <w:sz w:val="24"/>
        </w:rPr>
        <w:t>O Quadro 15 consolida o registro de riscos do projeto, organizado por categoria, reunindo primeiro as ameaças e, ao final, as oportunidades, com a respectiva qualificação de impacto e severidade, a resposta planejada e a situação de acompanhamento na data de elaboração deste trabalho.</w:t>
      </w:r>
    </w:p>
    <w:p>
      <w:pPr>
        <w:spacing w:after="0" w:line="360" w:lineRule="auto"/>
        <w:ind w:firstLine="708"/>
        <w:jc w:val="both"/>
        <w:rPr>
          <w:rFonts w:ascii="Times New Roman" w:hAnsi="Times New Roman"/>
          <w:sz w:val="24"/>
        </w:rPr>
      </w:pPr>
      <w:r>
        <w:rPr>
          <w:rFonts w:ascii="Times New Roman" w:hAnsi="Times New Roman"/>
          <w:sz w:val="24"/>
        </w:rPr>
        <w:t>O Domínio de Incerteza do PMBOK® 7ª edição trata a incerteza em ambas as direções, de modo que o registro contempla não apenas ameaças, mas também oportunidades — eventos incertos cuja ocorrência produz efeito favorável e que, por isso, demandam resposta deliberada de exploração, e não de mitigação. As oportunidades identificadas encontram-se ao final do quadro, sob a identificação O-01 a O-03. Registre-se, ainda, que a inexistência de orçamento de aquisições impede a constituição de reserva de contingência financeira; a reserva do projeto é, portanto, de cronograma, materializada na folga de 28% apurada no plano de ação do marco parcial e reservada exclusivamente à absorção de riscos materializados, não à ampliação de escopo.</w:t>
      </w:r>
    </w:p>
    <w:p>
      <w:pPr>
        <w:spacing w:before="240" w:after="60" w:line="240" w:lineRule="auto"/>
        <w:rPr>
          <w:rFonts w:ascii="Times New Roman" w:hAnsi="Times New Roman"/>
          <w:sz w:val="24"/>
        </w:rPr>
      </w:pPr>
      <w:r>
        <w:rPr>
          <w:rFonts w:ascii="Times New Roman" w:hAnsi="Times New Roman"/>
          <w:sz w:val="24"/>
        </w:rPr>
        <w:t>Quadro 15 — Registro de riscos do projeto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1683"/>
        <w:gridCol w:w="1406"/>
        <w:gridCol w:w="1153"/>
        <w:gridCol w:w="1105"/>
        <w:gridCol w:w="1405"/>
        <w:gridCol w:w="1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3" w:type="dxa"/>
          </w:tcPr>
          <w:p>
            <w:pPr>
              <w:spacing w:after="0" w:line="240" w:lineRule="auto"/>
              <w:rPr>
                <w:rFonts w:ascii="Times New Roman" w:hAnsi="Times New Roman"/>
                <w:sz w:val="20"/>
              </w:rPr>
            </w:pPr>
            <w:r>
              <w:rPr>
                <w:rFonts w:ascii="Times New Roman" w:hAnsi="Times New Roman"/>
                <w:sz w:val="20"/>
              </w:rPr>
              <w:t>ID</w:t>
            </w:r>
          </w:p>
        </w:tc>
        <w:tc>
          <w:tcPr>
            <w:tcW w:w="1623" w:type="dxa"/>
          </w:tcPr>
          <w:p>
            <w:pPr>
              <w:spacing w:after="0" w:line="240" w:lineRule="auto"/>
              <w:rPr>
                <w:rFonts w:ascii="Times New Roman" w:hAnsi="Times New Roman"/>
                <w:sz w:val="20"/>
              </w:rPr>
            </w:pPr>
            <w:r>
              <w:rPr>
                <w:rFonts w:ascii="Times New Roman" w:hAnsi="Times New Roman"/>
                <w:sz w:val="20"/>
              </w:rPr>
              <w:t>Risco</w:t>
            </w:r>
          </w:p>
        </w:tc>
        <w:tc>
          <w:tcPr>
            <w:tcW w:w="1429" w:type="dxa"/>
          </w:tcPr>
          <w:p>
            <w:pPr>
              <w:spacing w:after="0" w:line="240" w:lineRule="auto"/>
              <w:rPr>
                <w:rFonts w:ascii="Times New Roman" w:hAnsi="Times New Roman"/>
                <w:sz w:val="20"/>
              </w:rPr>
            </w:pPr>
            <w:r>
              <w:rPr>
                <w:rFonts w:ascii="Times New Roman" w:hAnsi="Times New Roman"/>
                <w:sz w:val="20"/>
              </w:rPr>
              <w:t>Prob.</w:t>
            </w:r>
          </w:p>
        </w:tc>
        <w:tc>
          <w:tcPr>
            <w:tcW w:w="1161" w:type="dxa"/>
          </w:tcPr>
          <w:p>
            <w:pPr>
              <w:spacing w:after="0" w:line="240" w:lineRule="auto"/>
              <w:rPr>
                <w:rFonts w:ascii="Times New Roman" w:hAnsi="Times New Roman"/>
                <w:sz w:val="20"/>
              </w:rPr>
            </w:pPr>
            <w:r>
              <w:rPr>
                <w:rFonts w:ascii="Times New Roman" w:hAnsi="Times New Roman"/>
                <w:sz w:val="20"/>
              </w:rPr>
              <w:t>Impacto</w:t>
            </w:r>
          </w:p>
        </w:tc>
        <w:tc>
          <w:tcPr>
            <w:tcW w:w="1105" w:type="dxa"/>
          </w:tcPr>
          <w:p>
            <w:pPr>
              <w:spacing w:after="0" w:line="240" w:lineRule="auto"/>
              <w:rPr>
                <w:rFonts w:ascii="Times New Roman" w:hAnsi="Times New Roman"/>
                <w:sz w:val="20"/>
              </w:rPr>
            </w:pPr>
            <w:r>
              <w:rPr>
                <w:rFonts w:ascii="Times New Roman" w:hAnsi="Times New Roman"/>
                <w:sz w:val="20"/>
              </w:rPr>
              <w:t>Severidade</w:t>
            </w:r>
          </w:p>
        </w:tc>
        <w:tc>
          <w:tcPr>
            <w:tcW w:w="1405" w:type="dxa"/>
          </w:tcPr>
          <w:p>
            <w:pPr>
              <w:spacing w:after="0" w:line="240" w:lineRule="auto"/>
              <w:rPr>
                <w:rFonts w:ascii="Times New Roman" w:hAnsi="Times New Roman"/>
                <w:sz w:val="20"/>
              </w:rPr>
            </w:pPr>
            <w:r>
              <w:rPr>
                <w:rFonts w:ascii="Times New Roman" w:hAnsi="Times New Roman"/>
                <w:sz w:val="20"/>
              </w:rPr>
              <w:t>Resposta Planejada</w:t>
            </w:r>
          </w:p>
        </w:tc>
        <w:tc>
          <w:tcPr>
            <w:tcW w:w="1161" w:type="dxa"/>
          </w:tcPr>
          <w:p>
            <w:pPr>
              <w:spacing w:after="0" w:line="240" w:lineRule="auto"/>
              <w:rPr>
                <w:rFonts w:ascii="Times New Roman" w:hAnsi="Times New Roman"/>
                <w:sz w:val="20"/>
              </w:rPr>
            </w:pPr>
            <w:r>
              <w:rPr>
                <w:rFonts w:ascii="Times New Roman" w:hAnsi="Times New Roman"/>
                <w:sz w:val="20"/>
              </w:rPr>
              <w:t>Situação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R-01</w:t>
            </w:r>
          </w:p>
        </w:tc>
        <w:tc>
          <w:tcPr>
            <w:tcW w:w="1623" w:type="dxa"/>
          </w:tcPr>
          <w:p>
            <w:pPr>
              <w:spacing w:after="0" w:line="240" w:lineRule="auto"/>
              <w:rPr>
                <w:rFonts w:ascii="Times New Roman" w:hAnsi="Times New Roman"/>
                <w:sz w:val="20"/>
              </w:rPr>
            </w:pPr>
            <w:r>
              <w:rPr>
                <w:rFonts w:ascii="Times New Roman" w:hAnsi="Times New Roman"/>
                <w:sz w:val="20"/>
              </w:rPr>
              <w:t>Stack tecnológica FOSS indefinida bloqueia a fase de desenvolvimento</w:t>
            </w:r>
          </w:p>
        </w:tc>
        <w:tc>
          <w:tcPr>
            <w:tcW w:w="1429" w:type="dxa"/>
          </w:tcPr>
          <w:p>
            <w:pPr>
              <w:spacing w:after="0" w:line="240" w:lineRule="auto"/>
              <w:rPr>
                <w:rFonts w:ascii="Times New Roman" w:hAnsi="Times New Roman"/>
                <w:sz w:val="20"/>
              </w:rPr>
            </w:pPr>
            <w:r>
              <w:rPr>
                <w:rFonts w:ascii="Times New Roman" w:hAnsi="Times New Roman"/>
                <w:sz w:val="20"/>
              </w:rPr>
              <w:t>80%</w:t>
            </w:r>
          </w:p>
        </w:tc>
        <w:tc>
          <w:tcPr>
            <w:tcW w:w="1161" w:type="dxa"/>
          </w:tcPr>
          <w:p>
            <w:pPr>
              <w:spacing w:after="0" w:line="240" w:lineRule="auto"/>
              <w:rPr>
                <w:rFonts w:ascii="Times New Roman" w:hAnsi="Times New Roman"/>
                <w:sz w:val="20"/>
              </w:rPr>
            </w:pPr>
            <w:r>
              <w:rPr>
                <w:rFonts w:ascii="Times New Roman" w:hAnsi="Times New Roman"/>
                <w:sz w:val="20"/>
              </w:rPr>
              <w:t>Alto</w:t>
            </w:r>
          </w:p>
        </w:tc>
        <w:tc>
          <w:tcPr>
            <w:tcW w:w="1105" w:type="dxa"/>
          </w:tcPr>
          <w:p>
            <w:pPr>
              <w:spacing w:after="0" w:line="240" w:lineRule="auto"/>
              <w:rPr>
                <w:rFonts w:ascii="Times New Roman" w:hAnsi="Times New Roman"/>
                <w:sz w:val="20"/>
              </w:rPr>
            </w:pPr>
            <w:r>
              <w:rPr>
                <w:rFonts w:ascii="Times New Roman" w:hAnsi="Times New Roman"/>
                <w:sz w:val="20"/>
              </w:rPr>
              <w:t>Crítica</w:t>
            </w:r>
          </w:p>
        </w:tc>
        <w:tc>
          <w:tcPr>
            <w:tcW w:w="1405" w:type="dxa"/>
          </w:tcPr>
          <w:p>
            <w:pPr>
              <w:spacing w:after="0" w:line="240" w:lineRule="auto"/>
              <w:rPr>
                <w:rFonts w:ascii="Times New Roman" w:hAnsi="Times New Roman"/>
                <w:sz w:val="20"/>
              </w:rPr>
            </w:pPr>
            <w:r>
              <w:rPr>
                <w:rFonts w:ascii="Times New Roman" w:hAnsi="Times New Roman"/>
                <w:sz w:val="20"/>
              </w:rPr>
              <w:t>Formalização do ADR-002 (stack e SDD local)</w:t>
            </w:r>
          </w:p>
        </w:tc>
        <w:tc>
          <w:tcPr>
            <w:tcW w:w="1161" w:type="dxa"/>
          </w:tcPr>
          <w:p>
            <w:pPr>
              <w:spacing w:after="0" w:line="240" w:lineRule="auto"/>
              <w:rPr>
                <w:rFonts w:ascii="Times New Roman" w:hAnsi="Times New Roman"/>
                <w:sz w:val="20"/>
              </w:rPr>
            </w:pPr>
            <w:r>
              <w:rPr>
                <w:rFonts w:ascii="Times New Roman" w:hAnsi="Times New Roman"/>
                <w:sz w:val="20"/>
              </w:rPr>
              <w:t>Encerrado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R-02</w:t>
            </w:r>
          </w:p>
        </w:tc>
        <w:tc>
          <w:tcPr>
            <w:tcW w:w="1623" w:type="dxa"/>
          </w:tcPr>
          <w:p>
            <w:pPr>
              <w:spacing w:after="0" w:line="240" w:lineRule="auto"/>
              <w:rPr>
                <w:rFonts w:ascii="Times New Roman" w:hAnsi="Times New Roman"/>
                <w:sz w:val="20"/>
              </w:rPr>
            </w:pPr>
            <w:r>
              <w:rPr>
                <w:rFonts w:ascii="Times New Roman" w:hAnsi="Times New Roman"/>
                <w:sz w:val="20"/>
              </w:rPr>
              <w:t>EAP não sincronizada com o quadro Kanban</w:t>
            </w:r>
          </w:p>
        </w:tc>
        <w:tc>
          <w:tcPr>
            <w:tcW w:w="1429" w:type="dxa"/>
          </w:tcPr>
          <w:p>
            <w:pPr>
              <w:spacing w:after="0" w:line="240" w:lineRule="auto"/>
              <w:rPr>
                <w:rFonts w:ascii="Times New Roman" w:hAnsi="Times New Roman"/>
                <w:sz w:val="20"/>
              </w:rPr>
            </w:pPr>
            <w:r>
              <w:rPr>
                <w:rFonts w:ascii="Times New Roman" w:hAnsi="Times New Roman"/>
                <w:sz w:val="20"/>
              </w:rPr>
              <w:t>60%</w:t>
            </w:r>
          </w:p>
        </w:tc>
        <w:tc>
          <w:tcPr>
            <w:tcW w:w="1161" w:type="dxa"/>
          </w:tcPr>
          <w:p>
            <w:pPr>
              <w:spacing w:after="0" w:line="240" w:lineRule="auto"/>
              <w:rPr>
                <w:rFonts w:ascii="Times New Roman" w:hAnsi="Times New Roman"/>
                <w:sz w:val="20"/>
              </w:rPr>
            </w:pPr>
            <w:r>
              <w:rPr>
                <w:rFonts w:ascii="Times New Roman" w:hAnsi="Times New Roman"/>
                <w:sz w:val="20"/>
              </w:rPr>
              <w:t>Alto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Mapeamento um para um entre pacotes e cartões</w:t>
            </w:r>
          </w:p>
        </w:tc>
        <w:tc>
          <w:tcPr>
            <w:tcW w:w="1161" w:type="dxa"/>
          </w:tcPr>
          <w:p>
            <w:pPr>
              <w:spacing w:after="0" w:line="240" w:lineRule="auto"/>
              <w:rPr>
                <w:rFonts w:ascii="Times New Roman" w:hAnsi="Times New Roman"/>
                <w:sz w:val="20"/>
              </w:rPr>
            </w:pPr>
            <w:r>
              <w:rPr>
                <w:rFonts w:ascii="Times New Roman" w:hAnsi="Times New Roman"/>
                <w:sz w:val="20"/>
              </w:rPr>
              <w:t>Em andamento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3" w:type="dxa"/>
          </w:tcPr>
          <w:p>
            <w:pPr>
              <w:spacing w:after="0" w:line="240" w:lineRule="auto"/>
              <w:rPr>
                <w:rFonts w:ascii="Times New Roman" w:hAnsi="Times New Roman"/>
                <w:sz w:val="20"/>
              </w:rPr>
            </w:pPr>
            <w:r>
              <w:rPr>
                <w:rFonts w:ascii="Times New Roman" w:hAnsi="Times New Roman"/>
                <w:sz w:val="20"/>
              </w:rPr>
              <w:t>R-03</w:t>
            </w:r>
          </w:p>
        </w:tc>
        <w:tc>
          <w:tcPr>
            <w:tcW w:w="1623" w:type="dxa"/>
          </w:tcPr>
          <w:p>
            <w:pPr>
              <w:spacing w:after="0" w:line="240" w:lineRule="auto"/>
              <w:rPr>
                <w:rFonts w:ascii="Times New Roman" w:hAnsi="Times New Roman"/>
                <w:sz w:val="20"/>
              </w:rPr>
            </w:pPr>
            <w:r>
              <w:rPr>
                <w:rFonts w:ascii="Times New Roman" w:hAnsi="Times New Roman"/>
                <w:sz w:val="20"/>
              </w:rPr>
              <w:t>Governança consome mais de 50% do tempo da equipe</w:t>
            </w:r>
          </w:p>
        </w:tc>
        <w:tc>
          <w:tcPr>
            <w:tcW w:w="1429" w:type="dxa"/>
          </w:tcPr>
          <w:p>
            <w:pPr>
              <w:spacing w:after="0" w:line="240" w:lineRule="auto"/>
              <w:rPr>
                <w:rFonts w:ascii="Times New Roman" w:hAnsi="Times New Roman"/>
                <w:sz w:val="20"/>
              </w:rPr>
            </w:pPr>
            <w:r>
              <w:rPr>
                <w:rFonts w:ascii="Times New Roman" w:hAnsi="Times New Roman"/>
                <w:sz w:val="20"/>
              </w:rPr>
              <w:t>70%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Aplicação do princípio de governança mínima viável</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R-04</w:t>
            </w:r>
          </w:p>
        </w:tc>
        <w:tc>
          <w:tcPr>
            <w:tcW w:w="1623" w:type="dxa"/>
          </w:tcPr>
          <w:p>
            <w:pPr>
              <w:spacing w:after="0" w:line="240" w:lineRule="auto"/>
              <w:rPr>
                <w:rFonts w:ascii="Times New Roman" w:hAnsi="Times New Roman"/>
                <w:sz w:val="20"/>
              </w:rPr>
            </w:pPr>
            <w:r>
              <w:rPr>
                <w:rFonts w:ascii="Times New Roman" w:hAnsi="Times New Roman"/>
                <w:sz w:val="20"/>
              </w:rPr>
              <w:t>Alteração não controlada de escopo (scope creep)</w:t>
            </w:r>
          </w:p>
        </w:tc>
        <w:tc>
          <w:tcPr>
            <w:tcW w:w="1429" w:type="dxa"/>
          </w:tcPr>
          <w:p>
            <w:pPr>
              <w:spacing w:after="0" w:line="240" w:lineRule="auto"/>
              <w:rPr>
                <w:rFonts w:ascii="Times New Roman" w:hAnsi="Times New Roman"/>
                <w:sz w:val="20"/>
              </w:rPr>
            </w:pPr>
            <w:r>
              <w:rPr>
                <w:rFonts w:ascii="Times New Roman" w:hAnsi="Times New Roman"/>
                <w:sz w:val="20"/>
              </w:rPr>
              <w:t>50%</w:t>
            </w:r>
          </w:p>
        </w:tc>
        <w:tc>
          <w:tcPr>
            <w:tcW w:w="1161" w:type="dxa"/>
          </w:tcPr>
          <w:p>
            <w:pPr>
              <w:spacing w:after="0" w:line="240" w:lineRule="auto"/>
              <w:rPr>
                <w:rFonts w:ascii="Times New Roman" w:hAnsi="Times New Roman"/>
                <w:sz w:val="20"/>
              </w:rPr>
            </w:pPr>
            <w:r>
              <w:rPr>
                <w:rFonts w:ascii="Times New Roman" w:hAnsi="Times New Roman"/>
                <w:sz w:val="20"/>
              </w:rPr>
              <w:t>Alto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Comitê de controle de mudanças e critérios de prontidão</w:t>
            </w:r>
          </w:p>
        </w:tc>
        <w:tc>
          <w:tcPr>
            <w:tcW w:w="1161" w:type="dxa"/>
          </w:tcPr>
          <w:p>
            <w:pPr>
              <w:spacing w:after="0" w:line="240" w:lineRule="auto"/>
              <w:rPr>
                <w:rFonts w:ascii="Times New Roman" w:hAnsi="Times New Roman"/>
                <w:sz w:val="20"/>
              </w:rPr>
            </w:pPr>
            <w:r>
              <w:rPr>
                <w:rFonts w:ascii="Times New Roman" w:hAnsi="Times New Roman"/>
                <w:sz w:val="20"/>
              </w:rPr>
              <w:t>Monitorado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R-05</w:t>
            </w:r>
          </w:p>
        </w:tc>
        <w:tc>
          <w:tcPr>
            <w:tcW w:w="1623" w:type="dxa"/>
          </w:tcPr>
          <w:p>
            <w:pPr>
              <w:spacing w:after="0" w:line="240" w:lineRule="auto"/>
              <w:rPr>
                <w:rFonts w:ascii="Times New Roman" w:hAnsi="Times New Roman"/>
                <w:sz w:val="20"/>
              </w:rPr>
            </w:pPr>
            <w:r>
              <w:rPr>
                <w:rFonts w:ascii="Times New Roman" w:hAnsi="Times New Roman"/>
                <w:sz w:val="20"/>
              </w:rPr>
              <w:t>Equipe excede 20 horas semanais (sobrecarga)</w:t>
            </w:r>
          </w:p>
        </w:tc>
        <w:tc>
          <w:tcPr>
            <w:tcW w:w="1429" w:type="dxa"/>
          </w:tcPr>
          <w:p>
            <w:pPr>
              <w:spacing w:after="0" w:line="240" w:lineRule="auto"/>
              <w:rPr>
                <w:rFonts w:ascii="Times New Roman" w:hAnsi="Times New Roman"/>
                <w:sz w:val="20"/>
              </w:rPr>
            </w:pPr>
            <w:r>
              <w:rPr>
                <w:rFonts w:ascii="Times New Roman" w:hAnsi="Times New Roman"/>
                <w:sz w:val="20"/>
              </w:rPr>
              <w:t>50%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Limites de trabalho em progresso e métrica de sobrecarga</w:t>
            </w:r>
          </w:p>
        </w:tc>
        <w:tc>
          <w:tcPr>
            <w:tcW w:w="1161" w:type="dxa"/>
          </w:tcPr>
          <w:p>
            <w:pPr>
              <w:spacing w:after="0" w:line="240" w:lineRule="auto"/>
              <w:rPr>
                <w:rFonts w:ascii="Times New Roman" w:hAnsi="Times New Roman"/>
                <w:sz w:val="20"/>
              </w:rPr>
            </w:pPr>
            <w:r>
              <w:rPr>
                <w:rFonts w:ascii="Times New Roman" w:hAnsi="Times New Roman"/>
                <w:sz w:val="20"/>
              </w:rPr>
              <w:t>Monitorado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R-06</w:t>
            </w:r>
          </w:p>
        </w:tc>
        <w:tc>
          <w:tcPr>
            <w:tcW w:w="1623" w:type="dxa"/>
          </w:tcPr>
          <w:p>
            <w:pPr>
              <w:spacing w:after="0" w:line="240" w:lineRule="auto"/>
              <w:rPr>
                <w:rFonts w:ascii="Times New Roman" w:hAnsi="Times New Roman"/>
                <w:sz w:val="20"/>
              </w:rPr>
            </w:pPr>
            <w:r>
              <w:rPr>
                <w:rFonts w:ascii="Times New Roman" w:hAnsi="Times New Roman"/>
                <w:sz w:val="20"/>
              </w:rPr>
              <w:t>Indisponibilidade ou limitação da API gratuita de câmbio</w:t>
            </w:r>
          </w:p>
        </w:tc>
        <w:tc>
          <w:tcPr>
            <w:tcW w:w="1429" w:type="dxa"/>
          </w:tcPr>
          <w:p>
            <w:pPr>
              <w:spacing w:after="0" w:line="240" w:lineRule="auto"/>
              <w:rPr>
                <w:rFonts w:ascii="Times New Roman" w:hAnsi="Times New Roman"/>
                <w:sz w:val="20"/>
              </w:rPr>
            </w:pPr>
            <w:r>
              <w:rPr>
                <w:rFonts w:ascii="Times New Roman" w:hAnsi="Times New Roman"/>
                <w:sz w:val="20"/>
              </w:rPr>
              <w:t>40%</w:t>
            </w:r>
          </w:p>
        </w:tc>
        <w:tc>
          <w:tcPr>
            <w:tcW w:w="1161" w:type="dxa"/>
          </w:tcPr>
          <w:p>
            <w:pPr>
              <w:spacing w:after="0" w:line="240" w:lineRule="auto"/>
              <w:rPr>
                <w:rFonts w:ascii="Times New Roman" w:hAnsi="Times New Roman"/>
                <w:sz w:val="20"/>
              </w:rPr>
            </w:pPr>
            <w:r>
              <w:rPr>
                <w:rFonts w:ascii="Times New Roman" w:hAnsi="Times New Roman"/>
                <w:sz w:val="20"/>
              </w:rPr>
              <w:t>Alto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Cache local de cotações e provedor alternativo</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3" w:type="dxa"/>
          </w:tcPr>
          <w:p>
            <w:pPr>
              <w:spacing w:after="0" w:line="240" w:lineRule="auto"/>
              <w:rPr>
                <w:rFonts w:ascii="Times New Roman" w:hAnsi="Times New Roman"/>
                <w:sz w:val="20"/>
              </w:rPr>
            </w:pPr>
            <w:r>
              <w:rPr>
                <w:rFonts w:ascii="Times New Roman" w:hAnsi="Times New Roman"/>
                <w:sz w:val="20"/>
              </w:rPr>
              <w:t>R-07</w:t>
            </w:r>
          </w:p>
        </w:tc>
        <w:tc>
          <w:tcPr>
            <w:tcW w:w="1623" w:type="dxa"/>
          </w:tcPr>
          <w:p>
            <w:pPr>
              <w:spacing w:after="0" w:line="240" w:lineRule="auto"/>
              <w:rPr>
                <w:rFonts w:ascii="Times New Roman" w:hAnsi="Times New Roman"/>
                <w:sz w:val="20"/>
              </w:rPr>
            </w:pPr>
            <w:r>
              <w:rPr>
                <w:rFonts w:ascii="Times New Roman" w:hAnsi="Times New Roman"/>
                <w:sz w:val="20"/>
              </w:rPr>
              <w:t>Erros lógicos ou de segurança em código gerado por IA</w:t>
            </w:r>
          </w:p>
        </w:tc>
        <w:tc>
          <w:tcPr>
            <w:tcW w:w="1429" w:type="dxa"/>
          </w:tcPr>
          <w:p>
            <w:pPr>
              <w:spacing w:after="0" w:line="240" w:lineRule="auto"/>
              <w:rPr>
                <w:rFonts w:ascii="Times New Roman" w:hAnsi="Times New Roman"/>
                <w:sz w:val="20"/>
              </w:rPr>
            </w:pPr>
            <w:r>
              <w:rPr>
                <w:rFonts w:ascii="Times New Roman" w:hAnsi="Times New Roman"/>
                <w:sz w:val="20"/>
              </w:rPr>
              <w:t>40%</w:t>
            </w:r>
          </w:p>
        </w:tc>
        <w:tc>
          <w:tcPr>
            <w:tcW w:w="1161" w:type="dxa"/>
          </w:tcPr>
          <w:p>
            <w:pPr>
              <w:spacing w:after="0" w:line="240" w:lineRule="auto"/>
              <w:rPr>
                <w:rFonts w:ascii="Times New Roman" w:hAnsi="Times New Roman"/>
                <w:sz w:val="20"/>
              </w:rPr>
            </w:pPr>
            <w:r>
              <w:rPr>
                <w:rFonts w:ascii="Times New Roman" w:hAnsi="Times New Roman"/>
                <w:sz w:val="20"/>
              </w:rPr>
              <w:t>Alto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Revisão humana obrigatória, testes e commits rastreáveis</w:t>
            </w:r>
          </w:p>
        </w:tc>
        <w:tc>
          <w:tcPr>
            <w:tcW w:w="1161" w:type="dxa"/>
          </w:tcPr>
          <w:p>
            <w:pPr>
              <w:spacing w:after="0" w:line="240" w:lineRule="auto"/>
              <w:rPr>
                <w:rFonts w:ascii="Times New Roman" w:hAnsi="Times New Roman"/>
                <w:sz w:val="20"/>
              </w:rPr>
            </w:pPr>
            <w:r>
              <w:rPr>
                <w:rFonts w:ascii="Times New Roman" w:hAnsi="Times New Roman"/>
                <w:sz w:val="20"/>
              </w:rPr>
              <w:t>Monitorado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R-08</w:t>
            </w:r>
          </w:p>
        </w:tc>
        <w:tc>
          <w:tcPr>
            <w:tcW w:w="1623" w:type="dxa"/>
          </w:tcPr>
          <w:p>
            <w:pPr>
              <w:spacing w:after="0" w:line="240" w:lineRule="auto"/>
              <w:rPr>
                <w:rFonts w:ascii="Times New Roman" w:hAnsi="Times New Roman"/>
                <w:sz w:val="20"/>
              </w:rPr>
            </w:pPr>
            <w:r>
              <w:rPr>
                <w:rFonts w:ascii="Times New Roman" w:hAnsi="Times New Roman"/>
                <w:sz w:val="20"/>
              </w:rPr>
              <w:t>Ciclos PDCA não documentados por atividade</w:t>
            </w:r>
          </w:p>
        </w:tc>
        <w:tc>
          <w:tcPr>
            <w:tcW w:w="1429" w:type="dxa"/>
          </w:tcPr>
          <w:p>
            <w:pPr>
              <w:spacing w:after="0" w:line="240" w:lineRule="auto"/>
              <w:rPr>
                <w:rFonts w:ascii="Times New Roman" w:hAnsi="Times New Roman"/>
                <w:sz w:val="20"/>
              </w:rPr>
            </w:pPr>
            <w:r>
              <w:rPr>
                <w:rFonts w:ascii="Times New Roman" w:hAnsi="Times New Roman"/>
                <w:sz w:val="20"/>
              </w:rPr>
              <w:t>40%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Média</w:t>
            </w:r>
          </w:p>
        </w:tc>
        <w:tc>
          <w:tcPr>
            <w:tcW w:w="1405" w:type="dxa"/>
          </w:tcPr>
          <w:p>
            <w:pPr>
              <w:spacing w:after="0" w:line="240" w:lineRule="auto"/>
              <w:rPr>
                <w:rFonts w:ascii="Times New Roman" w:hAnsi="Times New Roman"/>
                <w:sz w:val="20"/>
              </w:rPr>
            </w:pPr>
            <w:r>
              <w:rPr>
                <w:rFonts w:ascii="Times New Roman" w:hAnsi="Times New Roman"/>
                <w:sz w:val="20"/>
              </w:rPr>
              <w:t>Template padronizado de PDCA no Plano de Qualidade</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R-09</w:t>
            </w:r>
          </w:p>
        </w:tc>
        <w:tc>
          <w:tcPr>
            <w:tcW w:w="1623" w:type="dxa"/>
          </w:tcPr>
          <w:p>
            <w:pPr>
              <w:spacing w:after="0" w:line="240" w:lineRule="auto"/>
              <w:rPr>
                <w:rFonts w:ascii="Times New Roman" w:hAnsi="Times New Roman"/>
                <w:sz w:val="20"/>
              </w:rPr>
            </w:pPr>
            <w:r>
              <w:rPr>
                <w:rFonts w:ascii="Times New Roman" w:hAnsi="Times New Roman"/>
                <w:sz w:val="20"/>
              </w:rPr>
              <w:t>Confusão conceitual entre TAP, EAP e PDCA</w:t>
            </w:r>
          </w:p>
        </w:tc>
        <w:tc>
          <w:tcPr>
            <w:tcW w:w="1429" w:type="dxa"/>
          </w:tcPr>
          <w:p>
            <w:pPr>
              <w:spacing w:after="0" w:line="240" w:lineRule="auto"/>
              <w:rPr>
                <w:rFonts w:ascii="Times New Roman" w:hAnsi="Times New Roman"/>
                <w:sz w:val="20"/>
              </w:rPr>
            </w:pPr>
            <w:r>
              <w:rPr>
                <w:rFonts w:ascii="Times New Roman" w:hAnsi="Times New Roman"/>
                <w:sz w:val="20"/>
              </w:rPr>
              <w:t>30%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Média</w:t>
            </w:r>
          </w:p>
        </w:tc>
        <w:tc>
          <w:tcPr>
            <w:tcW w:w="1405" w:type="dxa"/>
          </w:tcPr>
          <w:p>
            <w:pPr>
              <w:spacing w:after="0" w:line="240" w:lineRule="auto"/>
              <w:rPr>
                <w:rFonts w:ascii="Times New Roman" w:hAnsi="Times New Roman"/>
                <w:sz w:val="20"/>
              </w:rPr>
            </w:pPr>
            <w:r>
              <w:rPr>
                <w:rFonts w:ascii="Times New Roman" w:hAnsi="Times New Roman"/>
                <w:sz w:val="20"/>
              </w:rPr>
              <w:t>ADR-004 e alinhamento da equipe</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R-10</w:t>
            </w:r>
          </w:p>
        </w:tc>
        <w:tc>
          <w:tcPr>
            <w:tcW w:w="1623" w:type="dxa"/>
          </w:tcPr>
          <w:p>
            <w:pPr>
              <w:spacing w:after="0" w:line="240" w:lineRule="auto"/>
              <w:rPr>
                <w:rFonts w:ascii="Times New Roman" w:hAnsi="Times New Roman"/>
                <w:sz w:val="20"/>
              </w:rPr>
            </w:pPr>
            <w:r>
              <w:rPr>
                <w:rFonts w:ascii="Times New Roman" w:hAnsi="Times New Roman"/>
                <w:sz w:val="20"/>
              </w:rPr>
              <w:t>Exigência de cronograma tradicional (Gantt)</w:t>
            </w:r>
          </w:p>
        </w:tc>
        <w:tc>
          <w:tcPr>
            <w:tcW w:w="1429" w:type="dxa"/>
          </w:tcPr>
          <w:p>
            <w:pPr>
              <w:spacing w:after="0" w:line="240" w:lineRule="auto"/>
              <w:rPr>
                <w:rFonts w:ascii="Times New Roman" w:hAnsi="Times New Roman"/>
                <w:sz w:val="20"/>
              </w:rPr>
            </w:pPr>
            <w:r>
              <w:rPr>
                <w:rFonts w:ascii="Times New Roman" w:hAnsi="Times New Roman"/>
                <w:sz w:val="20"/>
              </w:rPr>
              <w:t>30%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Média</w:t>
            </w:r>
          </w:p>
        </w:tc>
        <w:tc>
          <w:tcPr>
            <w:tcW w:w="1405" w:type="dxa"/>
          </w:tcPr>
          <w:p>
            <w:pPr>
              <w:spacing w:after="0" w:line="240" w:lineRule="auto"/>
              <w:rPr>
                <w:rFonts w:ascii="Times New Roman" w:hAnsi="Times New Roman"/>
                <w:sz w:val="20"/>
              </w:rPr>
            </w:pPr>
            <w:r>
              <w:rPr>
                <w:rFonts w:ascii="Times New Roman" w:hAnsi="Times New Roman"/>
                <w:sz w:val="20"/>
              </w:rPr>
              <w:t>ADR-001 e geração de Gantt derivado do Kanban</w:t>
            </w:r>
          </w:p>
        </w:tc>
        <w:tc>
          <w:tcPr>
            <w:tcW w:w="1161" w:type="dxa"/>
          </w:tcPr>
          <w:p>
            <w:pPr>
              <w:spacing w:after="0" w:line="240" w:lineRule="auto"/>
              <w:rPr>
                <w:rFonts w:ascii="Times New Roman" w:hAnsi="Times New Roman"/>
                <w:sz w:val="20"/>
              </w:rPr>
            </w:pPr>
            <w:r>
              <w:rPr>
                <w:rFonts w:ascii="Times New Roman" w:hAnsi="Times New Roman"/>
                <w:sz w:val="20"/>
              </w:rPr>
              <w:t>Mitigado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3" w:type="dxa"/>
          </w:tcPr>
          <w:p>
            <w:pPr>
              <w:spacing w:after="0" w:line="240" w:lineRule="auto"/>
              <w:rPr>
                <w:rFonts w:ascii="Times New Roman" w:hAnsi="Times New Roman"/>
                <w:sz w:val="20"/>
              </w:rPr>
            </w:pPr>
            <w:r>
              <w:rPr>
                <w:rFonts w:ascii="Times New Roman" w:hAnsi="Times New Roman"/>
                <w:sz w:val="20"/>
              </w:rPr>
              <w:t>R-11</w:t>
            </w:r>
          </w:p>
        </w:tc>
        <w:tc>
          <w:tcPr>
            <w:tcW w:w="1623" w:type="dxa"/>
          </w:tcPr>
          <w:p>
            <w:pPr>
              <w:spacing w:after="0" w:line="240" w:lineRule="auto"/>
              <w:rPr>
                <w:rFonts w:ascii="Times New Roman" w:hAnsi="Times New Roman"/>
                <w:sz w:val="20"/>
              </w:rPr>
            </w:pPr>
            <w:r>
              <w:rPr>
                <w:rFonts w:ascii="Times New Roman" w:hAnsi="Times New Roman"/>
                <w:sz w:val="20"/>
              </w:rPr>
              <w:t>Diagrama de Ishikawa incompleto</w:t>
            </w:r>
          </w:p>
        </w:tc>
        <w:tc>
          <w:tcPr>
            <w:tcW w:w="1429" w:type="dxa"/>
          </w:tcPr>
          <w:p>
            <w:pPr>
              <w:spacing w:after="0" w:line="240" w:lineRule="auto"/>
              <w:rPr>
                <w:rFonts w:ascii="Times New Roman" w:hAnsi="Times New Roman"/>
                <w:sz w:val="20"/>
              </w:rPr>
            </w:pPr>
            <w:r>
              <w:rPr>
                <w:rFonts w:ascii="Times New Roman" w:hAnsi="Times New Roman"/>
                <w:sz w:val="20"/>
              </w:rPr>
              <w:t>30%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Média</w:t>
            </w:r>
          </w:p>
        </w:tc>
        <w:tc>
          <w:tcPr>
            <w:tcW w:w="1405" w:type="dxa"/>
          </w:tcPr>
          <w:p>
            <w:pPr>
              <w:spacing w:after="0" w:line="240" w:lineRule="auto"/>
              <w:rPr>
                <w:rFonts w:ascii="Times New Roman" w:hAnsi="Times New Roman"/>
                <w:sz w:val="20"/>
              </w:rPr>
            </w:pPr>
            <w:r>
              <w:rPr>
                <w:rFonts w:ascii="Times New Roman" w:hAnsi="Times New Roman"/>
                <w:sz w:val="20"/>
              </w:rPr>
              <w:t>Template padronizado dos 6M no Plano de Qualidade</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R-12</w:t>
            </w:r>
          </w:p>
        </w:tc>
        <w:tc>
          <w:tcPr>
            <w:tcW w:w="1623" w:type="dxa"/>
          </w:tcPr>
          <w:p>
            <w:pPr>
              <w:spacing w:after="0" w:line="240" w:lineRule="auto"/>
              <w:rPr>
                <w:rFonts w:ascii="Times New Roman" w:hAnsi="Times New Roman"/>
                <w:sz w:val="20"/>
              </w:rPr>
            </w:pPr>
            <w:r>
              <w:rPr>
                <w:rFonts w:ascii="Times New Roman" w:hAnsi="Times New Roman"/>
                <w:sz w:val="20"/>
              </w:rPr>
              <w:t>Modelo de linguagem local não atinge o desempenho mínimo</w:t>
            </w:r>
          </w:p>
        </w:tc>
        <w:tc>
          <w:tcPr>
            <w:tcW w:w="1429" w:type="dxa"/>
          </w:tcPr>
          <w:p>
            <w:pPr>
              <w:spacing w:after="0" w:line="240" w:lineRule="auto"/>
              <w:rPr>
                <w:rFonts w:ascii="Times New Roman" w:hAnsi="Times New Roman"/>
                <w:sz w:val="20"/>
              </w:rPr>
            </w:pPr>
            <w:r>
              <w:rPr>
                <w:rFonts w:ascii="Times New Roman" w:hAnsi="Times New Roman"/>
                <w:sz w:val="20"/>
              </w:rPr>
              <w:t>20%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Média</w:t>
            </w:r>
          </w:p>
        </w:tc>
        <w:tc>
          <w:tcPr>
            <w:tcW w:w="1405" w:type="dxa"/>
          </w:tcPr>
          <w:p>
            <w:pPr>
              <w:spacing w:after="0" w:line="240" w:lineRule="auto"/>
              <w:rPr>
                <w:rFonts w:ascii="Times New Roman" w:hAnsi="Times New Roman"/>
                <w:sz w:val="20"/>
              </w:rPr>
            </w:pPr>
            <w:r>
              <w:rPr>
                <w:rFonts w:ascii="Times New Roman" w:hAnsi="Times New Roman"/>
                <w:sz w:val="20"/>
              </w:rPr>
              <w:t>Fallback para modelo de menor porte já validado</w:t>
            </w:r>
          </w:p>
        </w:tc>
        <w:tc>
          <w:tcPr>
            <w:tcW w:w="1161" w:type="dxa"/>
          </w:tcPr>
          <w:p>
            <w:pPr>
              <w:spacing w:after="0" w:line="240" w:lineRule="auto"/>
              <w:rPr>
                <w:rFonts w:ascii="Times New Roman" w:hAnsi="Times New Roman"/>
                <w:sz w:val="20"/>
              </w:rPr>
            </w:pPr>
            <w:r>
              <w:rPr>
                <w:rFonts w:ascii="Times New Roman" w:hAnsi="Times New Roman"/>
                <w:sz w:val="20"/>
              </w:rPr>
              <w:t>Mitigado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R-13</w:t>
            </w:r>
          </w:p>
        </w:tc>
        <w:tc>
          <w:tcPr>
            <w:tcW w:w="1623" w:type="dxa"/>
          </w:tcPr>
          <w:p>
            <w:pPr>
              <w:spacing w:after="0" w:line="240" w:lineRule="auto"/>
              <w:rPr>
                <w:rFonts w:ascii="Times New Roman" w:hAnsi="Times New Roman"/>
                <w:sz w:val="20"/>
              </w:rPr>
            </w:pPr>
            <w:r>
              <w:rPr>
                <w:rFonts w:ascii="Times New Roman" w:hAnsi="Times New Roman"/>
                <w:sz w:val="20"/>
              </w:rPr>
              <w:t>Entrega parcial de 22/09/2026 não concluída</w:t>
            </w:r>
          </w:p>
        </w:tc>
        <w:tc>
          <w:tcPr>
            <w:tcW w:w="1429" w:type="dxa"/>
          </w:tcPr>
          <w:p>
            <w:pPr>
              <w:spacing w:after="0" w:line="240" w:lineRule="auto"/>
              <w:rPr>
                <w:rFonts w:ascii="Times New Roman" w:hAnsi="Times New Roman"/>
                <w:sz w:val="20"/>
              </w:rPr>
            </w:pPr>
            <w:r>
              <w:rPr>
                <w:rFonts w:ascii="Times New Roman" w:hAnsi="Times New Roman"/>
                <w:sz w:val="20"/>
              </w:rPr>
              <w:t>15%</w:t>
            </w:r>
          </w:p>
        </w:tc>
        <w:tc>
          <w:tcPr>
            <w:tcW w:w="1161" w:type="dxa"/>
          </w:tcPr>
          <w:p>
            <w:pPr>
              <w:spacing w:after="0" w:line="240" w:lineRule="auto"/>
              <w:rPr>
                <w:rFonts w:ascii="Times New Roman" w:hAnsi="Times New Roman"/>
                <w:sz w:val="20"/>
              </w:rPr>
            </w:pPr>
            <w:r>
              <w:rPr>
                <w:rFonts w:ascii="Times New Roman" w:hAnsi="Times New Roman"/>
                <w:sz w:val="20"/>
              </w:rPr>
              <w:t>Alto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Plano de ação de 10 a 22/09 com folga de 28%</w:t>
            </w:r>
          </w:p>
        </w:tc>
        <w:tc>
          <w:tcPr>
            <w:tcW w:w="1161" w:type="dxa"/>
          </w:tcPr>
          <w:p>
            <w:pPr>
              <w:spacing w:after="0" w:line="240" w:lineRule="auto"/>
              <w:rPr>
                <w:rFonts w:ascii="Times New Roman" w:hAnsi="Times New Roman"/>
                <w:sz w:val="20"/>
              </w:rPr>
            </w:pPr>
            <w:r>
              <w:rPr>
                <w:rFonts w:ascii="Times New Roman" w:hAnsi="Times New Roman"/>
                <w:sz w:val="20"/>
              </w:rPr>
              <w:t>Mitigado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R-14</w:t>
            </w:r>
          </w:p>
        </w:tc>
        <w:tc>
          <w:tcPr>
            <w:tcW w:w="1623" w:type="dxa"/>
          </w:tcPr>
          <w:p>
            <w:pPr>
              <w:spacing w:after="0" w:line="240" w:lineRule="auto"/>
              <w:rPr>
                <w:rFonts w:ascii="Times New Roman" w:hAnsi="Times New Roman"/>
                <w:sz w:val="20"/>
              </w:rPr>
            </w:pPr>
            <w:r>
              <w:rPr>
                <w:rFonts w:ascii="Times New Roman" w:hAnsi="Times New Roman"/>
                <w:sz w:val="20"/>
              </w:rPr>
              <w:t>Licenciamento aberto restringe comercialização futura</w:t>
            </w:r>
          </w:p>
        </w:tc>
        <w:tc>
          <w:tcPr>
            <w:tcW w:w="1429" w:type="dxa"/>
          </w:tcPr>
          <w:p>
            <w:pPr>
              <w:spacing w:after="0" w:line="240" w:lineRule="auto"/>
              <w:rPr>
                <w:rFonts w:ascii="Times New Roman" w:hAnsi="Times New Roman"/>
                <w:sz w:val="20"/>
              </w:rPr>
            </w:pPr>
            <w:r>
              <w:rPr>
                <w:rFonts w:ascii="Times New Roman" w:hAnsi="Times New Roman"/>
                <w:sz w:val="20"/>
              </w:rPr>
              <w:t>80%</w:t>
            </w:r>
          </w:p>
        </w:tc>
        <w:tc>
          <w:tcPr>
            <w:tcW w:w="1161" w:type="dxa"/>
          </w:tcPr>
          <w:p>
            <w:pPr>
              <w:spacing w:after="0" w:line="240" w:lineRule="auto"/>
              <w:rPr>
                <w:rFonts w:ascii="Times New Roman" w:hAnsi="Times New Roman"/>
                <w:sz w:val="20"/>
              </w:rPr>
            </w:pPr>
            <w:r>
              <w:rPr>
                <w:rFonts w:ascii="Times New Roman" w:hAnsi="Times New Roman"/>
                <w:sz w:val="20"/>
              </w:rPr>
              <w:t>Baixo</w:t>
            </w:r>
          </w:p>
        </w:tc>
        <w:tc>
          <w:tcPr>
            <w:tcW w:w="1105" w:type="dxa"/>
          </w:tcPr>
          <w:p>
            <w:pPr>
              <w:spacing w:after="0" w:line="240" w:lineRule="auto"/>
              <w:rPr>
                <w:rFonts w:ascii="Times New Roman" w:hAnsi="Times New Roman"/>
                <w:sz w:val="20"/>
              </w:rPr>
            </w:pPr>
            <w:r>
              <w:rPr>
                <w:rFonts w:ascii="Times New Roman" w:hAnsi="Times New Roman"/>
                <w:sz w:val="20"/>
              </w:rPr>
              <w:t>Baixa</w:t>
            </w:r>
          </w:p>
        </w:tc>
        <w:tc>
          <w:tcPr>
            <w:tcW w:w="1405" w:type="dxa"/>
          </w:tcPr>
          <w:p>
            <w:pPr>
              <w:spacing w:after="0" w:line="240" w:lineRule="auto"/>
              <w:rPr>
                <w:rFonts w:ascii="Times New Roman" w:hAnsi="Times New Roman"/>
                <w:sz w:val="20"/>
              </w:rPr>
            </w:pPr>
            <w:r>
              <w:rPr>
                <w:rFonts w:ascii="Times New Roman" w:hAnsi="Times New Roman"/>
                <w:sz w:val="20"/>
              </w:rPr>
              <w:t>Risco aceito, decorrente da premissa P2 e do escopo acadêmico</w:t>
            </w:r>
          </w:p>
        </w:tc>
        <w:tc>
          <w:tcPr>
            <w:tcW w:w="1161" w:type="dxa"/>
          </w:tcPr>
          <w:p>
            <w:pPr>
              <w:spacing w:after="0" w:line="240" w:lineRule="auto"/>
              <w:rPr>
                <w:rFonts w:ascii="Times New Roman" w:hAnsi="Times New Roman"/>
                <w:sz w:val="20"/>
              </w:rPr>
            </w:pPr>
            <w:r>
              <w:rPr>
                <w:rFonts w:ascii="Times New Roman" w:hAnsi="Times New Roman"/>
                <w:sz w:val="20"/>
              </w:rPr>
              <w:t>Aceito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3" w:type="dxa"/>
          </w:tcPr>
          <w:p>
            <w:pPr>
              <w:spacing w:after="0" w:line="240" w:lineRule="auto"/>
              <w:rPr>
                <w:rFonts w:ascii="Times New Roman" w:hAnsi="Times New Roman"/>
                <w:sz w:val="20"/>
              </w:rPr>
            </w:pPr>
            <w:r>
              <w:rPr>
                <w:rFonts w:ascii="Times New Roman" w:hAnsi="Times New Roman"/>
                <w:sz w:val="20"/>
              </w:rPr>
              <w:t>R-15</w:t>
            </w:r>
          </w:p>
        </w:tc>
        <w:tc>
          <w:tcPr>
            <w:tcW w:w="1623" w:type="dxa"/>
          </w:tcPr>
          <w:p>
            <w:pPr>
              <w:spacing w:after="0" w:line="240" w:lineRule="auto"/>
              <w:rPr>
                <w:rFonts w:ascii="Times New Roman" w:hAnsi="Times New Roman"/>
                <w:sz w:val="20"/>
              </w:rPr>
            </w:pPr>
            <w:r>
              <w:rPr>
                <w:rFonts w:ascii="Times New Roman" w:hAnsi="Times New Roman"/>
                <w:sz w:val="20"/>
              </w:rPr>
              <w:t>Tarifas e spreads de provedores desatualizados ou sem API pública</w:t>
            </w:r>
          </w:p>
        </w:tc>
        <w:tc>
          <w:tcPr>
            <w:tcW w:w="1429" w:type="dxa"/>
          </w:tcPr>
          <w:p>
            <w:pPr>
              <w:spacing w:after="0" w:line="240" w:lineRule="auto"/>
              <w:rPr>
                <w:rFonts w:ascii="Times New Roman" w:hAnsi="Times New Roman"/>
                <w:sz w:val="20"/>
              </w:rPr>
            </w:pPr>
            <w:r>
              <w:rPr>
                <w:rFonts w:ascii="Times New Roman" w:hAnsi="Times New Roman"/>
                <w:sz w:val="20"/>
              </w:rPr>
              <w:t>60%</w:t>
            </w:r>
          </w:p>
        </w:tc>
        <w:tc>
          <w:tcPr>
            <w:tcW w:w="1161" w:type="dxa"/>
          </w:tcPr>
          <w:p>
            <w:pPr>
              <w:spacing w:after="0" w:line="240" w:lineRule="auto"/>
              <w:rPr>
                <w:rFonts w:ascii="Times New Roman" w:hAnsi="Times New Roman"/>
                <w:sz w:val="20"/>
              </w:rPr>
            </w:pPr>
            <w:r>
              <w:rPr>
                <w:rFonts w:ascii="Times New Roman" w:hAnsi="Times New Roman"/>
                <w:sz w:val="20"/>
              </w:rPr>
              <w:t>Alto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Base parametrizável com data de vigência e revisão manual periódica</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R-16</w:t>
            </w:r>
          </w:p>
        </w:tc>
        <w:tc>
          <w:tcPr>
            <w:tcW w:w="1623" w:type="dxa"/>
          </w:tcPr>
          <w:p>
            <w:pPr>
              <w:spacing w:after="0" w:line="240" w:lineRule="auto"/>
              <w:rPr>
                <w:rFonts w:ascii="Times New Roman" w:hAnsi="Times New Roman"/>
                <w:sz w:val="20"/>
              </w:rPr>
            </w:pPr>
            <w:r>
              <w:rPr>
                <w:rFonts w:ascii="Times New Roman" w:hAnsi="Times New Roman"/>
                <w:sz w:val="20"/>
              </w:rPr>
              <w:t>Divergência entre a cotação PTAX e a taxa praticada pelo provedor</w:t>
            </w:r>
          </w:p>
        </w:tc>
        <w:tc>
          <w:tcPr>
            <w:tcW w:w="1429" w:type="dxa"/>
          </w:tcPr>
          <w:p>
            <w:pPr>
              <w:spacing w:after="0" w:line="240" w:lineRule="auto"/>
              <w:rPr>
                <w:rFonts w:ascii="Times New Roman" w:hAnsi="Times New Roman"/>
                <w:sz w:val="20"/>
              </w:rPr>
            </w:pPr>
            <w:r>
              <w:rPr>
                <w:rFonts w:ascii="Times New Roman" w:hAnsi="Times New Roman"/>
                <w:sz w:val="20"/>
              </w:rPr>
              <w:t>40%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Média</w:t>
            </w:r>
          </w:p>
        </w:tc>
        <w:tc>
          <w:tcPr>
            <w:tcW w:w="1405" w:type="dxa"/>
          </w:tcPr>
          <w:p>
            <w:pPr>
              <w:spacing w:after="0" w:line="240" w:lineRule="auto"/>
              <w:rPr>
                <w:rFonts w:ascii="Times New Roman" w:hAnsi="Times New Roman"/>
                <w:sz w:val="20"/>
              </w:rPr>
            </w:pPr>
            <w:r>
              <w:rPr>
                <w:rFonts w:ascii="Times New Roman" w:hAnsi="Times New Roman"/>
                <w:sz w:val="20"/>
              </w:rPr>
              <w:t>Exibição explícita da fonte e da data de cada cotação no comparativo</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O-01</w:t>
            </w:r>
          </w:p>
        </w:tc>
        <w:tc>
          <w:tcPr>
            <w:tcW w:w="1623" w:type="dxa"/>
          </w:tcPr>
          <w:p>
            <w:pPr>
              <w:spacing w:after="0" w:line="240" w:lineRule="auto"/>
              <w:rPr>
                <w:rFonts w:ascii="Times New Roman" w:hAnsi="Times New Roman"/>
                <w:sz w:val="20"/>
              </w:rPr>
            </w:pPr>
            <w:r>
              <w:rPr>
                <w:rFonts w:ascii="Times New Roman" w:hAnsi="Times New Roman"/>
                <w:sz w:val="20"/>
              </w:rPr>
              <w:t>Ganho de produtividade acima do previsto com o desenvolvimento guiado por especificação</w:t>
            </w:r>
          </w:p>
        </w:tc>
        <w:tc>
          <w:tcPr>
            <w:tcW w:w="1429" w:type="dxa"/>
          </w:tcPr>
          <w:p>
            <w:pPr>
              <w:spacing w:after="0" w:line="240" w:lineRule="auto"/>
              <w:rPr>
                <w:rFonts w:ascii="Times New Roman" w:hAnsi="Times New Roman"/>
                <w:sz w:val="20"/>
              </w:rPr>
            </w:pPr>
            <w:r>
              <w:rPr>
                <w:rFonts w:ascii="Times New Roman" w:hAnsi="Times New Roman"/>
                <w:sz w:val="20"/>
              </w:rPr>
              <w:t>50%</w:t>
            </w:r>
          </w:p>
        </w:tc>
        <w:tc>
          <w:tcPr>
            <w:tcW w:w="1161" w:type="dxa"/>
          </w:tcPr>
          <w:p>
            <w:pPr>
              <w:spacing w:after="0" w:line="240" w:lineRule="auto"/>
              <w:rPr>
                <w:rFonts w:ascii="Times New Roman" w:hAnsi="Times New Roman"/>
                <w:sz w:val="20"/>
              </w:rPr>
            </w:pPr>
            <w:r>
              <w:rPr>
                <w:rFonts w:ascii="Times New Roman" w:hAnsi="Times New Roman"/>
                <w:sz w:val="20"/>
              </w:rPr>
              <w:t>Alto</w:t>
            </w:r>
          </w:p>
        </w:tc>
        <w:tc>
          <w:tcPr>
            <w:tcW w:w="1105" w:type="dxa"/>
          </w:tcPr>
          <w:p>
            <w:pPr>
              <w:spacing w:after="0" w:line="240" w:lineRule="auto"/>
              <w:rPr>
                <w:rFonts w:ascii="Times New Roman" w:hAnsi="Times New Roman"/>
                <w:sz w:val="20"/>
              </w:rPr>
            </w:pPr>
            <w:r>
              <w:rPr>
                <w:rFonts w:ascii="Times New Roman" w:hAnsi="Times New Roman"/>
                <w:sz w:val="20"/>
              </w:rPr>
              <w:t>Alta</w:t>
            </w:r>
          </w:p>
        </w:tc>
        <w:tc>
          <w:tcPr>
            <w:tcW w:w="1405" w:type="dxa"/>
          </w:tcPr>
          <w:p>
            <w:pPr>
              <w:spacing w:after="0" w:line="240" w:lineRule="auto"/>
              <w:rPr>
                <w:rFonts w:ascii="Times New Roman" w:hAnsi="Times New Roman"/>
                <w:sz w:val="20"/>
              </w:rPr>
            </w:pPr>
            <w:r>
              <w:rPr>
                <w:rFonts w:ascii="Times New Roman" w:hAnsi="Times New Roman"/>
                <w:sz w:val="20"/>
              </w:rPr>
              <w:t>Ampliar o escopo do comparativo para novos provedores, mediante aprovação formal</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3" w:type="dxa"/>
          </w:tcPr>
          <w:p>
            <w:pPr>
              <w:spacing w:after="0" w:line="240" w:lineRule="auto"/>
              <w:rPr>
                <w:rFonts w:ascii="Times New Roman" w:hAnsi="Times New Roman"/>
                <w:sz w:val="20"/>
              </w:rPr>
            </w:pPr>
            <w:r>
              <w:rPr>
                <w:rFonts w:ascii="Times New Roman" w:hAnsi="Times New Roman"/>
                <w:sz w:val="20"/>
              </w:rPr>
              <w:t>O-02</w:t>
            </w:r>
          </w:p>
        </w:tc>
        <w:tc>
          <w:tcPr>
            <w:tcW w:w="1623" w:type="dxa"/>
          </w:tcPr>
          <w:p>
            <w:pPr>
              <w:spacing w:after="0" w:line="240" w:lineRule="auto"/>
              <w:rPr>
                <w:rFonts w:ascii="Times New Roman" w:hAnsi="Times New Roman"/>
                <w:sz w:val="20"/>
              </w:rPr>
            </w:pPr>
            <w:r>
              <w:rPr>
                <w:rFonts w:ascii="Times New Roman" w:hAnsi="Times New Roman"/>
                <w:sz w:val="20"/>
              </w:rPr>
              <w:t>Reaproveitamento do motor de comparação como interface pública de consulta</w:t>
            </w:r>
          </w:p>
        </w:tc>
        <w:tc>
          <w:tcPr>
            <w:tcW w:w="1429" w:type="dxa"/>
          </w:tcPr>
          <w:p>
            <w:pPr>
              <w:spacing w:after="0" w:line="240" w:lineRule="auto"/>
              <w:rPr>
                <w:rFonts w:ascii="Times New Roman" w:hAnsi="Times New Roman"/>
                <w:sz w:val="20"/>
              </w:rPr>
            </w:pPr>
            <w:r>
              <w:rPr>
                <w:rFonts w:ascii="Times New Roman" w:hAnsi="Times New Roman"/>
                <w:sz w:val="20"/>
              </w:rPr>
              <w:t>40%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Média</w:t>
            </w:r>
          </w:p>
        </w:tc>
        <w:tc>
          <w:tcPr>
            <w:tcW w:w="1405" w:type="dxa"/>
          </w:tcPr>
          <w:p>
            <w:pPr>
              <w:spacing w:after="0" w:line="240" w:lineRule="auto"/>
              <w:rPr>
                <w:rFonts w:ascii="Times New Roman" w:hAnsi="Times New Roman"/>
                <w:sz w:val="20"/>
              </w:rPr>
            </w:pPr>
            <w:r>
              <w:rPr>
                <w:rFonts w:ascii="Times New Roman" w:hAnsi="Times New Roman"/>
                <w:sz w:val="20"/>
              </w:rPr>
              <w:t>Documentar contratos de interface desde a construção, viabilizando exposição futura</w:t>
            </w:r>
          </w:p>
        </w:tc>
        <w:tc>
          <w:tcPr>
            <w:tcW w:w="1161" w:type="dxa"/>
          </w:tcPr>
          <w:p>
            <w:pPr>
              <w:spacing w:after="0" w:line="240" w:lineRule="auto"/>
              <w:rPr>
                <w:rFonts w:ascii="Times New Roman" w:hAnsi="Times New Roman"/>
                <w:sz w:val="20"/>
              </w:rPr>
            </w:pPr>
            <w:r>
              <w:rPr>
                <w:rFonts w:ascii="Times New Roman" w:hAnsi="Times New Roman"/>
                <w:sz w:val="20"/>
              </w:rPr>
              <w:t>Aberto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3" w:type="dxa"/>
          </w:tcPr>
          <w:p>
            <w:pPr>
              <w:spacing w:after="0" w:line="240" w:lineRule="auto"/>
              <w:rPr>
                <w:rFonts w:ascii="Times New Roman" w:hAnsi="Times New Roman"/>
                <w:sz w:val="20"/>
              </w:rPr>
            </w:pPr>
            <w:r>
              <w:rPr>
                <w:rFonts w:ascii="Times New Roman" w:hAnsi="Times New Roman"/>
                <w:sz w:val="20"/>
              </w:rPr>
              <w:t>O-03</w:t>
            </w:r>
          </w:p>
        </w:tc>
        <w:tc>
          <w:tcPr>
            <w:tcW w:w="1623" w:type="dxa"/>
          </w:tcPr>
          <w:p>
            <w:pPr>
              <w:spacing w:after="0" w:line="240" w:lineRule="auto"/>
              <w:rPr>
                <w:rFonts w:ascii="Times New Roman" w:hAnsi="Times New Roman"/>
                <w:sz w:val="20"/>
              </w:rPr>
            </w:pPr>
            <w:r>
              <w:rPr>
                <w:rFonts w:ascii="Times New Roman" w:hAnsi="Times New Roman"/>
                <w:sz w:val="20"/>
              </w:rPr>
              <w:t>Interesse da comunidade de software livre no repositório do projeto</w:t>
            </w:r>
          </w:p>
        </w:tc>
        <w:tc>
          <w:tcPr>
            <w:tcW w:w="1429" w:type="dxa"/>
          </w:tcPr>
          <w:p>
            <w:pPr>
              <w:spacing w:after="0" w:line="240" w:lineRule="auto"/>
              <w:rPr>
                <w:rFonts w:ascii="Times New Roman" w:hAnsi="Times New Roman"/>
                <w:sz w:val="20"/>
              </w:rPr>
            </w:pPr>
            <w:r>
              <w:rPr>
                <w:rFonts w:ascii="Times New Roman" w:hAnsi="Times New Roman"/>
                <w:sz w:val="20"/>
              </w:rPr>
              <w:t>30%</w:t>
            </w:r>
          </w:p>
        </w:tc>
        <w:tc>
          <w:tcPr>
            <w:tcW w:w="1161" w:type="dxa"/>
          </w:tcPr>
          <w:p>
            <w:pPr>
              <w:spacing w:after="0" w:line="240" w:lineRule="auto"/>
              <w:rPr>
                <w:rFonts w:ascii="Times New Roman" w:hAnsi="Times New Roman"/>
                <w:sz w:val="20"/>
              </w:rPr>
            </w:pPr>
            <w:r>
              <w:rPr>
                <w:rFonts w:ascii="Times New Roman" w:hAnsi="Times New Roman"/>
                <w:sz w:val="20"/>
              </w:rPr>
              <w:t>Médio</w:t>
            </w:r>
          </w:p>
        </w:tc>
        <w:tc>
          <w:tcPr>
            <w:tcW w:w="1105" w:type="dxa"/>
          </w:tcPr>
          <w:p>
            <w:pPr>
              <w:spacing w:after="0" w:line="240" w:lineRule="auto"/>
              <w:rPr>
                <w:rFonts w:ascii="Times New Roman" w:hAnsi="Times New Roman"/>
                <w:sz w:val="20"/>
              </w:rPr>
            </w:pPr>
            <w:r>
              <w:rPr>
                <w:rFonts w:ascii="Times New Roman" w:hAnsi="Times New Roman"/>
                <w:sz w:val="20"/>
              </w:rPr>
              <w:t>Baixa</w:t>
            </w:r>
          </w:p>
        </w:tc>
        <w:tc>
          <w:tcPr>
            <w:tcW w:w="1405" w:type="dxa"/>
          </w:tcPr>
          <w:p>
            <w:pPr>
              <w:spacing w:after="0" w:line="240" w:lineRule="auto"/>
              <w:rPr>
                <w:rFonts w:ascii="Times New Roman" w:hAnsi="Times New Roman"/>
                <w:sz w:val="20"/>
              </w:rPr>
            </w:pPr>
            <w:r>
              <w:rPr>
                <w:rFonts w:ascii="Times New Roman" w:hAnsi="Times New Roman"/>
                <w:sz w:val="20"/>
              </w:rPr>
              <w:t>Publicar documentação de contribuição e licença desde a primeira entrega</w:t>
            </w:r>
          </w:p>
        </w:tc>
        <w:tc>
          <w:tcPr>
            <w:tcW w:w="1161" w:type="dxa"/>
          </w:tcPr>
          <w:p>
            <w:pPr>
              <w:spacing w:after="0" w:line="240" w:lineRule="auto"/>
              <w:rPr>
                <w:rFonts w:ascii="Times New Roman" w:hAnsi="Times New Roman"/>
                <w:sz w:val="20"/>
              </w:rPr>
            </w:pPr>
            <w:r>
              <w:rPr>
                <w:rFonts w:ascii="Times New Roman" w:hAnsi="Times New Roman"/>
                <w:sz w:val="20"/>
              </w:rPr>
              <w:t>Aberto</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Pr>
        <w:rPr>
          <w:rFonts w:ascii="Times New Roman" w:hAnsi="Times New Roman"/>
          <w:sz w:val="24"/>
        </w:rPr>
      </w:pPr>
    </w:p>
    <w:p>
      <w:pPr>
        <w:pStyle w:val="2"/>
        <w:spacing w:before="360" w:after="360"/>
        <w:rPr>
          <w:rFonts w:cs="Times New Roman"/>
          <w:color w:val="000000"/>
        </w:rPr>
      </w:pPr>
      <w:r>
        <w:rPr>
          <w:rFonts w:cs="Times New Roman"/>
          <w:color w:val="000000"/>
        </w:rPr>
        <w:br w:type="page"/>
      </w:r>
    </w:p>
    <w:p>
      <w:pPr>
        <w:pStyle w:val="2"/>
        <w:spacing w:before="360" w:after="360"/>
        <w:rPr>
          <w:rFonts w:cs="Times New Roman"/>
          <w:color w:val="000000"/>
        </w:rPr>
      </w:pPr>
      <w:bookmarkStart w:id="30" w:name="_Toc240734472"/>
      <w:r>
        <w:rPr>
          <w:rFonts w:cs="Times New Roman"/>
          <w:color w:val="000000"/>
        </w:rPr>
        <w:t>3 DESENVOLVIMENTO DO PROJETO</w:t>
      </w:r>
      <w:bookmarkEnd w:id="30"/>
    </w:p>
    <w:p>
      <w:pPr>
        <w:spacing w:after="0" w:line="360" w:lineRule="auto"/>
        <w:ind w:firstLine="708"/>
        <w:jc w:val="both"/>
        <w:rPr>
          <w:rFonts w:ascii="Times New Roman" w:hAnsi="Times New Roman"/>
          <w:color w:val="000000"/>
          <w:sz w:val="24"/>
        </w:rPr>
      </w:pPr>
      <w:r>
        <w:rPr>
          <w:rFonts w:ascii="Times New Roman" w:hAnsi="Times New Roman"/>
          <w:color w:val="000000"/>
          <w:sz w:val="24"/>
        </w:rPr>
        <w:t>Esta seção descreve o desenvolvimento efetivo do sistema COGME, contemplando as tecnologias empregadas na sua construção e as funcionalidades entregues no Produto Mínimo Viável (MVP), em conformidade com os objetivos SMART e os requisitos definidos no TAP.</w:t>
      </w:r>
    </w:p>
    <w:p>
      <w:pPr>
        <w:pStyle w:val="2"/>
        <w:spacing w:before="360" w:after="360"/>
        <w:rPr>
          <w:rFonts w:cs="Times New Roman"/>
          <w:color w:val="000000"/>
        </w:rPr>
      </w:pPr>
      <w:bookmarkStart w:id="31" w:name="_Toc240734473"/>
      <w:r>
        <w:rPr>
          <w:rFonts w:cs="Times New Roman"/>
          <w:color w:val="000000"/>
        </w:rPr>
        <w:t>3.1 Tecnologias</w:t>
      </w:r>
      <w:bookmarkEnd w:id="31"/>
    </w:p>
    <w:p>
      <w:pPr>
        <w:spacing w:after="0" w:line="360" w:lineRule="auto"/>
        <w:ind w:firstLine="708"/>
        <w:jc w:val="both"/>
        <w:rPr>
          <w:rFonts w:ascii="Times New Roman" w:hAnsi="Times New Roman"/>
          <w:color w:val="000000"/>
          <w:sz w:val="24"/>
        </w:rPr>
      </w:pPr>
      <w:r>
        <w:rPr>
          <w:rFonts w:ascii="Times New Roman" w:hAnsi="Times New Roman"/>
          <w:color w:val="000000"/>
          <w:sz w:val="24"/>
        </w:rPr>
        <w:t>Em atendimento à premissa P2, todo o ciclo de vida do projeto — gerenciamento, modelagem, desenvolvimento, testes, documentação, integração contínua e hospedagem — é conduzido exclusivamente com ferramentas gratuitas e de código aberto, com licenças aprovadas pela Open Source Initiative (MIT, Apache 2.0, BSD e GPL). A definição da stack, originalmente o risco mais severo do projeto, foi formalizada pelo registro de decisão arquitetural ADR-002, que estabeleceu a arquitetura da aplicação e o ambiente de desenvolvimento assistido por IA. O Quadro 16 sintetiza a stack aprovada.</w:t>
      </w:r>
    </w:p>
    <w:p>
      <w:pPr>
        <w:spacing w:before="240" w:after="60" w:line="240" w:lineRule="auto"/>
        <w:rPr>
          <w:rFonts w:ascii="Times New Roman" w:hAnsi="Times New Roman"/>
          <w:sz w:val="24"/>
        </w:rPr>
      </w:pPr>
      <w:r>
        <w:rPr>
          <w:rFonts w:ascii="Times New Roman" w:hAnsi="Times New Roman"/>
          <w:sz w:val="24"/>
        </w:rPr>
        <w:t>Quadro 16 — Stack tecnológica aprovada</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070"/>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70" w:type="dxa"/>
          </w:tcPr>
          <w:p>
            <w:pPr>
              <w:spacing w:after="0" w:line="240" w:lineRule="auto"/>
              <w:rPr>
                <w:rFonts w:ascii="Times New Roman" w:hAnsi="Times New Roman"/>
                <w:sz w:val="20"/>
              </w:rPr>
            </w:pPr>
            <w:r>
              <w:rPr>
                <w:rFonts w:ascii="Times New Roman" w:hAnsi="Times New Roman"/>
                <w:sz w:val="20"/>
              </w:rPr>
              <w:t>Camada</w:t>
            </w:r>
          </w:p>
        </w:tc>
        <w:tc>
          <w:tcPr>
            <w:tcW w:w="3070" w:type="dxa"/>
          </w:tcPr>
          <w:p>
            <w:pPr>
              <w:spacing w:after="0" w:line="240" w:lineRule="auto"/>
              <w:rPr>
                <w:rFonts w:ascii="Times New Roman" w:hAnsi="Times New Roman"/>
                <w:sz w:val="20"/>
              </w:rPr>
            </w:pPr>
            <w:r>
              <w:rPr>
                <w:rFonts w:ascii="Times New Roman" w:hAnsi="Times New Roman"/>
                <w:sz w:val="20"/>
              </w:rPr>
              <w:t>Tecnologia</w:t>
            </w:r>
          </w:p>
        </w:tc>
        <w:tc>
          <w:tcPr>
            <w:tcW w:w="3071" w:type="dxa"/>
          </w:tcPr>
          <w:p>
            <w:pPr>
              <w:spacing w:after="0" w:line="240" w:lineRule="auto"/>
              <w:rPr>
                <w:rFonts w:ascii="Times New Roman" w:hAnsi="Times New Roman"/>
                <w:sz w:val="20"/>
              </w:rPr>
            </w:pPr>
            <w:r>
              <w:rPr>
                <w:rFonts w:ascii="Times New Roman" w:hAnsi="Times New Roman"/>
                <w:sz w:val="20"/>
              </w:rPr>
              <w:t>Função no COGME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Backend</w:t>
            </w:r>
          </w:p>
        </w:tc>
        <w:tc>
          <w:tcPr>
            <w:tcW w:w="3070" w:type="dxa"/>
          </w:tcPr>
          <w:p>
            <w:pPr>
              <w:spacing w:after="0" w:line="240" w:lineRule="auto"/>
              <w:rPr>
                <w:rFonts w:ascii="Times New Roman" w:hAnsi="Times New Roman"/>
                <w:sz w:val="20"/>
              </w:rPr>
            </w:pPr>
            <w:r>
              <w:rPr>
                <w:rFonts w:ascii="Times New Roman" w:hAnsi="Times New Roman"/>
                <w:sz w:val="20"/>
              </w:rPr>
              <w:t>Python 3.12 + FastAPI</w:t>
            </w:r>
          </w:p>
        </w:tc>
        <w:tc>
          <w:tcPr>
            <w:tcW w:w="3071" w:type="dxa"/>
          </w:tcPr>
          <w:p>
            <w:pPr>
              <w:spacing w:after="0" w:line="240" w:lineRule="auto"/>
              <w:rPr>
                <w:rFonts w:ascii="Times New Roman" w:hAnsi="Times New Roman"/>
                <w:sz w:val="20"/>
              </w:rPr>
            </w:pPr>
            <w:r>
              <w:rPr>
                <w:rFonts w:ascii="Times New Roman" w:hAnsi="Times New Roman"/>
                <w:sz w:val="20"/>
              </w:rPr>
              <w:t>Lógica de negócio (câmbio, spread, IOF) e API da aplicação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Banco de dados</w:t>
            </w:r>
          </w:p>
        </w:tc>
        <w:tc>
          <w:tcPr>
            <w:tcW w:w="3070" w:type="dxa"/>
          </w:tcPr>
          <w:p>
            <w:pPr>
              <w:spacing w:after="0" w:line="240" w:lineRule="auto"/>
              <w:rPr>
                <w:rFonts w:ascii="Times New Roman" w:hAnsi="Times New Roman"/>
                <w:sz w:val="20"/>
              </w:rPr>
            </w:pPr>
            <w:r>
              <w:rPr>
                <w:rFonts w:ascii="Times New Roman" w:hAnsi="Times New Roman"/>
                <w:sz w:val="20"/>
              </w:rPr>
              <w:t>SQLite 3</w:t>
            </w:r>
          </w:p>
        </w:tc>
        <w:tc>
          <w:tcPr>
            <w:tcW w:w="3071" w:type="dxa"/>
          </w:tcPr>
          <w:p>
            <w:pPr>
              <w:spacing w:after="0" w:line="240" w:lineRule="auto"/>
              <w:rPr>
                <w:rFonts w:ascii="Times New Roman" w:hAnsi="Times New Roman"/>
                <w:sz w:val="20"/>
              </w:rPr>
            </w:pPr>
            <w:r>
              <w:rPr>
                <w:rFonts w:ascii="Times New Roman" w:hAnsi="Times New Roman"/>
                <w:sz w:val="20"/>
              </w:rPr>
              <w:t>Persistência e cache local de cotações cambiais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Frontend</w:t>
            </w:r>
          </w:p>
        </w:tc>
        <w:tc>
          <w:tcPr>
            <w:tcW w:w="3070" w:type="dxa"/>
          </w:tcPr>
          <w:p>
            <w:pPr>
              <w:spacing w:after="0" w:line="240" w:lineRule="auto"/>
              <w:rPr>
                <w:rFonts w:ascii="Times New Roman" w:hAnsi="Times New Roman"/>
                <w:sz w:val="20"/>
              </w:rPr>
            </w:pPr>
            <w:r>
              <w:rPr>
                <w:rFonts w:ascii="Times New Roman" w:hAnsi="Times New Roman"/>
                <w:sz w:val="20"/>
              </w:rPr>
              <w:t>HTML + HTMX + Tailwind CSS</w:t>
            </w:r>
          </w:p>
        </w:tc>
        <w:tc>
          <w:tcPr>
            <w:tcW w:w="3071" w:type="dxa"/>
          </w:tcPr>
          <w:p>
            <w:pPr>
              <w:spacing w:after="0" w:line="240" w:lineRule="auto"/>
              <w:rPr>
                <w:rFonts w:ascii="Times New Roman" w:hAnsi="Times New Roman"/>
                <w:sz w:val="20"/>
              </w:rPr>
            </w:pPr>
            <w:r>
              <w:rPr>
                <w:rFonts w:ascii="Times New Roman" w:hAnsi="Times New Roman"/>
                <w:sz w:val="20"/>
              </w:rPr>
              <w:t>Interface web responsiva e simulações interativas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Geração de documentos</w:t>
            </w:r>
          </w:p>
        </w:tc>
        <w:tc>
          <w:tcPr>
            <w:tcW w:w="3070" w:type="dxa"/>
          </w:tcPr>
          <w:p>
            <w:pPr>
              <w:spacing w:after="0" w:line="240" w:lineRule="auto"/>
              <w:rPr>
                <w:rFonts w:ascii="Times New Roman" w:hAnsi="Times New Roman"/>
                <w:sz w:val="20"/>
              </w:rPr>
            </w:pPr>
            <w:r>
              <w:rPr>
                <w:rFonts w:ascii="Times New Roman" w:hAnsi="Times New Roman"/>
                <w:sz w:val="20"/>
              </w:rPr>
              <w:t>WeasyPrint</w:t>
            </w:r>
          </w:p>
        </w:tc>
        <w:tc>
          <w:tcPr>
            <w:tcW w:w="3071" w:type="dxa"/>
          </w:tcPr>
          <w:p>
            <w:pPr>
              <w:spacing w:after="0" w:line="240" w:lineRule="auto"/>
              <w:rPr>
                <w:rFonts w:ascii="Times New Roman" w:hAnsi="Times New Roman"/>
                <w:sz w:val="20"/>
              </w:rPr>
            </w:pPr>
            <w:r>
              <w:rPr>
                <w:rFonts w:ascii="Times New Roman" w:hAnsi="Times New Roman"/>
                <w:sz w:val="20"/>
              </w:rPr>
              <w:t>Emissão de invoices em formato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Testes</w:t>
            </w:r>
          </w:p>
        </w:tc>
        <w:tc>
          <w:tcPr>
            <w:tcW w:w="3070" w:type="dxa"/>
          </w:tcPr>
          <w:p>
            <w:pPr>
              <w:spacing w:after="0" w:line="240" w:lineRule="auto"/>
              <w:rPr>
                <w:rFonts w:ascii="Times New Roman" w:hAnsi="Times New Roman"/>
                <w:sz w:val="20"/>
              </w:rPr>
            </w:pPr>
            <w:r>
              <w:rPr>
                <w:rFonts w:ascii="Times New Roman" w:hAnsi="Times New Roman"/>
                <w:sz w:val="20"/>
              </w:rPr>
              <w:t>pytest + coverage.py</w:t>
            </w:r>
          </w:p>
        </w:tc>
        <w:tc>
          <w:tcPr>
            <w:tcW w:w="3071" w:type="dxa"/>
          </w:tcPr>
          <w:p>
            <w:pPr>
              <w:spacing w:after="0" w:line="240" w:lineRule="auto"/>
              <w:rPr>
                <w:rFonts w:ascii="Times New Roman" w:hAnsi="Times New Roman"/>
                <w:sz w:val="20"/>
              </w:rPr>
            </w:pPr>
            <w:r>
              <w:rPr>
                <w:rFonts w:ascii="Times New Roman" w:hAnsi="Times New Roman"/>
                <w:sz w:val="20"/>
              </w:rPr>
              <w:t>Testes unitários, de integração e medição de cobertura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Versionamento e CI/CD</w:t>
            </w:r>
          </w:p>
        </w:tc>
        <w:tc>
          <w:tcPr>
            <w:tcW w:w="3070" w:type="dxa"/>
          </w:tcPr>
          <w:p>
            <w:pPr>
              <w:spacing w:after="0" w:line="240" w:lineRule="auto"/>
              <w:rPr>
                <w:rFonts w:ascii="Times New Roman" w:hAnsi="Times New Roman"/>
                <w:sz w:val="20"/>
              </w:rPr>
            </w:pPr>
            <w:r>
              <w:rPr>
                <w:rFonts w:ascii="Times New Roman" w:hAnsi="Times New Roman"/>
                <w:sz w:val="20"/>
              </w:rPr>
              <w:t>Git + GitHub Actions</w:t>
            </w:r>
          </w:p>
        </w:tc>
        <w:tc>
          <w:tcPr>
            <w:tcW w:w="3071" w:type="dxa"/>
          </w:tcPr>
          <w:p>
            <w:pPr>
              <w:spacing w:after="0" w:line="240" w:lineRule="auto"/>
              <w:rPr>
                <w:rFonts w:ascii="Times New Roman" w:hAnsi="Times New Roman"/>
                <w:sz w:val="20"/>
              </w:rPr>
            </w:pPr>
            <w:r>
              <w:rPr>
                <w:rFonts w:ascii="Times New Roman" w:hAnsi="Times New Roman"/>
                <w:sz w:val="20"/>
              </w:rPr>
              <w:t>Repositório, pipeline de lint e testes, e implantação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Gestão do projeto</w:t>
            </w:r>
          </w:p>
        </w:tc>
        <w:tc>
          <w:tcPr>
            <w:tcW w:w="3070" w:type="dxa"/>
          </w:tcPr>
          <w:p>
            <w:pPr>
              <w:spacing w:after="0" w:line="240" w:lineRule="auto"/>
              <w:rPr>
                <w:rFonts w:ascii="Times New Roman" w:hAnsi="Times New Roman"/>
                <w:sz w:val="20"/>
              </w:rPr>
            </w:pPr>
            <w:r>
              <w:rPr>
                <w:rFonts w:ascii="Times New Roman" w:hAnsi="Times New Roman"/>
                <w:sz w:val="20"/>
              </w:rPr>
              <w:t>GitHub Projects</w:t>
            </w:r>
          </w:p>
        </w:tc>
        <w:tc>
          <w:tcPr>
            <w:tcW w:w="3071" w:type="dxa"/>
          </w:tcPr>
          <w:p>
            <w:pPr>
              <w:spacing w:after="0" w:line="240" w:lineRule="auto"/>
              <w:rPr>
                <w:rFonts w:ascii="Times New Roman" w:hAnsi="Times New Roman"/>
                <w:sz w:val="20"/>
              </w:rPr>
            </w:pPr>
            <w:r>
              <w:rPr>
                <w:rFonts w:ascii="Times New Roman" w:hAnsi="Times New Roman"/>
                <w:sz w:val="20"/>
              </w:rPr>
              <w:t>Backlog, quadro Kanban e métricas de fluxo (fonte única de verdade)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Inferência local de IA</w:t>
            </w:r>
          </w:p>
        </w:tc>
        <w:tc>
          <w:tcPr>
            <w:tcW w:w="3070" w:type="dxa"/>
          </w:tcPr>
          <w:p>
            <w:pPr>
              <w:spacing w:after="0" w:line="240" w:lineRule="auto"/>
              <w:rPr>
                <w:rFonts w:ascii="Times New Roman" w:hAnsi="Times New Roman"/>
                <w:sz w:val="20"/>
              </w:rPr>
            </w:pPr>
            <w:r>
              <w:rPr>
                <w:rFonts w:ascii="Times New Roman" w:hAnsi="Times New Roman"/>
                <w:sz w:val="20"/>
              </w:rPr>
              <w:t>llama.cpp (Vulkan e AVX-512)</w:t>
            </w:r>
          </w:p>
        </w:tc>
        <w:tc>
          <w:tcPr>
            <w:tcW w:w="3071" w:type="dxa"/>
          </w:tcPr>
          <w:p>
            <w:pPr>
              <w:spacing w:after="0" w:line="240" w:lineRule="auto"/>
              <w:rPr>
                <w:rFonts w:ascii="Times New Roman" w:hAnsi="Times New Roman"/>
                <w:sz w:val="20"/>
              </w:rPr>
            </w:pPr>
            <w:r>
              <w:rPr>
                <w:rFonts w:ascii="Times New Roman" w:hAnsi="Times New Roman"/>
                <w:sz w:val="20"/>
              </w:rPr>
              <w:t>Servidor local de modelos de linguagem para apoio ao SDD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Modelos de linguagem</w:t>
            </w:r>
          </w:p>
        </w:tc>
        <w:tc>
          <w:tcPr>
            <w:tcW w:w="3070" w:type="dxa"/>
          </w:tcPr>
          <w:p>
            <w:pPr>
              <w:spacing w:after="0" w:line="240" w:lineRule="auto"/>
              <w:rPr>
                <w:rFonts w:ascii="Times New Roman" w:hAnsi="Times New Roman"/>
                <w:sz w:val="20"/>
              </w:rPr>
            </w:pPr>
            <w:r>
              <w:rPr>
                <w:rFonts w:ascii="Times New Roman" w:hAnsi="Times New Roman"/>
                <w:sz w:val="20"/>
              </w:rPr>
              <w:t>Qwen 32B Instruct Q4_K_M (principal) e Qwen 14B Instruct Q4_K_M (rápido)</w:t>
            </w:r>
          </w:p>
        </w:tc>
        <w:tc>
          <w:tcPr>
            <w:tcW w:w="3071" w:type="dxa"/>
          </w:tcPr>
          <w:p>
            <w:pPr>
              <w:spacing w:after="0" w:line="240" w:lineRule="auto"/>
              <w:rPr>
                <w:rFonts w:ascii="Times New Roman" w:hAnsi="Times New Roman"/>
                <w:sz w:val="20"/>
              </w:rPr>
            </w:pPr>
            <w:r>
              <w:rPr>
                <w:rFonts w:ascii="Times New Roman" w:hAnsi="Times New Roman"/>
                <w:sz w:val="20"/>
              </w:rPr>
              <w:t>Geração e revisão assistida de artefatos e de código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Interface de desenvolvimento</w:t>
            </w:r>
          </w:p>
        </w:tc>
        <w:tc>
          <w:tcPr>
            <w:tcW w:w="3070" w:type="dxa"/>
          </w:tcPr>
          <w:p>
            <w:pPr>
              <w:spacing w:after="0" w:line="240" w:lineRule="auto"/>
              <w:rPr>
                <w:rFonts w:ascii="Times New Roman" w:hAnsi="Times New Roman"/>
                <w:sz w:val="20"/>
              </w:rPr>
            </w:pPr>
            <w:r>
              <w:rPr>
                <w:rFonts w:ascii="Times New Roman" w:hAnsi="Times New Roman"/>
                <w:sz w:val="20"/>
              </w:rPr>
              <w:t>OpenCode</w:t>
            </w:r>
          </w:p>
        </w:tc>
        <w:tc>
          <w:tcPr>
            <w:tcW w:w="3071" w:type="dxa"/>
          </w:tcPr>
          <w:p>
            <w:pPr>
              <w:spacing w:after="0" w:line="240" w:lineRule="auto"/>
              <w:rPr>
                <w:rFonts w:ascii="Times New Roman" w:hAnsi="Times New Roman"/>
                <w:sz w:val="20"/>
              </w:rPr>
            </w:pPr>
            <w:r>
              <w:rPr>
                <w:rFonts w:ascii="Times New Roman" w:hAnsi="Times New Roman"/>
                <w:sz w:val="20"/>
              </w:rPr>
              <w:t>Ambiente de desenvolvimento integrado ao servidor local de 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0" w:type="dxa"/>
          </w:tcPr>
          <w:p>
            <w:pPr>
              <w:spacing w:after="0" w:line="240" w:lineRule="auto"/>
              <w:rPr>
                <w:rFonts w:ascii="Times New Roman" w:hAnsi="Times New Roman"/>
                <w:sz w:val="20"/>
              </w:rPr>
            </w:pPr>
            <w:r>
              <w:rPr>
                <w:rFonts w:ascii="Times New Roman" w:hAnsi="Times New Roman"/>
                <w:sz w:val="20"/>
              </w:rPr>
              <w:t>Base de conhecimento</w:t>
            </w:r>
          </w:p>
        </w:tc>
        <w:tc>
          <w:tcPr>
            <w:tcW w:w="3070" w:type="dxa"/>
          </w:tcPr>
          <w:p>
            <w:pPr>
              <w:spacing w:after="0" w:line="240" w:lineRule="auto"/>
              <w:rPr>
                <w:rFonts w:ascii="Times New Roman" w:hAnsi="Times New Roman"/>
                <w:sz w:val="20"/>
              </w:rPr>
            </w:pPr>
            <w:r>
              <w:rPr>
                <w:rFonts w:ascii="Times New Roman" w:hAnsi="Times New Roman"/>
                <w:sz w:val="20"/>
              </w:rPr>
              <w:t>Obsidian + repositório Git</w:t>
            </w:r>
          </w:p>
        </w:tc>
        <w:tc>
          <w:tcPr>
            <w:tcW w:w="3071" w:type="dxa"/>
          </w:tcPr>
          <w:p>
            <w:pPr>
              <w:spacing w:after="0" w:line="240" w:lineRule="auto"/>
              <w:rPr>
                <w:rFonts w:ascii="Times New Roman" w:hAnsi="Times New Roman"/>
                <w:sz w:val="20"/>
              </w:rPr>
            </w:pPr>
            <w:r>
              <w:rPr>
                <w:rFonts w:ascii="Times New Roman" w:hAnsi="Times New Roman"/>
                <w:sz w:val="20"/>
              </w:rPr>
              <w:t>Organização das especificações, prompts e decisões arquiteturais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Sistema operacional</w:t>
            </w:r>
          </w:p>
        </w:tc>
        <w:tc>
          <w:tcPr>
            <w:tcW w:w="3070" w:type="dxa"/>
          </w:tcPr>
          <w:p>
            <w:pPr>
              <w:spacing w:after="0" w:line="240" w:lineRule="auto"/>
              <w:rPr>
                <w:rFonts w:ascii="Times New Roman" w:hAnsi="Times New Roman"/>
                <w:sz w:val="20"/>
              </w:rPr>
            </w:pPr>
            <w:r>
              <w:rPr>
                <w:rFonts w:ascii="Times New Roman" w:hAnsi="Times New Roman"/>
                <w:sz w:val="20"/>
              </w:rPr>
              <w:t>Arch Linux (kernel Zen)</w:t>
            </w:r>
          </w:p>
        </w:tc>
        <w:tc>
          <w:tcPr>
            <w:tcW w:w="3071" w:type="dxa"/>
          </w:tcPr>
          <w:p>
            <w:pPr>
              <w:spacing w:after="0" w:line="240" w:lineRule="auto"/>
              <w:rPr>
                <w:rFonts w:ascii="Times New Roman" w:hAnsi="Times New Roman"/>
                <w:sz w:val="20"/>
              </w:rPr>
            </w:pPr>
            <w:r>
              <w:rPr>
                <w:rFonts w:ascii="Times New Roman" w:hAnsi="Times New Roman"/>
                <w:sz w:val="20"/>
              </w:rPr>
              <w:t>Ambiente de desenvolvimento e homologação 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pPr>
              <w:spacing w:after="0" w:line="240" w:lineRule="auto"/>
              <w:rPr>
                <w:rFonts w:ascii="Times New Roman" w:hAnsi="Times New Roman"/>
                <w:sz w:val="20"/>
              </w:rPr>
            </w:pPr>
            <w:r>
              <w:rPr>
                <w:rFonts w:ascii="Times New Roman" w:hAnsi="Times New Roman"/>
                <w:sz w:val="20"/>
              </w:rPr>
              <w:t>Fonte oficial de câmbio</w:t>
            </w:r>
          </w:p>
        </w:tc>
        <w:tc>
          <w:tcPr>
            <w:tcW w:w="3070" w:type="dxa"/>
          </w:tcPr>
          <w:p>
            <w:pPr>
              <w:spacing w:after="0" w:line="240" w:lineRule="auto"/>
              <w:rPr>
                <w:rFonts w:ascii="Times New Roman" w:hAnsi="Times New Roman"/>
                <w:sz w:val="20"/>
              </w:rPr>
            </w:pPr>
            <w:r>
              <w:rPr>
                <w:rFonts w:ascii="Times New Roman" w:hAnsi="Times New Roman"/>
                <w:sz w:val="20"/>
              </w:rPr>
              <w:t>API Olinda — Banco Central do Brasil (PTAX)</w:t>
            </w:r>
          </w:p>
        </w:tc>
        <w:tc>
          <w:tcPr>
            <w:tcW w:w="3071" w:type="dxa"/>
          </w:tcPr>
          <w:p>
            <w:pPr>
              <w:spacing w:after="0" w:line="240" w:lineRule="auto"/>
              <w:rPr>
                <w:rFonts w:ascii="Times New Roman" w:hAnsi="Times New Roman"/>
                <w:sz w:val="20"/>
              </w:rPr>
            </w:pPr>
            <w:r>
              <w:rPr>
                <w:rFonts w:ascii="Times New Roman" w:hAnsi="Times New Roman"/>
                <w:sz w:val="20"/>
              </w:rPr>
              <w:t>Cotação oficial de referência para USD e EUR e base do comparativo de taxas</w:t>
            </w:r>
          </w:p>
        </w:tc>
      </w:tr>
    </w:tbl>
    <w:p>
      <w:pPr>
        <w:spacing w:before="60" w:after="240" w:line="240" w:lineRule="auto"/>
        <w:rPr>
          <w:rFonts w:ascii="Times New Roman" w:hAnsi="Times New Roman"/>
          <w:sz w:val="20"/>
        </w:rPr>
      </w:pPr>
      <w:r>
        <w:rPr>
          <w:rFonts w:ascii="Times New Roman" w:hAnsi="Times New Roman"/>
          <w:sz w:val="20"/>
        </w:rPr>
        <w:t>Fonte: elaborado pelos autores (2026).</w:t>
      </w:r>
    </w:p>
    <w:p>
      <w:pPr>
        <w:spacing w:after="0" w:line="360" w:lineRule="auto"/>
        <w:ind w:firstLine="708"/>
        <w:jc w:val="both"/>
        <w:rPr>
          <w:rFonts w:ascii="Times New Roman" w:hAnsi="Times New Roman"/>
          <w:color w:val="000000"/>
          <w:sz w:val="24"/>
        </w:rPr>
      </w:pPr>
      <w:r>
        <w:rPr>
          <w:rFonts w:ascii="Times New Roman" w:hAnsi="Times New Roman"/>
          <w:color w:val="000000"/>
          <w:sz w:val="24"/>
        </w:rPr>
        <w:t>A abordagem de Specification-Driven Development (SDD) adotada no projeto organiza-se em três camadas ortogonais, que evoluem de forma independente. A camada de infraestrutura de inferência compreende o servidor local de modelos de linguagem, executado com aceleração por GPU integrada e fallback em CPU, exposto por interface compatível com o padrão OpenAI. A camada de personas e contexto define os papéis especializados de programador, revisor, testador e gerente, todos compartilhando o mesmo modelo base — a especialização ocorre por prompt, e não por modelo, o que elimina consumo adicional de memória e a necessidade de recarregamento. A camada de metodologia reúne as especificações imutáveis, os artefatos de transição entre fases e os fluxos de automação, todos versionados no repositório do projeto, o que assegura a rastreabilidade exigida pela premissa P3 e pelo critério de inovação controlada do TAP. Essa arquitetura viabiliza a utilização de IA generativa a custo marginal de energia, sem dependência de serviços pagos de nuvem.</w:t>
      </w:r>
    </w:p>
    <w:p/>
    <w:p>
      <w:pPr>
        <w:pStyle w:val="2"/>
        <w:spacing w:before="360" w:after="360"/>
        <w:rPr>
          <w:rFonts w:cs="Times New Roman"/>
          <w:color w:val="000000"/>
        </w:rPr>
      </w:pPr>
      <w:bookmarkStart w:id="32" w:name="_Toc240734474"/>
      <w:r>
        <w:rPr>
          <w:rFonts w:cs="Times New Roman"/>
          <w:color w:val="000000"/>
        </w:rPr>
        <w:t>3.2 Funcionalidades</w:t>
      </w:r>
      <w:bookmarkEnd w:id="32"/>
    </w:p>
    <w:p>
      <w:pPr>
        <w:spacing w:after="0" w:line="360" w:lineRule="auto"/>
        <w:ind w:firstLine="708"/>
        <w:jc w:val="both"/>
        <w:rPr>
          <w:rFonts w:ascii="Times New Roman" w:hAnsi="Times New Roman"/>
          <w:color w:val="000000"/>
          <w:sz w:val="24"/>
        </w:rPr>
      </w:pPr>
      <w:r>
        <w:rPr>
          <w:rFonts w:ascii="Times New Roman" w:hAnsi="Times New Roman"/>
          <w:color w:val="000000"/>
          <w:sz w:val="24"/>
        </w:rPr>
        <w:t>O MVP entregue contempla as seguintes funcionalidades principais, rastreáveis aos requisitos levantados na seção 2.2.1: simulação de conversão cambial em tempo real entre USD/EUR e BRL, com tempo de resposta de até 3 segundos (REQ-01, REQ-05); suporte a cinco regimes de contratação — hora, dia, semana, mês e valor fixo (REQ-02); aplicação de encargos financeiros simulados, incluindo spread e Imposto sobre Operações Financeiras (IOF), com precisão de duas casas decimais (REQ-03); emissão de invoice em formato PDF, gerada em até 3 segundos por documento (REQ-04); interface web responsiva, compatível com os principais navegadores (REQ-06); cache de cotações cambiais, reduzindo em ao menos 50% as chamadas à API externa (REQ-07); obtenção da cotação oficial de referência junto à API do Banco Central do Brasil (PTAX), com registro de data, moeda e tipo de cotação (REQ-16); comparativo de custo efetivo entre, no mínimo, quatro provedores de pagamento internacional, considerando spread, tarifa fixa e valor líquido estimado por operação (REQ-17); ranqueamento automático dos provedores pelo maior valor líquido a receber, com detalhamento da composição do custo (REQ-18); e encaminhamento do usuário ao site oficial do provedor selecionado, com aviso de que a operação ocorre fora do COGME (REQ-19).</w:t>
      </w:r>
    </w:p>
    <w:p>
      <w:pPr>
        <w:pStyle w:val="2"/>
        <w:spacing w:before="360" w:after="360"/>
        <w:rPr>
          <w:rFonts w:cs="Times New Roman"/>
          <w:color w:val="000000"/>
        </w:rPr>
      </w:pPr>
      <w:r>
        <w:rPr>
          <w:rFonts w:cs="Times New Roman"/>
          <w:color w:val="000000"/>
        </w:rPr>
        <w:br w:type="page"/>
      </w:r>
    </w:p>
    <w:p>
      <w:pPr>
        <w:pStyle w:val="2"/>
        <w:spacing w:before="360" w:after="360"/>
        <w:rPr>
          <w:rFonts w:cs="Times New Roman"/>
          <w:color w:val="000000"/>
        </w:rPr>
      </w:pPr>
      <w:bookmarkStart w:id="33" w:name="_Toc240734475"/>
      <w:r>
        <w:rPr>
          <w:rFonts w:cs="Times New Roman"/>
          <w:color w:val="000000"/>
        </w:rPr>
        <w:t>4 CONSIDERAÇÕES FINAIS</w:t>
      </w:r>
      <w:bookmarkEnd w:id="33"/>
    </w:p>
    <w:p>
      <w:pPr>
        <w:spacing w:after="0" w:line="360" w:lineRule="auto"/>
        <w:ind w:firstLine="708"/>
        <w:jc w:val="both"/>
        <w:rPr>
          <w:rFonts w:ascii="Times New Roman" w:hAnsi="Times New Roman"/>
          <w:color w:val="000000"/>
          <w:sz w:val="24"/>
        </w:rPr>
      </w:pPr>
      <w:r>
        <w:rPr>
          <w:rFonts w:ascii="Times New Roman" w:hAnsi="Times New Roman"/>
          <w:color w:val="000000"/>
          <w:sz w:val="24"/>
        </w:rPr>
        <w:t>O desenvolvimento do projeto COGME — Conversor de Ganhos em Moeda Estrangeira permitiu a aplicação prática, em um ciclo de vida completo, dos princípios e domínios de desempenho do gerenciamento de projetos preconizados pelo Guia PMBOK® 7ª edição, desde a autorização formal do projeto por meio do TAP até o planejamento de escopo, custos, tempo, qualidade, recursos, comunicações e riscos, consolidados na Estrutura Analítica do Projeto (EAP).</w:t>
      </w:r>
    </w:p>
    <w:p>
      <w:pPr>
        <w:spacing w:after="0" w:line="360" w:lineRule="auto"/>
        <w:ind w:firstLine="708"/>
        <w:jc w:val="both"/>
        <w:rPr>
          <w:rFonts w:ascii="Times New Roman" w:hAnsi="Times New Roman"/>
          <w:color w:val="000000"/>
          <w:sz w:val="24"/>
        </w:rPr>
      </w:pPr>
      <w:r>
        <w:rPr>
          <w:rFonts w:ascii="Times New Roman" w:hAnsi="Times New Roman"/>
          <w:color w:val="000000"/>
          <w:sz w:val="24"/>
        </w:rPr>
        <w:t>Os resultados evidenciam que o projeto atende à premissa pedagógica da disciplina de Gerência de Projetos, ao aplicar de forma integrada os princípios e os domínios de desempenho do PMBOK® 7ª edição a um domínio de negócio real — a conversão de ganhos em moeda estrangeira para trabalhadores remotos brasileiros —, exigindo rigor na gestão de requisitos, tratamento de dados dinâmicos e usabilidade centrada no usuário final. O compromisso com o uso exclusivo de tecnologias de código aberto (FOSS) revelou-se, simultaneamente, uma restrição de custo e um valor fundante do projeto, garantindo transparência, auditabilidade, gratuidade e potencial de continuidade da solução após o ciclo acadêmico.</w:t>
      </w:r>
    </w:p>
    <w:p>
      <w:pPr>
        <w:spacing w:after="0" w:line="360" w:lineRule="auto"/>
        <w:ind w:firstLine="708"/>
        <w:jc w:val="both"/>
        <w:rPr>
          <w:rFonts w:ascii="Times New Roman" w:hAnsi="Times New Roman"/>
          <w:color w:val="000000"/>
          <w:sz w:val="24"/>
        </w:rPr>
      </w:pPr>
      <w:r>
        <w:rPr>
          <w:rFonts w:ascii="Times New Roman" w:hAnsi="Times New Roman"/>
          <w:color w:val="000000"/>
          <w:sz w:val="24"/>
        </w:rPr>
        <w:t>Merece destaque o modelo de governança híbrido adotado, no qual o PMBOK® 7ª edição atua como base de princípios e domínios de desempenho e o Kanban como método de execução ágil. Esse arranjo, associado ao princípio de governança mínima viável, permitiu que uma equipe de dois integrantes com disponibilidade limitada produzisse documentação academicamente defensável sem comprometer a construção do produto — tendo esse equilíbrio se materializado em decisões concretas, como a substituição de relatórios estáticos periódicos por métricas de fluxo extraídas da própria ferramenta de gestão, a redução da EAP de 62 para 44 pacotes de trabalho e a separação ontológica entre o Termo de Abertura, a Estrutura Analítica e os ciclos de melhoria contínua.</w:t>
      </w:r>
    </w:p>
    <w:p>
      <w:pPr>
        <w:spacing w:after="0" w:line="360" w:lineRule="auto"/>
        <w:ind w:firstLine="708"/>
        <w:jc w:val="both"/>
        <w:rPr>
          <w:rFonts w:ascii="Times New Roman" w:hAnsi="Times New Roman"/>
          <w:color w:val="000000"/>
          <w:sz w:val="24"/>
        </w:rPr>
      </w:pPr>
      <w:r>
        <w:rPr>
          <w:rFonts w:ascii="Times New Roman" w:hAnsi="Times New Roman"/>
          <w:color w:val="000000"/>
          <w:sz w:val="24"/>
        </w:rPr>
        <w:t>Como limitações do presente estudo, registra-se que determinados artefatos permanecem em nível de planejamento e serão consolidados nos respectivos planos de gerenciamento: o diagrama formal de rede em notação de precedência e o cálculo de folgas por atividade dependem da decomposição integral dos 44 pacotes de trabalho em atividades, prevista para o Plano de Cronograma; as metas de tempo de ciclo e de vazão carecem de linha de base, endereçada por período de calibração posterior à entrega parcial; e o diagrama de Ishikawa detalhado por ocorrência, assim como os ciclos PDCA das macro-fases de Construção e Consolidação, serão completados até a entrega final. Registra-se, igualmente, que a planilha da seção 2.3.1 contempla exclusivamente o desembolso financeiro efetivo, por inexistir remuneração da equipe no âmbito acadêmico, e que o custo de conectividade é valor estimado, a ser confirmado. Como sugestão para trabalhos futuros, recomenda-se a evolução do produto para as frentes deliberadamente excluídas da linha de base — segurança e privacidade, conformidade com a legislação de proteção de dados, acessibilidade, observabilidade e internacionalização —, bem como a avaliação empírica dos ganhos de produtividade atribuíveis à abordagem de desenvolvimento guiado por especificação com apoio de Inteligência Artificial.</w:t>
      </w:r>
    </w:p>
    <w:p>
      <w:pPr>
        <w:spacing w:after="0" w:line="360" w:lineRule="auto"/>
        <w:ind w:firstLine="708"/>
        <w:jc w:val="both"/>
        <w:rPr>
          <w:rFonts w:ascii="Times New Roman" w:hAnsi="Times New Roman"/>
          <w:sz w:val="24"/>
        </w:rPr>
      </w:pPr>
      <w:r>
        <w:rPr>
          <w:rFonts w:ascii="Times New Roman" w:hAnsi="Times New Roman"/>
          <w:sz w:val="24"/>
        </w:rPr>
        <w:t>Em coerência com a orientação a valor que caracteriza a 7ª edição do Guia PMBOK®, o projeto não se encerra na entrega do produto, mas na verificação do benefício pretendido. Os benefícios declarados são a redução do erro de estimativa na conversão de ganhos em moeda estrangeira, a redução do tempo despendido pelo profissional na consulta manual a cotações e tarifas, e a identificação do provedor de menor custo efetivo por operação. A verificação ocorrerá após a publicação em produção, por meio dos testes de aceitação com usuários representativos do público-alvo e do confronto entre o valor líquido projetado pelo sistema e o efetivamente praticado, cabendo ao aluno-gerente consolidar os resultados no relatório final. Complementarmente, o projeto mantém registro contínuo de lições aprendidas no próprio repositório, alimentado a cada ciclo de melhoria, de modo que as conclusões aqui apresentadas decorram de evidência acumulada, e não de impressão retrospectiva.</w:t>
      </w:r>
    </w:p>
    <w:p>
      <w:pPr>
        <w:pStyle w:val="2"/>
        <w:spacing w:before="360" w:after="360"/>
        <w:jc w:val="center"/>
        <w:rPr>
          <w:rFonts w:cs="Times New Roman"/>
          <w:color w:val="000000"/>
        </w:rPr>
      </w:pPr>
      <w:r>
        <w:rPr>
          <w:rFonts w:cs="Times New Roman"/>
          <w:color w:val="000000"/>
        </w:rPr>
        <w:br w:type="page"/>
      </w:r>
    </w:p>
    <w:p>
      <w:pPr>
        <w:pStyle w:val="2"/>
        <w:spacing w:before="360" w:after="360"/>
        <w:jc w:val="center"/>
        <w:rPr>
          <w:rFonts w:cs="Times New Roman"/>
          <w:color w:val="000000"/>
        </w:rPr>
      </w:pPr>
      <w:bookmarkStart w:id="34" w:name="_Toc240734476"/>
      <w:r>
        <w:rPr>
          <w:rFonts w:cs="Times New Roman"/>
          <w:color w:val="000000"/>
        </w:rPr>
        <w:t>REFERÊNCIAS</w:t>
      </w:r>
      <w:bookmarkEnd w:id="34"/>
    </w:p>
    <w:p>
      <w:pPr>
        <w:spacing w:after="240"/>
        <w:rPr>
          <w:rFonts w:ascii="Times New Roman" w:hAnsi="Times New Roman"/>
          <w:color w:val="000000"/>
          <w:sz w:val="24"/>
        </w:rPr>
      </w:pPr>
      <w:r>
        <w:rPr>
          <w:rFonts w:ascii="Times New Roman" w:hAnsi="Times New Roman"/>
          <w:color w:val="000000"/>
          <w:sz w:val="24"/>
        </w:rPr>
        <w:t>SETTI, Leonardo David Silva; CABRAL, Fabricio de Lima. Termo de Abertura do Projeto (TAP) — COGME: Conversor de Ganhos em Moeda Estrangeira. Orientador: Nivaldo Carleto. Taquaritinga: Fatec Taquaritinga, 2026. Documento interno de gerenciamento do projeto.</w:t>
      </w:r>
    </w:p>
    <w:p>
      <w:pPr>
        <w:spacing w:after="240"/>
        <w:rPr>
          <w:rFonts w:ascii="Times New Roman" w:hAnsi="Times New Roman"/>
          <w:color w:val="000000"/>
          <w:sz w:val="24"/>
        </w:rPr>
      </w:pPr>
      <w:r>
        <w:rPr>
          <w:rFonts w:ascii="Times New Roman" w:hAnsi="Times New Roman"/>
          <w:color w:val="000000"/>
          <w:sz w:val="24"/>
        </w:rPr>
        <w:t>SETTI, Leonardo David Silva; CABRAL, Fabricio de Lima. Estrutura Analítica do Projeto (EAP/WBS) — COGME: Conversor de Ganhos em Moeda Estrangeira. Orientador: Nivaldo Carleto. Taquaritinga: Fatec Taquaritinga, 2026. Documento interno de gerenciamento do projeto.</w:t>
      </w:r>
    </w:p>
    <w:p>
      <w:pPr>
        <w:spacing w:after="240"/>
        <w:rPr>
          <w:rFonts w:ascii="Times New Roman" w:hAnsi="Times New Roman"/>
          <w:color w:val="000000"/>
          <w:sz w:val="24"/>
        </w:rPr>
      </w:pPr>
      <w:r>
        <w:rPr>
          <w:rFonts w:ascii="Times New Roman" w:hAnsi="Times New Roman"/>
          <w:color w:val="000000"/>
          <w:sz w:val="24"/>
        </w:rPr>
        <w:t>SETTI, Leonardo David Silva. Base de Conhecimento Operacional do Projeto COGME (OKB v3.0): guardrail de governança. Taquaritinga: Fatec Taquaritinga, 2026. Documento interno de gerenciamento do projeto.</w:t>
      </w:r>
    </w:p>
    <w:p>
      <w:pPr>
        <w:spacing w:after="240"/>
        <w:rPr>
          <w:rFonts w:ascii="Times New Roman" w:hAnsi="Times New Roman"/>
          <w:color w:val="000000"/>
          <w:sz w:val="24"/>
        </w:rPr>
      </w:pPr>
      <w:r>
        <w:rPr>
          <w:rFonts w:ascii="Times New Roman" w:hAnsi="Times New Roman"/>
          <w:color w:val="000000"/>
          <w:sz w:val="24"/>
        </w:rPr>
        <w:t>SETTI, Leonardo David Silva. Relatório de auditoria analítica v2.0: consolidação arquitetural definitiva do COGME. Taquaritinga: Fatec Taquaritinga, 10 set. 2026. Documento interno de gerenciamento do projeto.</w:t>
      </w:r>
    </w:p>
    <w:p>
      <w:pPr>
        <w:spacing w:after="240"/>
        <w:rPr>
          <w:rFonts w:ascii="Times New Roman" w:hAnsi="Times New Roman"/>
          <w:color w:val="000000"/>
          <w:sz w:val="24"/>
        </w:rPr>
      </w:pPr>
      <w:r>
        <w:rPr>
          <w:rFonts w:ascii="Times New Roman" w:hAnsi="Times New Roman"/>
          <w:color w:val="000000"/>
          <w:sz w:val="24"/>
        </w:rPr>
        <w:t>SETTI, Leonardo David Silva. Relatório canônico: stack SDD local — arquitetura convergente. Taquaritinga: Fatec Taquaritinga, 10 set. 2026. Documento interno de gerenciamento do projeto.</w:t>
      </w:r>
    </w:p>
    <w:p>
      <w:pPr>
        <w:spacing w:after="240"/>
        <w:rPr>
          <w:rFonts w:ascii="Times New Roman" w:hAnsi="Times New Roman"/>
          <w:color w:val="000000"/>
          <w:sz w:val="24"/>
        </w:rPr>
      </w:pPr>
      <w:r>
        <w:rPr>
          <w:rFonts w:ascii="Times New Roman" w:hAnsi="Times New Roman"/>
          <w:color w:val="000000"/>
          <w:sz w:val="24"/>
        </w:rPr>
        <w:t>SETTI, Leonardo David Silva. Relatório de avaliação crítica do Termo de Abertura do Projeto (TAP v1) — COGME. Taquaritinga: Fatec Taquaritinga, 2026. Documento interno de gerenciamento do projeto.</w:t>
      </w:r>
    </w:p>
    <w:p>
      <w:pPr>
        <w:spacing w:after="240"/>
        <w:rPr>
          <w:rFonts w:ascii="Times New Roman" w:hAnsi="Times New Roman"/>
          <w:color w:val="000000"/>
          <w:sz w:val="24"/>
        </w:rPr>
      </w:pPr>
      <w:r>
        <w:rPr>
          <w:rFonts w:ascii="Times New Roman" w:hAnsi="Times New Roman"/>
          <w:color w:val="000000"/>
          <w:sz w:val="24"/>
        </w:rPr>
        <w:t>SETTI, Leonardo David Silva. Glossário do projeto COGME v2.1. Taquaritinga: Fatec Taquaritinga, 2026. Documento interno de gerenciamento do projeto.</w:t>
      </w:r>
    </w:p>
    <w:p>
      <w:pPr>
        <w:spacing w:after="240"/>
        <w:rPr>
          <w:rFonts w:ascii="Times New Roman" w:hAnsi="Times New Roman"/>
          <w:color w:val="000000"/>
          <w:sz w:val="24"/>
        </w:rPr>
      </w:pPr>
      <w:r>
        <w:rPr>
          <w:rFonts w:ascii="Times New Roman" w:hAnsi="Times New Roman"/>
          <w:color w:val="000000"/>
          <w:sz w:val="24"/>
        </w:rPr>
        <w:t>PROJECT MANAGEMENT INSTITUTE. Um Guia do Conhecimento em Gerenciamento de Projetos (Guia PMBOK®). 7. ed. Newtown Square, PA: PMI, 2021.</w:t>
      </w:r>
    </w:p>
    <w:p>
      <w:pPr>
        <w:spacing w:after="240"/>
        <w:rPr>
          <w:rFonts w:ascii="Times New Roman" w:hAnsi="Times New Roman"/>
          <w:color w:val="000000"/>
          <w:sz w:val="24"/>
        </w:rPr>
      </w:pPr>
      <w:r>
        <w:rPr>
          <w:rFonts w:ascii="Times New Roman" w:hAnsi="Times New Roman"/>
          <w:color w:val="000000"/>
          <w:sz w:val="24"/>
        </w:rPr>
        <w:t>ASSOCIAÇÃO BRASILEIRA DE NORMAS TÉCNICAS. NBR 14724: informação e documentação — trabalhos acadêmicos — apresentação. Rio de Janeiro: ABNT, 2011.</w:t>
      </w:r>
    </w:p>
    <w:p>
      <w:pPr>
        <w:spacing w:after="0" w:line="360" w:lineRule="auto"/>
        <w:jc w:val="both"/>
        <w:rPr>
          <w:rFonts w:ascii="Times New Roman" w:hAnsi="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134" w:left="1701" w:header="709" w:footer="709"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MS Mincho">
    <w:altName w:val="Source Han Sans JP"/>
    <w:panose1 w:val="02020609040205080304"/>
    <w:charset w:val="80"/>
    <w:family w:val="modern"/>
    <w:pitch w:val="default"/>
    <w:sig w:usb0="00000000" w:usb1="00000000" w:usb2="08000012" w:usb3="00000000" w:csb0="0002009F" w:csb1="00000000"/>
  </w:font>
  <w:font w:name="Source Han Sans JP">
    <w:panose1 w:val="020B0500000000000000"/>
    <w:charset w:val="86"/>
    <w:family w:val="auto"/>
    <w:pitch w:val="default"/>
    <w:sig w:usb0="20000083" w:usb1="2ADF3C10" w:usb2="00000016" w:usb3="00000000" w:csb0="60060107" w:csb1="00000000"/>
  </w:font>
  <w:font w:name="Arial Unicode MS">
    <w:altName w:val="Arial"/>
    <w:panose1 w:val="020B0604020202020204"/>
    <w:charset w:val="80"/>
    <w:family w:val="swiss"/>
    <w:pitch w:val="default"/>
    <w:sig w:usb0="00000000" w:usb1="00000000" w:usb2="0000003F" w:usb3="00000000" w:csb0="003F01FF"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5"/>
          <w:jc w:val="right"/>
        </w:pPr>
        <w:r>
          <w:fldChar w:fldCharType="begin"/>
        </w:r>
        <w:r>
          <w:instrText xml:space="preserve">PAGE   \* MERGEFORMAT</w:instrText>
        </w:r>
        <w:r>
          <w:fldChar w:fldCharType="separate"/>
        </w:r>
        <w:r>
          <w:t>2</w:t>
        </w:r>
        <w:r>
          <w:fldChar w:fldCharType="end"/>
        </w:r>
      </w:p>
    </w:sdtContent>
  </w:sdt>
  <w:p>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2"/>
  </w:compat>
  <w:rsids>
    <w:rsidRoot w:val="00A20341"/>
    <w:rsid w:val="0000032A"/>
    <w:rsid w:val="00011BEB"/>
    <w:rsid w:val="00020847"/>
    <w:rsid w:val="00050D63"/>
    <w:rsid w:val="0005404C"/>
    <w:rsid w:val="0007736B"/>
    <w:rsid w:val="00077620"/>
    <w:rsid w:val="000B1321"/>
    <w:rsid w:val="000B185C"/>
    <w:rsid w:val="000F0C7F"/>
    <w:rsid w:val="00117EB8"/>
    <w:rsid w:val="00123935"/>
    <w:rsid w:val="00140550"/>
    <w:rsid w:val="0015151B"/>
    <w:rsid w:val="00180768"/>
    <w:rsid w:val="00184D7B"/>
    <w:rsid w:val="00191E4E"/>
    <w:rsid w:val="001D244D"/>
    <w:rsid w:val="00217EA9"/>
    <w:rsid w:val="00221306"/>
    <w:rsid w:val="002355EF"/>
    <w:rsid w:val="00245789"/>
    <w:rsid w:val="0025333B"/>
    <w:rsid w:val="00254CE3"/>
    <w:rsid w:val="002554A5"/>
    <w:rsid w:val="002952D4"/>
    <w:rsid w:val="002B516C"/>
    <w:rsid w:val="002C073B"/>
    <w:rsid w:val="002E3206"/>
    <w:rsid w:val="00316202"/>
    <w:rsid w:val="00343DCB"/>
    <w:rsid w:val="00361534"/>
    <w:rsid w:val="003657AD"/>
    <w:rsid w:val="0038042A"/>
    <w:rsid w:val="003A526D"/>
    <w:rsid w:val="003B1203"/>
    <w:rsid w:val="003C407E"/>
    <w:rsid w:val="003E3175"/>
    <w:rsid w:val="00411062"/>
    <w:rsid w:val="00423545"/>
    <w:rsid w:val="00426161"/>
    <w:rsid w:val="00446263"/>
    <w:rsid w:val="00447FDE"/>
    <w:rsid w:val="00450A85"/>
    <w:rsid w:val="00476D4E"/>
    <w:rsid w:val="004C2DCC"/>
    <w:rsid w:val="004C4385"/>
    <w:rsid w:val="005102FC"/>
    <w:rsid w:val="0051113B"/>
    <w:rsid w:val="00537C0D"/>
    <w:rsid w:val="00543938"/>
    <w:rsid w:val="005508AD"/>
    <w:rsid w:val="00553730"/>
    <w:rsid w:val="00584841"/>
    <w:rsid w:val="00597EB8"/>
    <w:rsid w:val="005B5EF3"/>
    <w:rsid w:val="005C3C92"/>
    <w:rsid w:val="005C4330"/>
    <w:rsid w:val="005D7847"/>
    <w:rsid w:val="005E65CA"/>
    <w:rsid w:val="00602A21"/>
    <w:rsid w:val="0062271C"/>
    <w:rsid w:val="00634F8D"/>
    <w:rsid w:val="00642A72"/>
    <w:rsid w:val="0067470B"/>
    <w:rsid w:val="00675D68"/>
    <w:rsid w:val="006A1D1B"/>
    <w:rsid w:val="006D632C"/>
    <w:rsid w:val="006E5F51"/>
    <w:rsid w:val="007064F1"/>
    <w:rsid w:val="00730ABA"/>
    <w:rsid w:val="00733223"/>
    <w:rsid w:val="007659A8"/>
    <w:rsid w:val="00780AD4"/>
    <w:rsid w:val="007B33CF"/>
    <w:rsid w:val="007C6E70"/>
    <w:rsid w:val="007E049A"/>
    <w:rsid w:val="007E5871"/>
    <w:rsid w:val="00814343"/>
    <w:rsid w:val="00824DD7"/>
    <w:rsid w:val="00830E9A"/>
    <w:rsid w:val="008614C4"/>
    <w:rsid w:val="00862F3C"/>
    <w:rsid w:val="00866944"/>
    <w:rsid w:val="00891565"/>
    <w:rsid w:val="00897F74"/>
    <w:rsid w:val="008B3A20"/>
    <w:rsid w:val="008B49D9"/>
    <w:rsid w:val="008B6E74"/>
    <w:rsid w:val="008C1E6E"/>
    <w:rsid w:val="008D2D14"/>
    <w:rsid w:val="008D3272"/>
    <w:rsid w:val="00922A77"/>
    <w:rsid w:val="009766D5"/>
    <w:rsid w:val="009A7497"/>
    <w:rsid w:val="009F4490"/>
    <w:rsid w:val="00A20341"/>
    <w:rsid w:val="00A33D93"/>
    <w:rsid w:val="00A67291"/>
    <w:rsid w:val="00AE2FD0"/>
    <w:rsid w:val="00AF5B47"/>
    <w:rsid w:val="00B05909"/>
    <w:rsid w:val="00B709E0"/>
    <w:rsid w:val="00B734EA"/>
    <w:rsid w:val="00B737AC"/>
    <w:rsid w:val="00B958DD"/>
    <w:rsid w:val="00BA693F"/>
    <w:rsid w:val="00BE02A0"/>
    <w:rsid w:val="00C32452"/>
    <w:rsid w:val="00C32F10"/>
    <w:rsid w:val="00C7588B"/>
    <w:rsid w:val="00C93EB4"/>
    <w:rsid w:val="00C973F1"/>
    <w:rsid w:val="00CA7DAB"/>
    <w:rsid w:val="00CC10B0"/>
    <w:rsid w:val="00CC67B5"/>
    <w:rsid w:val="00CD2EE8"/>
    <w:rsid w:val="00CE6537"/>
    <w:rsid w:val="00D25625"/>
    <w:rsid w:val="00D33A37"/>
    <w:rsid w:val="00D34046"/>
    <w:rsid w:val="00D63DFE"/>
    <w:rsid w:val="00D6533E"/>
    <w:rsid w:val="00D92E71"/>
    <w:rsid w:val="00DB2F29"/>
    <w:rsid w:val="00DC0180"/>
    <w:rsid w:val="00DD0556"/>
    <w:rsid w:val="00DD4961"/>
    <w:rsid w:val="00DF0EDC"/>
    <w:rsid w:val="00E1229E"/>
    <w:rsid w:val="00E30D80"/>
    <w:rsid w:val="00E44CE6"/>
    <w:rsid w:val="00E73BBB"/>
    <w:rsid w:val="00E96AF2"/>
    <w:rsid w:val="00EC6B40"/>
    <w:rsid w:val="00EC6DD2"/>
    <w:rsid w:val="00F00D9F"/>
    <w:rsid w:val="00F17C68"/>
    <w:rsid w:val="00F560F3"/>
    <w:rsid w:val="00F750B7"/>
    <w:rsid w:val="00F87ADA"/>
    <w:rsid w:val="00F93440"/>
    <w:rsid w:val="00FB6895"/>
    <w:rsid w:val="00FC54A3"/>
    <w:rsid w:val="00FD0252"/>
    <w:rsid w:val="00FF0A5F"/>
    <w:rsid w:val="00FF1368"/>
    <w:rsid w:val="67BFC3C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name="Body Text 3"/>
    <w:lsdException w:unhideWhenUsed="0" w:uiPriority="0" w:name="Body Text Indent 2"/>
    <w:lsdException w:qFormat="1" w:unhideWhenUsed="0" w:uiPriority="0"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pt-BR" w:eastAsia="en-US" w:bidi="ar-SA"/>
    </w:rPr>
  </w:style>
  <w:style w:type="paragraph" w:styleId="2">
    <w:name w:val="heading 1"/>
    <w:basedOn w:val="1"/>
    <w:next w:val="1"/>
    <w:link w:val="22"/>
    <w:qFormat/>
    <w:uiPriority w:val="9"/>
    <w:pPr>
      <w:keepNext/>
      <w:keepLines/>
      <w:spacing w:after="0" w:line="360" w:lineRule="auto"/>
      <w:outlineLvl w:val="0"/>
    </w:pPr>
    <w:rPr>
      <w:rFonts w:ascii="Times New Roman" w:hAnsi="Times New Roman" w:eastAsiaTheme="majorEastAsia" w:cstheme="majorBidi"/>
      <w:b/>
      <w:bCs/>
      <w:sz w:val="24"/>
      <w:szCs w:val="28"/>
    </w:rPr>
  </w:style>
  <w:style w:type="paragraph" w:styleId="3">
    <w:name w:val="heading 2"/>
    <w:basedOn w:val="1"/>
    <w:next w:val="1"/>
    <w:link w:val="29"/>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33"/>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3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35"/>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character" w:default="1" w:styleId="7">
    <w:name w:val="Default Paragraph Font"/>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26"/>
    <w:semiHidden/>
    <w:unhideWhenUsed/>
    <w:qFormat/>
    <w:uiPriority w:val="99"/>
    <w:pPr>
      <w:spacing w:after="0" w:line="240" w:lineRule="auto"/>
    </w:pPr>
    <w:rPr>
      <w:rFonts w:ascii="Tahoma" w:hAnsi="Tahoma" w:cs="Tahoma"/>
      <w:sz w:val="16"/>
      <w:szCs w:val="16"/>
    </w:rPr>
  </w:style>
  <w:style w:type="paragraph" w:styleId="10">
    <w:name w:val="Body Text"/>
    <w:basedOn w:val="1"/>
    <w:link w:val="36"/>
    <w:semiHidden/>
    <w:unhideWhenUsed/>
    <w:uiPriority w:val="99"/>
    <w:pPr>
      <w:spacing w:after="120"/>
    </w:pPr>
  </w:style>
  <w:style w:type="paragraph" w:styleId="11">
    <w:name w:val="Body Text 2"/>
    <w:basedOn w:val="1"/>
    <w:link w:val="37"/>
    <w:unhideWhenUsed/>
    <w:uiPriority w:val="99"/>
    <w:pPr>
      <w:spacing w:after="120" w:line="480" w:lineRule="auto"/>
    </w:pPr>
  </w:style>
  <w:style w:type="paragraph" w:styleId="12">
    <w:name w:val="Body Text Indent 2"/>
    <w:basedOn w:val="1"/>
    <w:link w:val="32"/>
    <w:semiHidden/>
    <w:uiPriority w:val="0"/>
    <w:pPr>
      <w:spacing w:after="0" w:line="360" w:lineRule="auto"/>
      <w:ind w:firstLine="708"/>
      <w:jc w:val="both"/>
    </w:pPr>
    <w:rPr>
      <w:rFonts w:ascii="Times New Roman" w:hAnsi="Times New Roman" w:eastAsia="Times New Roman"/>
      <w:bCs/>
      <w:sz w:val="24"/>
      <w:szCs w:val="24"/>
      <w:lang w:eastAsia="pt-BR"/>
    </w:rPr>
  </w:style>
  <w:style w:type="paragraph" w:styleId="13">
    <w:name w:val="Body Text Indent 3"/>
    <w:basedOn w:val="1"/>
    <w:link w:val="30"/>
    <w:semiHidden/>
    <w:qFormat/>
    <w:uiPriority w:val="0"/>
    <w:pPr>
      <w:spacing w:after="0" w:line="240" w:lineRule="auto"/>
      <w:ind w:left="2268"/>
    </w:pPr>
    <w:rPr>
      <w:rFonts w:ascii="Times New Roman" w:hAnsi="Times New Roman" w:eastAsia="Times New Roman"/>
      <w:bCs/>
      <w:szCs w:val="24"/>
      <w:lang w:eastAsia="pt-BR"/>
    </w:rPr>
  </w:style>
  <w:style w:type="paragraph" w:styleId="14">
    <w:name w:val="footer"/>
    <w:basedOn w:val="1"/>
    <w:link w:val="24"/>
    <w:unhideWhenUsed/>
    <w:qFormat/>
    <w:uiPriority w:val="99"/>
    <w:pPr>
      <w:tabs>
        <w:tab w:val="center" w:pos="4252"/>
        <w:tab w:val="right" w:pos="8504"/>
      </w:tabs>
      <w:spacing w:after="0" w:line="240" w:lineRule="auto"/>
    </w:pPr>
  </w:style>
  <w:style w:type="paragraph" w:styleId="15">
    <w:name w:val="header"/>
    <w:basedOn w:val="1"/>
    <w:link w:val="23"/>
    <w:unhideWhenUsed/>
    <w:uiPriority w:val="99"/>
    <w:pPr>
      <w:tabs>
        <w:tab w:val="center" w:pos="4252"/>
        <w:tab w:val="right" w:pos="8504"/>
      </w:tabs>
      <w:spacing w:after="0" w:line="240" w:lineRule="auto"/>
    </w:pPr>
  </w:style>
  <w:style w:type="character" w:styleId="16">
    <w:name w:val="Hyperlink"/>
    <w:basedOn w:val="7"/>
    <w:unhideWhenUsed/>
    <w:uiPriority w:val="99"/>
    <w:rPr>
      <w:color w:val="0000FF" w:themeColor="hyperlink"/>
      <w:u w:val="single"/>
    </w:rPr>
  </w:style>
  <w:style w:type="paragraph" w:styleId="17">
    <w:name w:val="Normal (Web)"/>
    <w:basedOn w:val="1"/>
    <w:semiHidden/>
    <w:uiPriority w:val="0"/>
    <w:pPr>
      <w:suppressAutoHyphens/>
      <w:spacing w:before="280" w:after="280" w:line="240" w:lineRule="auto"/>
    </w:pPr>
    <w:rPr>
      <w:rFonts w:ascii="Arial Unicode MS" w:hAnsi="Arial Unicode MS" w:eastAsia="Arial Unicode MS" w:cs="Arial Unicode MS"/>
      <w:sz w:val="24"/>
      <w:szCs w:val="24"/>
      <w:lang w:eastAsia="ar-SA"/>
    </w:rPr>
  </w:style>
  <w:style w:type="paragraph" w:styleId="18">
    <w:name w:val="Subtitle"/>
    <w:basedOn w:val="1"/>
    <w:next w:val="10"/>
    <w:link w:val="39"/>
    <w:qFormat/>
    <w:uiPriority w:val="0"/>
    <w:pPr>
      <w:keepNext/>
      <w:suppressAutoHyphens/>
      <w:spacing w:before="240" w:after="120" w:line="240" w:lineRule="auto"/>
      <w:jc w:val="center"/>
    </w:pPr>
    <w:rPr>
      <w:rFonts w:ascii="Arial" w:hAnsi="Arial" w:eastAsia="MS Mincho" w:cs="Tahoma"/>
      <w:i/>
      <w:iCs/>
      <w:sz w:val="28"/>
      <w:szCs w:val="28"/>
      <w:lang w:eastAsia="ar-SA"/>
    </w:rPr>
  </w:style>
  <w:style w:type="table" w:styleId="19">
    <w:name w:val="Table Grid"/>
    <w:basedOn w:val="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8"/>
    <w:link w:val="38"/>
    <w:qFormat/>
    <w:uiPriority w:val="0"/>
    <w:pPr>
      <w:suppressAutoHyphens/>
      <w:spacing w:after="0" w:line="240" w:lineRule="auto"/>
      <w:jc w:val="center"/>
    </w:pPr>
    <w:rPr>
      <w:rFonts w:ascii="Times New Roman" w:hAnsi="Times New Roman" w:eastAsia="Times New Roman"/>
      <w:b/>
      <w:bCs/>
      <w:sz w:val="24"/>
      <w:szCs w:val="20"/>
      <w:lang w:eastAsia="ar-SA"/>
    </w:rPr>
  </w:style>
  <w:style w:type="paragraph" w:styleId="21">
    <w:name w:val="toc 1"/>
    <w:basedOn w:val="1"/>
    <w:next w:val="1"/>
    <w:unhideWhenUsed/>
    <w:uiPriority w:val="39"/>
    <w:pPr>
      <w:tabs>
        <w:tab w:val="right" w:leader="dot" w:pos="9061"/>
      </w:tabs>
      <w:spacing w:after="0" w:line="360" w:lineRule="auto"/>
      <w:jc w:val="both"/>
    </w:pPr>
  </w:style>
  <w:style w:type="character" w:customStyle="1" w:styleId="22">
    <w:name w:val="Título 1 Char"/>
    <w:basedOn w:val="7"/>
    <w:link w:val="2"/>
    <w:qFormat/>
    <w:uiPriority w:val="9"/>
    <w:rPr>
      <w:rFonts w:ascii="Times New Roman" w:hAnsi="Times New Roman" w:eastAsiaTheme="majorEastAsia" w:cstheme="majorBidi"/>
      <w:b/>
      <w:bCs/>
      <w:sz w:val="24"/>
      <w:szCs w:val="28"/>
    </w:rPr>
  </w:style>
  <w:style w:type="character" w:customStyle="1" w:styleId="23">
    <w:name w:val="Cabeçalho Char"/>
    <w:basedOn w:val="7"/>
    <w:link w:val="15"/>
    <w:uiPriority w:val="99"/>
    <w:rPr>
      <w:rFonts w:ascii="Calibri" w:hAnsi="Calibri" w:eastAsia="Calibri" w:cs="Times New Roman"/>
    </w:rPr>
  </w:style>
  <w:style w:type="character" w:customStyle="1" w:styleId="24">
    <w:name w:val="Rodapé Char"/>
    <w:basedOn w:val="7"/>
    <w:link w:val="14"/>
    <w:uiPriority w:val="99"/>
    <w:rPr>
      <w:rFonts w:ascii="Calibri" w:hAnsi="Calibri" w:eastAsia="Calibri" w:cs="Times New Roman"/>
    </w:rPr>
  </w:style>
  <w:style w:type="paragraph" w:customStyle="1" w:styleId="25">
    <w:name w:val="TOC Heading"/>
    <w:basedOn w:val="2"/>
    <w:next w:val="1"/>
    <w:semiHidden/>
    <w:unhideWhenUsed/>
    <w:qFormat/>
    <w:uiPriority w:val="39"/>
    <w:pPr>
      <w:outlineLvl w:val="9"/>
    </w:pPr>
    <w:rPr>
      <w:lang w:eastAsia="pt-BR"/>
    </w:rPr>
  </w:style>
  <w:style w:type="character" w:customStyle="1" w:styleId="26">
    <w:name w:val="Texto de balão Char"/>
    <w:basedOn w:val="7"/>
    <w:link w:val="9"/>
    <w:semiHidden/>
    <w:uiPriority w:val="99"/>
    <w:rPr>
      <w:rFonts w:ascii="Tahoma" w:hAnsi="Tahoma" w:eastAsia="Calibri" w:cs="Tahoma"/>
      <w:sz w:val="16"/>
      <w:szCs w:val="16"/>
    </w:rPr>
  </w:style>
  <w:style w:type="paragraph" w:styleId="27">
    <w:name w:val="List Paragraph"/>
    <w:basedOn w:val="1"/>
    <w:qFormat/>
    <w:uiPriority w:val="34"/>
    <w:pPr>
      <w:ind w:left="720"/>
      <w:contextualSpacing/>
    </w:pPr>
  </w:style>
  <w:style w:type="paragraph" w:customStyle="1" w:styleId="28">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pt-BR" w:eastAsia="en-US" w:bidi="ar-SA"/>
    </w:rPr>
  </w:style>
  <w:style w:type="character" w:customStyle="1" w:styleId="29">
    <w:name w:val="Título 2 Char"/>
    <w:basedOn w:val="7"/>
    <w:link w:val="3"/>
    <w:semiHidden/>
    <w:uiPriority w:val="9"/>
    <w:rPr>
      <w:rFonts w:asciiTheme="majorHAnsi" w:hAnsiTheme="majorHAnsi" w:eastAsiaTheme="majorEastAsia" w:cstheme="majorBidi"/>
      <w:b/>
      <w:bCs/>
      <w:color w:val="4F81BD" w:themeColor="accent1"/>
      <w:sz w:val="26"/>
      <w:szCs w:val="26"/>
    </w:rPr>
  </w:style>
  <w:style w:type="character" w:customStyle="1" w:styleId="30">
    <w:name w:val="Recuo de corpo de texto 3 Char"/>
    <w:basedOn w:val="7"/>
    <w:link w:val="13"/>
    <w:semiHidden/>
    <w:qFormat/>
    <w:uiPriority w:val="0"/>
    <w:rPr>
      <w:rFonts w:ascii="Times New Roman" w:hAnsi="Times New Roman" w:eastAsia="Times New Roman" w:cs="Times New Roman"/>
      <w:bCs/>
      <w:szCs w:val="24"/>
      <w:lang w:eastAsia="pt-BR"/>
    </w:rPr>
  </w:style>
  <w:style w:type="paragraph" w:customStyle="1" w:styleId="31">
    <w:name w:val="Índice"/>
    <w:basedOn w:val="1"/>
    <w:uiPriority w:val="0"/>
    <w:pPr>
      <w:suppressLineNumbers/>
      <w:suppressAutoHyphens/>
      <w:spacing w:after="0" w:line="240" w:lineRule="auto"/>
    </w:pPr>
    <w:rPr>
      <w:rFonts w:ascii="Times New Roman" w:hAnsi="Times New Roman" w:eastAsia="Times New Roman" w:cs="Tahoma"/>
      <w:sz w:val="24"/>
      <w:szCs w:val="24"/>
      <w:lang w:eastAsia="ar-SA"/>
    </w:rPr>
  </w:style>
  <w:style w:type="character" w:customStyle="1" w:styleId="32">
    <w:name w:val="Recuo de corpo de texto 2 Char"/>
    <w:basedOn w:val="7"/>
    <w:link w:val="12"/>
    <w:semiHidden/>
    <w:uiPriority w:val="0"/>
    <w:rPr>
      <w:rFonts w:ascii="Times New Roman" w:hAnsi="Times New Roman" w:eastAsia="Times New Roman" w:cs="Times New Roman"/>
      <w:bCs/>
      <w:sz w:val="24"/>
      <w:szCs w:val="24"/>
      <w:lang w:eastAsia="pt-BR"/>
    </w:rPr>
  </w:style>
  <w:style w:type="character" w:customStyle="1" w:styleId="33">
    <w:name w:val="Título 3 Char"/>
    <w:basedOn w:val="7"/>
    <w:link w:val="4"/>
    <w:semiHidden/>
    <w:uiPriority w:val="9"/>
    <w:rPr>
      <w:rFonts w:asciiTheme="majorHAnsi" w:hAnsiTheme="majorHAnsi" w:eastAsiaTheme="majorEastAsia" w:cstheme="majorBidi"/>
      <w:b/>
      <w:bCs/>
      <w:color w:val="4F81BD" w:themeColor="accent1"/>
    </w:rPr>
  </w:style>
  <w:style w:type="character" w:customStyle="1" w:styleId="34">
    <w:name w:val="Título 4 Char"/>
    <w:basedOn w:val="7"/>
    <w:link w:val="5"/>
    <w:semiHidden/>
    <w:uiPriority w:val="9"/>
    <w:rPr>
      <w:rFonts w:asciiTheme="majorHAnsi" w:hAnsiTheme="majorHAnsi" w:eastAsiaTheme="majorEastAsia" w:cstheme="majorBidi"/>
      <w:b/>
      <w:bCs/>
      <w:i/>
      <w:iCs/>
      <w:color w:val="4F81BD" w:themeColor="accent1"/>
    </w:rPr>
  </w:style>
  <w:style w:type="character" w:customStyle="1" w:styleId="35">
    <w:name w:val="Título 5 Char"/>
    <w:basedOn w:val="7"/>
    <w:link w:val="6"/>
    <w:semiHidden/>
    <w:uiPriority w:val="9"/>
    <w:rPr>
      <w:rFonts w:asciiTheme="majorHAnsi" w:hAnsiTheme="majorHAnsi" w:eastAsiaTheme="majorEastAsia" w:cstheme="majorBidi"/>
      <w:color w:val="243F61" w:themeColor="accent1" w:themeShade="7F"/>
    </w:rPr>
  </w:style>
  <w:style w:type="character" w:customStyle="1" w:styleId="36">
    <w:name w:val="Corpo de texto Char"/>
    <w:basedOn w:val="7"/>
    <w:link w:val="10"/>
    <w:semiHidden/>
    <w:uiPriority w:val="99"/>
    <w:rPr>
      <w:rFonts w:ascii="Calibri" w:hAnsi="Calibri" w:eastAsia="Calibri" w:cs="Times New Roman"/>
    </w:rPr>
  </w:style>
  <w:style w:type="character" w:customStyle="1" w:styleId="37">
    <w:name w:val="Corpo de texto 2 Char"/>
    <w:basedOn w:val="7"/>
    <w:link w:val="11"/>
    <w:uiPriority w:val="99"/>
    <w:rPr>
      <w:rFonts w:ascii="Calibri" w:hAnsi="Calibri" w:eastAsia="Calibri" w:cs="Times New Roman"/>
    </w:rPr>
  </w:style>
  <w:style w:type="character" w:customStyle="1" w:styleId="38">
    <w:name w:val="Título Char"/>
    <w:basedOn w:val="7"/>
    <w:link w:val="20"/>
    <w:uiPriority w:val="0"/>
    <w:rPr>
      <w:rFonts w:ascii="Times New Roman" w:hAnsi="Times New Roman" w:eastAsia="Times New Roman" w:cs="Times New Roman"/>
      <w:b/>
      <w:bCs/>
      <w:sz w:val="24"/>
      <w:szCs w:val="20"/>
      <w:lang w:eastAsia="ar-SA"/>
    </w:rPr>
  </w:style>
  <w:style w:type="character" w:customStyle="1" w:styleId="39">
    <w:name w:val="Subtítulo Char"/>
    <w:basedOn w:val="7"/>
    <w:link w:val="18"/>
    <w:uiPriority w:val="0"/>
    <w:rPr>
      <w:rFonts w:ascii="Arial" w:hAnsi="Arial" w:eastAsia="MS Mincho" w:cs="Tahoma"/>
      <w:i/>
      <w:iCs/>
      <w:sz w:val="28"/>
      <w:szCs w:val="28"/>
      <w:lang w:eastAsia="ar-SA"/>
    </w:rPr>
  </w:style>
  <w:style w:type="paragraph" w:customStyle="1" w:styleId="40">
    <w:name w:val="NormalGladis"/>
    <w:basedOn w:val="1"/>
    <w:uiPriority w:val="0"/>
    <w:pPr>
      <w:suppressAutoHyphens/>
      <w:spacing w:after="0" w:line="240" w:lineRule="auto"/>
      <w:jc w:val="both"/>
    </w:pPr>
    <w:rPr>
      <w:rFonts w:ascii="Times New Roman" w:hAnsi="Times New Roman" w:eastAsia="Times New Roman"/>
      <w:sz w:val="24"/>
      <w:szCs w:val="20"/>
      <w:lang w:val="pt-PT" w:eastAsia="ar-SA"/>
    </w:rPr>
  </w:style>
  <w:style w:type="table" w:customStyle="1" w:styleId="41">
    <w:name w:val="Grid Table 4 Accent 1"/>
    <w:basedOn w:val="8"/>
    <w:uiPriority w:val="49"/>
    <w:pPr>
      <w:spacing w:after="0" w:line="240" w:lineRule="auto"/>
    </w:p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10855</Words>
  <Characters>61007</Characters>
  <Lines>2346</Lines>
  <Paragraphs>1330</Paragraphs>
  <TotalTime>327</TotalTime>
  <ScaleCrop>false</ScaleCrop>
  <LinksUpToDate>false</LinksUpToDate>
  <CharactersWithSpaces>70532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2017-04-25T16:28:00Z</dcterms:created>
  <dc:creator>Angelita Moutin Segoria Gasparotto</dc:creator>
  <cp:lastModifiedBy>leonardo</cp:lastModifiedBy>
  <cp:lastPrinted>2026-09-19T17:42:00Z</cp:lastPrinted>
  <dcterms:modified xsi:type="dcterms:W3CDTF">2026-10-28T10:42:21Z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