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libri" w:hAnsi="Calibri" w:cs="Calibri"/>
          <w:sz w:val="20"/>
          <w:szCs w:val="20"/>
        </w:rPr>
      </w:pPr>
      <w:bookmarkStart w:id="0" w:name="_GoBack"/>
      <w:r>
        <w:rPr>
          <w:rFonts w:hint="default" w:ascii="Calibri" w:hAnsi="Calibri" w:cs="Calibri"/>
          <w:sz w:val="20"/>
          <w:szCs w:val="20"/>
        </w:rPr>
        <w:t>Esta seção documenta os requisitos fundamentais dos produtos e entregas identificados na Estrutura Analítica do Projeto (EAP), conforme o Processo 5.2 (Coletar Requisitos) do PMBOK® 6ª edição e o Domínio de Entrega do PMBOK® 7ª edição. Cada requisito é mensurável, rastreável aos Objetivos SMART (§3) e vinculado a um pacote de trabalho específico da EAP.</w:t>
      </w:r>
    </w:p>
    <w:p>
      <w:pPr>
        <w:rPr>
          <w:rFonts w:hint="default" w:ascii="Calibri" w:hAnsi="Calibri" w:cs="Calibri"/>
          <w:sz w:val="20"/>
          <w:szCs w:val="20"/>
        </w:rPr>
      </w:pPr>
    </w:p>
    <w:p>
      <w:pPr>
        <w:rPr>
          <w:rFonts w:hint="default" w:ascii="Calibri" w:hAnsi="Calibri" w:cs="Calibri"/>
          <w:sz w:val="20"/>
          <w:szCs w:val="20"/>
          <w:lang w:val="pt-BR"/>
        </w:rPr>
      </w:pPr>
      <w:r>
        <w:rPr>
          <w:rFonts w:hint="default" w:ascii="Calibri" w:hAnsi="Calibri" w:cs="Calibri"/>
          <w:b/>
          <w:sz w:val="20"/>
          <w:szCs w:val="20"/>
        </w:rPr>
        <w:t>Regra de consistência:</w:t>
      </w:r>
      <w:r>
        <w:rPr>
          <w:rFonts w:hint="default" w:ascii="Calibri" w:hAnsi="Calibri" w:cs="Calibri"/>
          <w:sz w:val="20"/>
          <w:szCs w:val="20"/>
        </w:rPr>
        <w:t xml:space="preserve"> Todo requisito deve possuir</w:t>
      </w:r>
      <w:r>
        <w:rPr>
          <w:rFonts w:hint="default" w:ascii="Calibri" w:hAnsi="Calibri" w:cs="Calibri"/>
          <w:sz w:val="20"/>
          <w:szCs w:val="20"/>
          <w:lang w:val="pt-BR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critério de aceite quantificável,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rastreabilidade ao Objetivo SMART do TAP §3,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mapeamento ao pacote da EAP v2.0, e 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domínio PMBOK 7ª associado.</w:t>
      </w:r>
    </w:p>
    <w:p>
      <w:pPr>
        <w:pStyle w:val="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5.1. Entrega Principal 1 — MVP Web Funcional (Fase N5)</w:t>
      </w:r>
    </w:p>
    <w:tbl>
      <w:tblPr>
        <w:tblStyle w:val="9"/>
        <w:tblW w:w="5013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71"/>
        <w:gridCol w:w="3113"/>
        <w:gridCol w:w="2764"/>
        <w:gridCol w:w="214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3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1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W w:w="11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REQ-01</w:t>
            </w:r>
          </w:p>
        </w:tc>
        <w:tc>
          <w:tcPr>
            <w:tcW w:w="173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Simulação de conversão cambial em tempo real (USD/EUR → BRL)</w:t>
            </w:r>
          </w:p>
        </w:tc>
        <w:tc>
          <w:tcPr>
            <w:tcW w:w="1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Cotação obtida via API externa com latência ≤ 2s</w:t>
            </w:r>
          </w:p>
        </w:tc>
        <w:tc>
          <w:tcPr>
            <w:tcW w:w="11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TAP §3 (Produto) + N5.2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REQ-02</w:t>
            </w:r>
          </w:p>
        </w:tc>
        <w:tc>
          <w:tcPr>
            <w:tcW w:w="173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Suporte a 5 regimes de contratação (hora, dia, semana, mês, valor fixo)</w:t>
            </w:r>
          </w:p>
        </w:tc>
        <w:tc>
          <w:tcPr>
            <w:tcW w:w="1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100% dos regimes operacionais em UAT</w:t>
            </w:r>
          </w:p>
        </w:tc>
        <w:tc>
          <w:tcPr>
            <w:tcW w:w="11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TAP §3 (Produto) + N5.1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54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REQ-03</w:t>
            </w:r>
          </w:p>
        </w:tc>
        <w:tc>
          <w:tcPr>
            <w:tcW w:w="173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Aplicação de encargos financeiros simulados (spread + IOF)</w:t>
            </w:r>
          </w:p>
        </w:tc>
        <w:tc>
          <w:tcPr>
            <w:tcW w:w="1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Cálculo auditável com precisão de 2 casas decimais</w:t>
            </w:r>
          </w:p>
        </w:tc>
        <w:tc>
          <w:tcPr>
            <w:tcW w:w="11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TAP §3 (Produto) + N5.1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REQ-04</w:t>
            </w:r>
          </w:p>
        </w:tc>
        <w:tc>
          <w:tcPr>
            <w:tcW w:w="173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Emissão de invoice em formato PDF</w:t>
            </w:r>
          </w:p>
        </w:tc>
        <w:tc>
          <w:tcPr>
            <w:tcW w:w="1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Geração via WeasyPrint em ≤ 3s por documento</w:t>
            </w:r>
          </w:p>
        </w:tc>
        <w:tc>
          <w:tcPr>
            <w:tcW w:w="11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TAP §3 (Produto) + N5.4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REQ-05</w:t>
            </w:r>
          </w:p>
        </w:tc>
        <w:tc>
          <w:tcPr>
            <w:tcW w:w="173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Tempo de resposta da aplicação</w:t>
            </w:r>
          </w:p>
        </w:tc>
        <w:tc>
          <w:tcPr>
            <w:tcW w:w="1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≤ 3s em 95% das requisições (ambiente homologação)</w:t>
            </w:r>
          </w:p>
        </w:tc>
        <w:tc>
          <w:tcPr>
            <w:tcW w:w="11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TAP §3 (Produto — M) + N5.1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REQ-06</w:t>
            </w:r>
          </w:p>
        </w:tc>
        <w:tc>
          <w:tcPr>
            <w:tcW w:w="173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Interface web responsiva (FOSS)</w:t>
            </w:r>
          </w:p>
        </w:tc>
        <w:tc>
          <w:tcPr>
            <w:tcW w:w="1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Compatível com Chrome/Firefox/Edge (últimas 2 versões)</w:t>
            </w:r>
          </w:p>
        </w:tc>
        <w:tc>
          <w:tcPr>
            <w:tcW w:w="11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TAP §3 (Inovação) + N5.3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54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REQ-07</w:t>
            </w:r>
          </w:p>
        </w:tc>
        <w:tc>
          <w:tcPr>
            <w:tcW w:w="173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Cache de cotações (SQLite)</w:t>
            </w:r>
          </w:p>
        </w:tc>
        <w:tc>
          <w:tcPr>
            <w:tcW w:w="15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Redução de ≥ 50% das chamadas à API externa</w:t>
            </w:r>
          </w:p>
        </w:tc>
        <w:tc>
          <w:tcPr>
            <w:tcW w:w="119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OKB v3.1 §4.2 + N5.2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5.2. Entrega Principal 2 — Garantia da Qualidade (Fase N6)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756"/>
        <w:gridCol w:w="2693"/>
        <w:gridCol w:w="3743"/>
        <w:gridCol w:w="177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Cobertura de testes automatizados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≥ 80% do código (unitários + integração via pytest + coverage.py)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TAP §3 (Qualidade) + N6.1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Testes de aceitação (UAT)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100% dos fluxos críticos passing, zero defeitos críticos/bloqueantes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TAP §3 (Qualidade) + N6.2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Aplicação de ferramentas da qualidade (PDCA + Ishikawa 6M)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12 PDCAs consolidados + diagrama de causa e efeito documentado no Plano de Qualidade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TAP §3 (Qualidade) + N6.3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5.3. Entrega Principal 3 — DevOps e CI/CD (Fase N7)</w:t>
      </w:r>
    </w:p>
    <w:tbl>
      <w:tblPr>
        <w:tblStyle w:val="9"/>
        <w:tblW w:w="4998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81"/>
        <w:gridCol w:w="2038"/>
        <w:gridCol w:w="3850"/>
        <w:gridCol w:w="209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214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W w:w="116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  <w:vAlign w:val="top"/>
          </w:tcPr>
          <w:p>
            <w:pPr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4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REQ-11</w:t>
            </w:r>
          </w:p>
        </w:tc>
        <w:tc>
          <w:tcPr>
            <w:tcW w:w="11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Pipeline CI funcional</w:t>
            </w:r>
          </w:p>
        </w:tc>
        <w:tc>
          <w:tcPr>
            <w:tcW w:w="214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Lint + testes rodando em ≤ 5 min por push</w:t>
            </w:r>
          </w:p>
        </w:tc>
        <w:tc>
          <w:tcPr>
            <w:tcW w:w="116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OKB v3.1 §4.1 + N7.1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5.4. Entrega Principal 4 — Base de Conhecimento (Fase N9)</w:t>
      </w:r>
    </w:p>
    <w:tbl>
      <w:tblPr>
        <w:tblStyle w:val="9"/>
        <w:tblW w:w="4998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4"/>
        <w:gridCol w:w="2820"/>
        <w:gridCol w:w="3161"/>
        <w:gridCol w:w="208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57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176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W w:w="116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REQ-12</w:t>
            </w:r>
          </w:p>
        </w:tc>
        <w:tc>
          <w:tcPr>
            <w:tcW w:w="157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ADRs para decisões arquiteturais críticas</w:t>
            </w:r>
          </w:p>
        </w:tc>
        <w:tc>
          <w:tcPr>
            <w:tcW w:w="176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Mínimo 3 ADRs registrados (stack, Kanban, métricas)</w:t>
            </w:r>
          </w:p>
        </w:tc>
        <w:tc>
          <w:tcPr>
            <w:tcW w:w="116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OKB v3.1 §4.5 + N9.1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REQ-13</w:t>
            </w:r>
          </w:p>
        </w:tc>
        <w:tc>
          <w:tcPr>
            <w:tcW w:w="157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Rastreabilidade de prompts SDD</w:t>
            </w:r>
          </w:p>
        </w:tc>
        <w:tc>
          <w:tcPr>
            <w:tcW w:w="1762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100% dos prompts catalogados em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  <w:highlight w:val="lightGray"/>
              </w:rPr>
              <w:t>.ai/handoffs/</w:t>
            </w:r>
          </w:p>
        </w:tc>
        <w:tc>
          <w:tcPr>
            <w:tcW w:w="1160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OKB v3.1 §4.4 + N9.3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5.5. Entrega Principal 5 — Documentação Técnica (Fase N11)</w:t>
      </w:r>
    </w:p>
    <w:tbl>
      <w:tblPr>
        <w:tblStyle w:val="9"/>
        <w:tblW w:w="4998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30"/>
        <w:gridCol w:w="2603"/>
        <w:gridCol w:w="3493"/>
        <w:gridCol w:w="204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46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4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194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W w:w="113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46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REQ-14</w:t>
            </w:r>
          </w:p>
        </w:tc>
        <w:tc>
          <w:tcPr>
            <w:tcW w:w="1451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Documentação técnica consolidada</w:t>
            </w:r>
          </w:p>
        </w:tc>
        <w:tc>
          <w:tcPr>
            <w:tcW w:w="194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Arquitetura + APIs (OpenAPI) revisadas e aprovadas</w:t>
            </w:r>
          </w:p>
        </w:tc>
        <w:tc>
          <w:tcPr>
            <w:tcW w:w="113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TAP §3 (Produto) + N11.1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5.6. Entrega Principal 6 — Conformidade FOSS (Fases N1, N4)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797"/>
        <w:gridCol w:w="1895"/>
        <w:gridCol w:w="4077"/>
        <w:gridCol w:w="220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Critério de Aceite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Rastreabilidade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Licenciamento 100% FOSS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Todas dependências com licenças OSI-approved (MIT, Apache 2.0, BSD, GPL)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TAP §3 (Inovação) + N1.5 + N4.4</w:t>
            </w:r>
          </w:p>
        </w:tc>
      </w:tr>
    </w:tbl>
    <w:p>
      <w:pPr>
        <w:rPr>
          <w:rFonts w:hint="default" w:ascii="Calibri" w:hAnsi="Calibri" w:cs="Calibri"/>
        </w:rPr>
      </w:pPr>
    </w:p>
    <w:p>
      <w:pPr>
        <w:pStyle w:val="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5.7 MATRIZ DE RASTREABILIDADE CONSOLIDADA (TAP §3 → EAP → REQUISITOS)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468"/>
        <w:gridCol w:w="2203"/>
        <w:gridCol w:w="2377"/>
        <w:gridCol w:w="192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Objetivo SMART (TAP §3)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Fases EAP v2.0 Associadas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Requisitos Cobertos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jc w:val="center"/>
              <w:rPr>
                <w:rFonts w:hint="default"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</w:rPr>
              <w:t>Domínio PMBOK 7ª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Produto (Escopo)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 xml:space="preserve"> — MVP funcional com simulação cambial, 5 regimes, invoice PDF, ≤ 3s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N5 (Desenvolvimento)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REQ-01, REQ-02, REQ-03, REQ-04, REQ-05, REQ-06, REQ-07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Entrega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Qualidade e Testes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 xml:space="preserve"> — ≥ 80% coverage, UAT 100% fluxos críticos, zero defeitos críticos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N6 (Garantia da Qualidade)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REQ-08, REQ-09, REQ-10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Medição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Cronograma (Marcos)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 xml:space="preserve"> — 22/09 (parcial) + Nov/2026 (final)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Macro-fases MF1/MF2/MF3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Todos (indiretamente)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Abordagem de Desenvolvimento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Métricas e Indicadores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 xml:space="preserve"> — Cycle Time + Throughput via GitHub Insights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N7 (DevOps) + N9 (Base de Conhecimento)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Medição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Inovação e Ferramentas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 xml:space="preserve"> — FOSS + SDD com IA auditável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N1.5, N4.4, N5.5, N9.1, N9.3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REQ-12, REQ-13, REQ-15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Trabalho do Projeto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textAlignment w:val="auto"/>
        <w:rPr>
          <w:rFonts w:hint="default" w:ascii="Calibri" w:hAnsi="Calibri" w:cs="Calibri"/>
          <w:sz w:val="16"/>
          <w:szCs w:val="16"/>
        </w:rPr>
      </w:pPr>
      <w:r>
        <w:rPr>
          <w:rFonts w:hint="default" w:ascii="Calibri" w:hAnsi="Calibri" w:cs="Calibri"/>
          <w:b/>
          <w:sz w:val="16"/>
          <w:szCs w:val="16"/>
        </w:rPr>
        <w:t>Verificação de completude:</w:t>
      </w:r>
      <w:r>
        <w:rPr>
          <w:rFonts w:hint="default" w:ascii="Calibri" w:hAnsi="Calibri" w:cs="Calibri"/>
          <w:sz w:val="16"/>
          <w:szCs w:val="16"/>
        </w:rPr>
        <w:t xml:space="preserve"> 100% dos Objetivos SMART do TAP §3 possuem ao menos um requisito associado na seção §5.</w:t>
      </w:r>
    </w:p>
    <w:bookmarkEnd w:id="0"/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9FBFB2"/>
    <w:multiLevelType w:val="singleLevel"/>
    <w:tmpl w:val="EF9FBFB2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4DFA4B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2026-09-10T16:49:42Z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