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CCB58AF">
      <w:pPr>
        <w:pStyle w:val="Heading1"/>
        <w:spacing w:lineRule="auto"/>
      </w:pPr>
      <w:r>
        <w:rPr>
          <w:rFonts w:ascii="Calibri" w:hAnsi="Calibri" w:cs="Calibri"/>
          <w:b/>
          <w:bCs/>
          <w:sz w:val="48"/>
          <w:szCs w:val="48"/>
        </w:rPr>
        <w:t>GLOSSÁRIO DO PROJETO COGME v3.1</w:t>
      </w:r>
    </w:p>
    <w:p w14:paraId="417DEB09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Versão:</w:t>
      </w:r>
      <w:r>
        <w:rPr>
          <w:rFonts w:ascii="Calibri" w:hAnsi="Calibri" w:cs="Calibri"/>
          <w:sz w:val="24"/>
          <w:szCs w:val="24"/>
        </w:rPr>
        <w:t xml:space="preserve"> 3.1</w:t>
      </w:r>
      <w:r>
        <w:br w:type="textWrapping"/>
      </w:r>
      <w:r>
        <w:rPr>
          <w:rFonts w:ascii="Calibri" w:hAnsi="Calibri" w:cs="Calibri"/>
          <w:b/>
          <w:bCs/>
          <w:sz w:val="24"/>
          <w:szCs w:val="24"/>
        </w:rPr>
        <w:t>Data:</w:t>
      </w:r>
      <w:r>
        <w:rPr>
          <w:rFonts w:ascii="Calibri" w:hAnsi="Calibri" w:cs="Calibri"/>
          <w:sz w:val="24"/>
          <w:szCs w:val="24"/>
        </w:rPr>
        <w:t xml:space="preserve"> 20/09/2026</w:t>
      </w:r>
      <w:r>
        <w:br w:type="textWrapping"/>
      </w:r>
      <w:r>
        <w:rPr>
          <w:rFonts w:ascii="Calibri" w:hAnsi="Calibri" w:cs="Calibri"/>
          <w:b/>
          <w:bCs/>
          <w:sz w:val="24"/>
          <w:szCs w:val="24"/>
        </w:rPr>
        <w:t>Status:</w:t>
      </w:r>
      <w:r>
        <w:rPr>
          <w:rFonts w:ascii="Calibri" w:hAnsi="Calibri" w:cs="Calibri"/>
          <w:sz w:val="24"/>
          <w:szCs w:val="24"/>
        </w:rPr>
        <w:t xml:space="preserve"> Atualizado conforme OKB v3.1 e análise de auditoria v2.0</w:t>
      </w:r>
      <w:r>
        <w:br w:type="textWrapping"/>
      </w:r>
      <w:r>
        <w:rPr>
          <w:rFonts w:ascii="Calibri" w:hAnsi="Calibri" w:cs="Calibri"/>
          <w:b/>
          <w:bCs/>
          <w:sz w:val="24"/>
          <w:szCs w:val="24"/>
        </w:rPr>
        <w:t>Stakeholder-Avaliador:</w:t>
      </w:r>
      <w:r>
        <w:rPr>
          <w:rFonts w:ascii="Calibri" w:hAnsi="Calibri" w:cs="Calibri"/>
          <w:sz w:val="24"/>
          <w:szCs w:val="24"/>
        </w:rPr>
        <w:t xml:space="preserve"> Prof. Dr. Nivaldo Carletto</w:t>
      </w:r>
      <w:r>
        <w:br w:type="textWrapping"/>
      </w:r>
      <w:r>
        <w:rPr>
          <w:rFonts w:ascii="Calibri" w:hAnsi="Calibri" w:cs="Calibri"/>
          <w:b/>
          <w:bCs/>
          <w:sz w:val="24"/>
          <w:szCs w:val="24"/>
        </w:rPr>
        <w:t>Referências:</w:t>
      </w:r>
      <w:r>
        <w:rPr>
          <w:rFonts w:ascii="Calibri" w:hAnsi="Calibri" w:cs="Calibri"/>
          <w:sz w:val="24"/>
          <w:szCs w:val="24"/>
        </w:rPr>
        <w:t>OKB_COGME_v3.1.md, analise_arquitetural.md v2.0, Canon_Stack_SDD.md v1.0, TAP v3 (18/09/2026)</w:t>
      </w:r>
      <w:r>
        <w:br w:type="textWrapping"/>
      </w:r>
      <w:r>
        <w:rPr>
          <w:rFonts w:ascii="Calibri" w:hAnsi="Calibri" w:cs="Calibri"/>
          <w:b/>
          <w:bCs/>
          <w:sz w:val="24"/>
          <w:szCs w:val="24"/>
        </w:rPr>
        <w:t>Hierarquia de autoridade:</w:t>
      </w:r>
      <w:r>
        <w:rPr>
          <w:rFonts w:ascii="Calibri" w:hAnsi="Calibri" w:cs="Calibri"/>
          <w:sz w:val="24"/>
          <w:szCs w:val="24"/>
        </w:rPr>
        <w:t xml:space="preserve"> TAP &gt; OKB &gt; Glossário &gt; ADRs</w:t>
      </w:r>
    </w:p>
    <w:p w14:paraId="5D1B4DB0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1. Siglas e Acrônimos do Projeto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D5B6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Termo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8EE1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Significado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907D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Contexto COGME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AF57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COGME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2809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Conversor de Ganhos em Moeda Estrangeira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8B4C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Nome do projeto/produto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0081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9376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Termo de Abertura do Projeto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49F9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Documento de iniciação (Project Charter) — </w:t>
            </w:r>
          </w:p>
          <w:p w14:paraId="38555C0A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NÃO integra EAP nem PDCA</w:t>
            </w:r>
          </w:p>
          <w:p w14:paraId="6BC104B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(v3.1)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4A9A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EAP/WBS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3F1B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Estrutura Analítica do Projeto / Work Breakdown Structure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D4A2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Decomposição hierárquica do escopo (13 fases + 48 pacotes Nível 2)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48D2C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ADR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FA7C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Architecture Decision Record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5CD69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Registro de decisões arquiteturais (formato: Contexto → Decisão → Consequências)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599A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CCB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C9D7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Change Control Board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8A49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Comitê de controle de mudanças (GP Leonardo — membro único, TAP v3 §1.c)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C613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149E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Definition of Done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7779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Critérios de conclusão de incremento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C6CF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3477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Definition of Ready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7CC4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Critérios de prontidão para desenvolvimento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D9D7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SDD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D99C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Spec-Driven Development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99A0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Desenvolvimento guiado por especificação com IA local (llama.cpp + Qwen 32B)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39B6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FOSS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EAC8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Free and Open Source Software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3246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Licenciamento obrigatório do projeto (MIT, Apache 2.0, BSD, GPL)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3B93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CI/CD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B0B1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Continuous Integration / Continuous Deployment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AA0A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Pipeline automatizado de build e deploy (GitHub Actions)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5BAF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UAT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6504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User Acceptance Testing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37DF7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Testes de aceitação do usuário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C316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GMV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EFCA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Governança Mínima Viável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331D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Princípio operacional: cada artefato deve justificar sua existência (OKB v3.1 §3.2)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80051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SSOT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884C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Single Source of Truth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4A249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Fonte única de verdade (GitHub Projects para monitoramento)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E24A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MF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B05D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Macro-Fase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C20E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Agrupamento temporal de fases da EAP (MF1: Fundação, MF2: Construção, MF3: Consolidação)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975B9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WIP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F22B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Work In Progress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187E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Limite de trabalho em progresso no Kanban (3 cards/pessoa)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FB15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LGPD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6013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Lei Geral de Proteção de Dados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49B9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Conformidade tratada como pós-entrega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1500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OWASP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D7636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Open Web Application Security Project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2BFD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Análise de riscos de segurança (pós-entrega)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3B30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WCAG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3FC2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Web Content Accessibility Guidelines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F18B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Acessibilidade tratada como pós-entrega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FECA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i18n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FB2B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Internationalization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00471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Internacionalização tratada como pós-entrega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75266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PDCA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CDAB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Plan-Do-Check-Act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2F91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Ciclo de melhoria contínua (aplicado a planos e código, </w:t>
            </w:r>
          </w:p>
          <w:p w14:paraId="7A27B266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NÃO ao TAP</w:t>
            </w:r>
          </w:p>
          <w:p w14:paraId="707F0ED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8F1E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C15A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Gerente de Projeto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9C0C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Leonardo David Silva Setti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507F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PMO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BFC9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Project Management Office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83B83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Escritório de Projetos (referência acadêmica)</w:t>
            </w:r>
          </w:p>
        </w:tc>
      </w:tr>
    </w:tbl>
    <w:p w14:paraId="2FB78DAD">
      <w:pPr>
        <w:spacing w:lineRule="auto"/>
      </w:pPr>
      <w:r/>
    </w:p>
    <w:p w14:paraId="37EEC39F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2. Gerência de Projetos — PMBOK 7ª Edição (Governança Primária)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7290B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Termo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D1FE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Definição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E2CC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Aplicação no COGME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DFDAA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Princípios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670C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12 fundamentos do PMBOK 7ª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283C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Governança primária (ex: P1 - Valor sobre documentação)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CF3D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Domínios de Desempenho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230A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8 áreas de foco do PMBOK 7ª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90B6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Stakeholders, Equipe, Abordagem, Planejamento, Trabalho, Entrega, Medição, Incerteza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71FFC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Domínio de Entrega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0026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Foco em gerar valor tangível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4D66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Meta: MVP funcional com ≥ 80% cobertura de testes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A3737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Domínio de Medição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DA4F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Métricas de desempenho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521A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Cycle time, throughput, CFD (substitui EVM)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A059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Domínio de Incerteza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3406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Gestão de riscos e ambiguidade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717F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Risk backlog + matriz prob./impacto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DFF9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Domínio de Integração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7263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Coordenação de todos os domínios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1A7B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TAP como documento de autorização (não gerenciado)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4861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Stakeholder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4881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Pessoa/grupo afetado pelo projeto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BE00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Prof. Dr. Nivaldo Carletto (único formal)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61321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Valor Entregue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073F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Benefício tangível gerado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E70F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Princípio orientador: Valor &gt; Satisfação &gt; Conformidade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A454B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Princípio P6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0CF7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Especialização via prompt, não via modelo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3966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 modelo (Qwen 32B) + N prompts = N especialistas SDD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8C40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Princípio P9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D8F6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Separação ontológica TAP ≠ EAP ≠ PDCA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A4602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TAP autoriza o projeto, não é gerenciado por ele</w:t>
            </w:r>
          </w:p>
        </w:tc>
      </w:tr>
    </w:tbl>
    <w:p w14:paraId="5281AA61">
      <w:pPr>
        <w:spacing w:lineRule="auto"/>
      </w:pPr>
      <w:r/>
    </w:p>
    <w:p w14:paraId="5BE03023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3. Gerência de Projetos — PMBOK 6ª Edição (Dicionário Complementar)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D3E6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Termo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02F1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Definição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8BC0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Aplicação no COGME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94E6F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49 Processos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FB9F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Processos de gestão do PMBOK 6ª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D11E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Dicionário complementar quando necessário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4DCAC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 Áreas de Conhecimento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44601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Integração, Escopo, Cronograma, Custos, Qualidade, Recursos, Comunicações, Riscos, Aquisições, Partes Interessadas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143E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8 áreas ativas (exclui Aquisições e Partes Interessadas)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78A1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Processo 4.1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CE3B1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Desenvolver Termo de Abertura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5BFE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Geração do TAP (documento de autorização, não pacote de trabalho)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55BD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Processo 5.2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80BF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Coletar Requisitos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1163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Product Backlog Refinement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32BF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Processo 5.4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3BA0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Criar EAP/WBS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E151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Decomposição em épico → feature → user story (48 pacotes)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4EE6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Processo 6.2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5BF9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Definir Atividades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B5337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Decomposição de pacotes EAP em atividades</w:t>
            </w:r>
          </w:p>
          <w:p w14:paraId="75315E3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(PMBOK 6ª §6.2)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0DF9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Processo 6.4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F22B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Estimar Custos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037B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Planning Poker / T-shirt sizing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90ECE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Processo 6.5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DDFD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Desenvolver Cronograma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8847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Roadmap + Kanban (sem sprints fixas)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E56D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Processo 8.3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73A8C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Controlar Qualidade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4112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DoD + Code Review + TDD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8BF2C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Processo 11.2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8CD51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Identificar Riscos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56B8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Retrospectiva + Risk Backlog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6739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Linha de Base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6D81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Baseline aprovada de escopo/prazo/custo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CA1D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Referência para controle de mudanças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5F37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Caminho Crítico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7894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Sequência de atividades sem folga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7A17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Identificado na rede de atividades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A019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Atividades Derivadas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DD46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Ações (verbos) necessárias para gerar entregas (substantivos) da EAP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B296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Ex: N4.1 (entrega) → A4.1.1, A4.1.2, A4.1.3, A4.1.4 (ações)</w:t>
            </w:r>
          </w:p>
        </w:tc>
      </w:tr>
    </w:tbl>
    <w:p w14:paraId="5E2B0BE9">
      <w:pPr>
        <w:spacing w:lineRule="auto"/>
      </w:pPr>
      <w:r/>
    </w:p>
    <w:p w14:paraId="6C30088D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4. Metodologias Ágeis e Kanban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5C64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Termo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8BCA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Definição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2135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Aplicação no COGME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8B5A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Kanban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094A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Método de gestão visual de fluxo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E000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GitHub Projects como ferramenta primária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2CF6F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Pull System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25DF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Sistema puxado (trabalho iniciado quando há capacidade)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D1F6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WIP limits no Kanban (3 cards/pessoa)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52CC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Cycle Time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A176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Tempo médio de um card do "To Do" ao "Done"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FD44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Meta: ≤ 3 dias (após calibração 23/09 – 03/10)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5A7D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Throughput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510B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Número de cards concluídos por semana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77E39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Meta: ≥ 5 cards/semana (após calibração)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7460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Cumulative Flow Diagram (CFD)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0788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Visualização de gargalos no fluxo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299A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Métrica de saúde do Kanban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18F3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Backlog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5BF9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Lista priorizada de trabalho pendente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DD863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Product Backlog refinado semanalmente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34D4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User Story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58AF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Requisito formatado como história de usuário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40D8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Formato: "Como [papel], quero [ação] para [benefício]"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CEAE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Épico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6EB5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Grande corpo de trabalho divisível em features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4118D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Nível 1 da EAP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0440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Feature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A8A7F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Capacidade do sistema divisível em user stories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46A8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Nível 2 da EAP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BB61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Fluxo Contínuo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7FB5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Execução sem iterações time-boxed fixas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F2EB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Kanban sem sprints (substitui Scrum)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C7A2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Retrospective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E0A3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Reunião de melhoria contínua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DCF7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Risk backlog + lições aprendidas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93B5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Refinement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BBDD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Refinamento do backlog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364D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Semanal, com DoR claro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813B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Pair Review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2D4AE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Revisão em pares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4E4C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Check manual no PDCA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39A4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Manifesto Ágil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AC92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4 valores e 12 princípios ágeis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F5CE1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Hierarquia 4 na resolução de conflitos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53F0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Macro-Fase (MF)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ED2A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Agrupamento temporal de fases da EAP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104E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MF1 (Fundação), MF2 (Construção), MF3 (Consolidação)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5E78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Sprint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9B46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Iteração time-boxed (Scrum)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88B643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NÃO UTILIZADO</w:t>
            </w:r>
          </w:p>
          <w:p w14:paraId="70DD3CD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— fluxo contínuo Kanban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6656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Card Ubíquo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B1DD7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Card autossuficiente que declara o quê, por quê, como será aceito e a quem pertence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5C282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Padrão A (documental) + Padrão B (User Story GWT)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7B60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Tasklist Markdown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1724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Checklist nativo do GitHub (</w:t>
            </w:r>
          </w:p>
          <w:p w14:paraId="082A211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- [ ]</w:t>
            </w:r>
          </w:p>
          <w:p w14:paraId="541AC30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) no corpo da Issue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3547F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ADR-004 — controle de progresso interno de cards complexos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1BAF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Subissue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CB059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Issue filha vinculada a uma Issue pai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712DC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REJEITADO</w:t>
            </w:r>
          </w:p>
          <w:p w14:paraId="5191207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formalmente pela ADR-004</w:t>
            </w:r>
          </w:p>
        </w:tc>
      </w:tr>
    </w:tbl>
    <w:p w14:paraId="23ABBBC0">
      <w:pPr>
        <w:spacing w:lineRule="auto"/>
      </w:pPr>
      <w:r/>
    </w:p>
    <w:p w14:paraId="5D5845D6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5. Stack SDD Local Canônica (NOVO v3.1)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1936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Termo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EC004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Definição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A202F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Aplicação no COGME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0A2D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SDD Local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5ABB7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Spec-Driven Development executado localmente com LLM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B26F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llama.cpp + Qwen 32B + OpenCode (zero custo, P2)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53B4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llama.cpp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E45F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Motor de inferência FOSS para LLMs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DFFE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Versão 0.4.0-dev com Vulkan + LTO + AVX-512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B1A3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Vulkan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5814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API gráfica de baixo nível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BE67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Backend GPU para inferência (radv Mesa 26.2.1)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C67E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radv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5CB9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Driver Vulkan open-source da Mesa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C93B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Driver oficial para AMD RDNA 3 (Radeon 780M)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6452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Mesa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B905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Coleção de drivers gráficos open-source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9214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Versão 26.2.1 (suporte Vulkan 1.4.357)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07EB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AVX-512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3A9A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Conjunto de instruções CPU (512-bit)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C8A0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Fallback para inferência CPU (Zen 4)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AA64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Zen 4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3525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Arquitetura CPU AMD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8EE4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Ryzen 7 8700G (8C/16T, AVX-512 nativo)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A9060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RDNA 3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0F2A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Arquitetura GPU AMD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DBC0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Radeon 780M (12 CUs, VRAM compartilhada)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CB26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Q4_K_M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10B9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Quantização 4-bit com precisão média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ED8D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Formato dos modelos Qwen (balance RAM/quality)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28CB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Q5_K_M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CCDE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Quantização 5-bit com precisão média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10D4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Variante de maior qualidade (P2)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5AC7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gguf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52B4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Formato de modelo quantizado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3371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Formato padrão do llama.cpp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6CA4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6C47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Tokens per second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9A96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Métrica de throughput de inferência (meta: ≥6 t/s para 32B)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EB02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TTFT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66B6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Time To First Token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58089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Latência até primeiro token (meta: &lt;2s)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A86C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KV Cache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6E52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Memória de contexto do modelo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81FA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16k tokens (32B), 32k+ tokens (14B)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40FCC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systemd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8501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Gerenciador de serviços Linux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3683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Ciclo de vida do llama-server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1146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symlink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4E36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Link simbólico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3C3F1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Troca de persona SDD (active.md → coder.md)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3558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Persona SDD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304A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Papel especializado no ciclo SDD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C25C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PM, Coder, Reviewer, Tester (núcleo de 4)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E3A6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active.md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8D264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Symlink para persona ativa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3B74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Define qual persona o OpenCode usa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5ABB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_base.md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C0A6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Persona base compartilhada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DC94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Instruções comuns a todas as personas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A2C8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.ai/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5C02C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Diretório de contexto da 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0F73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Versionado no Git, lido pelo OpenCode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54CD3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docs/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6703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Diretório de documentação humana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C7DE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Planos, roadmaps, atas (não lido pela IA)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7975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handoff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B008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Artefato entre fases SDD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2925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.ai/handoffs/NNN-*-fase.md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9E7AF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spec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B03D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Especificação imutável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5232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.ai/specs/*.md (regras, contratos)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3035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workflow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C3B7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Automação bash do ciclo SDD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AD7C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.ai/workflows/sdd-cycle.sh (~30 linhas)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3E8A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OpenCode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94A8F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IDE que lê persona ativa via API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402E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Interface principal de desenvolvimento SDD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496C3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Obsidian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57BC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Ferramenta de gestão de conhecimento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ED7F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Vault por projeto (interface, não repositório)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E454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vault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D9D8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Espaço de trabalho do Obsidian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32AA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Dedicado por projeto, com symlinks para .ai/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3431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Qwen 32B Instruct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CCC7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Modelo LLM 32B parâmetros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DFD6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Pilar SDD (P0, ~20GB RAM, ≥6 t/s)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8B6C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Qwen 14B Instruct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3FEB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Modelo LLM 14B parâmetros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0808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Acelerador (P1, ~9GB RAM, ≥12 t/s)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23FED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Qwen 72B Instruct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5042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Modelo LLM 72B parâmetros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5ED2F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ADIADO</w:t>
            </w:r>
          </w:p>
          <w:p w14:paraId="4C738F8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(42GB RAM, insuficiente)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2430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DeepSeek-Coder-V2 Lite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AA6FA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Modelo especializado em código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3673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Condicional (P4, apenas se P0 falhar)</w:t>
            </w:r>
          </w:p>
        </w:tc>
      </w:tr>
    </w:tbl>
    <w:p w14:paraId="55DF7097">
      <w:pPr>
        <w:spacing w:lineRule="auto"/>
      </w:pPr>
      <w:r/>
    </w:p>
    <w:p w14:paraId="3D49CAF9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6. Desenvolvimento de Software e Qualidade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B2B8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Termo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8279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Definição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4901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Aplicação no COGME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42FD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MVP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EFD1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Minimum Viable Product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9A9E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Escopo mínimo entregável (Nov/2026)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5B4D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Full-Stack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6149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Desenvolvimento front-end + back-end + banco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BFE85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Arquitetura do COGME (Python + FastAPI + SQLite + HTMX)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86C59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ACID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76DF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Atomicity, Consistency, Isolation, Durability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2BEF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Padrão inegociável de transações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734B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Clean Code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0CFF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Código legível, manutenível, testável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8220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Princípio P5 do COGME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1D43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TDD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20D8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Test-Driven Development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B1EF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Escrever testes antes do código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B284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Code Review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B117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Revisão de código por pares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69FB9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Parte do DoD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C67D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Coverage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3BCE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Cobertura de testes automatizados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9F5F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Meta: ≥ 80% (pytest + coverage.py)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0C5F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Adapter Pattern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C314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Padrão de projeto para abstrair dependências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9052A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Múltiplos provedores de câmbio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BBB9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Cache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8A113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Armazenamento temporário para performance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9EDC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Redis para API de câmbio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99CE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PDF Generation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A683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Geração de documentos em PDF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88D8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WeasyPrint para invoices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3F5F7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Health Check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4B3D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Endpoint de verificação de saúde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FF93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/health</w:t>
            </w:r>
          </w:p>
          <w:p w14:paraId="1767CFC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, </w:t>
            </w:r>
          </w:p>
          <w:p w14:paraId="0BF53A0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/warmup</w:t>
            </w:r>
          </w:p>
          <w:p w14:paraId="645AE11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(pós-entrega)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FFF0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Logging Estruturado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00D5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Logs em formato JSON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7430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Observabilidade (pós-entrega)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E6A5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JWT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98A1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JSON Web Token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F3D4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Autenticação (pós-entrega)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F2AB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OpenAPI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E64DA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Especificação de API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F3A5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Documentação automática (FastAPI)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1D20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REST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0DC2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Representational State Transfer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0A2B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Arquitetura da API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522F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SQLite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7A942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Banco de dados relacional leve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5907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Banco principal (FOSS, zero-config)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F0F6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FastAPI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8DD2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Framework web Python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BC03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Backend (async, type-safe)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7AFA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HTMX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D129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Biblioteca para interatividade sem JS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70E1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Frontend (simplicidade, P3)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F55C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Tailwind CSS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9D2F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Framework CSS utility-first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44A4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Estilização (rapidez, P3)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6FE4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WeasyPrint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BC91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Motor de renderização HTML para PDF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2C2F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Geração de invoices</w:t>
            </w:r>
          </w:p>
        </w:tc>
      </w:tr>
    </w:tbl>
    <w:p w14:paraId="527E747C">
      <w:pPr>
        <w:spacing w:lineRule="auto"/>
      </w:pPr>
      <w:r/>
    </w:p>
    <w:p w14:paraId="0ACAB7BE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7. Ferramentas e Tecnologias (Brands)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0995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Ferramenta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E7AF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Categoria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7DFF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Uso no COGME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DF1A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GitHub Projects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84DA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Gestão de projetos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2B72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Kanban operacional (fonte de verdade)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40B3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GitHub Issues/Discussions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F561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Colaboração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9DA0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Daily assíncrona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2B41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GitHub Insights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E0C6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Métricas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296F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Cycle time, throughput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169CA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GitHub Actions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634F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CI/CD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9CBF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Pipeline automatizado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F4F53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Redis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58CA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Banco de dados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D5DC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Cache de API de câmbio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9FC3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WeasyPrint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CD6C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Geração de PDF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AA0B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Módulo de invoices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8B2C9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draw.io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DF33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Diagramas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4396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Roadmap, DER, UML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D34C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Mermaid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0E0C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Diagramas como código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99ED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Rede de atividades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AD4A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ProjectLibre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084F5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Gantt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2C3A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Apenas se exigido academicamente (derivado do Kanban)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844B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OWASP ZAP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528FA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Segurança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CE1A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Pentest básico (pós-entrega)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AD26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Axe DevTools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DBA2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Acessibilidade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C0450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Auditoria WCAG (pós-entrega)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CA04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Lighthouse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0F88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Performance/Acessibilidade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3D751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Auditoria automatizada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E6C6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NVDA/VoiceOver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5D98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Leitores de tela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A461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Testes de acessibilidade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0BB9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Prometheus/Grafana/Loki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0DED7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Observabilidade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BA6AC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Stack de monitoramento (pós-entrega)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D937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i18next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E8DA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Internacionalização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63A6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Biblioteca de i18n (pós-entrega)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A0A9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OpenCode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41A5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IDE SDD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AB5A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Interface principal de desenvolvimento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9D8A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Obsidian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2308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Gestão de conhecimento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4206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Vault por projeto (interface)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846D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llama.cpp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8B67E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Motor de inferência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70EEA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SDD local (Vulkan + AVX-512)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CF93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pytest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BE593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Framework de testes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90B4C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Testes automatizados Python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D52E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coverage.py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BF1A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Medição de cobertura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D9B4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Meta ≥80%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306E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htop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841FC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Monitoramento de recursos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C2DF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Validação de RAM pico (≤30GB)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8709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huggingface-cli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5C17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Download de modelos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FFB8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Download de modelos GGUF</w:t>
            </w:r>
          </w:p>
        </w:tc>
      </w:tr>
    </w:tbl>
    <w:p w14:paraId="2332960D">
      <w:pPr>
        <w:spacing w:lineRule="auto"/>
      </w:pPr>
      <w:r/>
    </w:p>
    <w:p w14:paraId="420715A3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8. Termos Acadêmicos e Institucionais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72FB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Termo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F541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Definição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61A1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Contexto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2AA0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Fatec Taquaritinga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7EAE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Instituição de ensino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06E0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Faculdade de Tecnologia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875F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ADS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4E2BC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Análise e Desenvolvimento de Sistemas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C08F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Curso técnico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FED4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Prof. Dr. Nivaldo Carletto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1C47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Stakeholder-avaliador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7F96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Patrocinador + avaliador contínuo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EA37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Disciplina de Gerência de Projetos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9166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Contexto acadêmico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9AD8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PMBOK 6ª como bibliografia base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9074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Simplificação Pedagógica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4A6F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Restrição didática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3F27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Exclusão de Aquisições e Partes Interessadas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4C65C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Obsolescência Assumida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F2B7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Declaração de maturidade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E265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PMBOK 6ª (2017) vs. 7ª (2021)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D0487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Banca Acadêmica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61D0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Avaliadores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5C19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Apenas Prof. Dr. Nivaldo Carletto no COGME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87F0A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Entrega Parcial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40247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Marco intermediário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6BAB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Consolidação documental (22/09/2026)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7E4D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Entrega Final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7481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Marco de conclusão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4CB3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MVP + documentação (Nov/Dez 2026)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3BE8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Rastreabilidade de Prompts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CE0B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Auditoria de LLM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9817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Prompts catalogados em </w:t>
            </w:r>
          </w:p>
          <w:p w14:paraId="531F756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.ai/handoffs/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D39D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Compliance Acadêmico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3955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Dimensão de qualidade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2CEC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Rastreabilidade ao TAP + conformidade PMBOK 7ª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65A9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GMV (Governança Mínima Viável)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14ED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Princípio de eficiência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D87AE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Cada artefato deve passar pelo teste GMV (OKB v3.1 §3.2)</w:t>
            </w:r>
          </w:p>
        </w:tc>
      </w:tr>
    </w:tbl>
    <w:p w14:paraId="7871C600">
      <w:pPr>
        <w:spacing w:lineRule="auto"/>
      </w:pPr>
      <w:r/>
    </w:p>
    <w:p w14:paraId="56289B60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9. Métricas e Indicadores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47AC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Métrica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D6B5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Fórmula/Definição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3C3A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Meta COGME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A33D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Cycle Time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471C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Tempo médio To Do → Done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9215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≤ 3 dias (após calibração)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0E65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Throughput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9633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Cards concluídos/semana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579D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≥ 5 cards (após calibração)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A5C2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CFD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A14D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Cumulative Flow Diagram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D65D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Sem bandas largas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1544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Coverage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8A7B7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Linhas testadas / linhas totais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28A6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≥ 80%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B102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WIP Limit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DC38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Cards em "In Progress" por pessoa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84350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3 cards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E9B1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Burnout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F268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Carga horária semanal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658F5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≤ 20h/pessoa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6C99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Scope Creep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9E18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Desvio do backlog original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ECE3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&lt; 15%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3A4C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tg (tokens/s)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9B0F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Tokens gerados por segundo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DFC0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≥ 6 t/s (32B), ≥ 12 t/s (14B)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91FC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TTFT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062E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Time To First Token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303D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&lt; 2s (32B)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CF02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RAM Pico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CFE2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Memória máxima durante inferência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F67E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≤ 30GB (32B)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4DD9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Parsing Determinístico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C928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Taxa de sucesso de handoffs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FB69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D835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Custo Financeiro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BD51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Custo total da stack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7135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R$ 0,00 (100% FOSS)</w:t>
            </w:r>
          </w:p>
        </w:tc>
      </w:tr>
    </w:tbl>
    <w:p w14:paraId="5A65130F">
      <w:pPr>
        <w:spacing w:lineRule="auto"/>
      </w:pPr>
      <w:r/>
    </w:p>
    <w:p w14:paraId="20BAF983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10. Princípios Constitutivos do COGME (Atualizado v3.1)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A896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Código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44F0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Princípio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6A18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Fundamentação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EBD4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P1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AF2E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Valor sobre documentação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3B04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PMBOK 7ª — Princípio 1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9706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P2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170D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FOSS absoluto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EC26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Restrição pedagógica + valor social (TAP §2.4)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8849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P3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E5B0A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KISS como métrica de arquitetura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4C6F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Simplicidade justificada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FBE3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P4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F7DE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SDD com IA auditável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35B5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Rastreabilidade via commit + handoffs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A864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P5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C170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ACID e Clean Code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6003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Padrão inegociável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C5DC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P6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0819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Especialização via prompt, não via modelo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4E2F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 modelo (Qwen 32B) + N prompts = N especialistas (NOVO v3.1)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9C6F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P7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1B50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Entrega incremental via fluxo contínuo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A711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Kanban sem sprints fixas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D52A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P8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AC344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Stakeholder único formal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F6FB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Prof. Dr. Nivaldo Carletto como patrocinador-avaliador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4F9F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P9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1195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Separação ontológica TAP ≠ EAP ≠ PDCA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A4EC5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TAP autoriza, não é gerenciado (NOVO v3.1)</w:t>
            </w:r>
          </w:p>
        </w:tc>
      </w:tr>
    </w:tbl>
    <w:p w14:paraId="698021C1">
      <w:pPr>
        <w:spacing w:lineRule="auto"/>
      </w:pPr>
      <w:r/>
    </w:p>
    <w:p w14:paraId="5EC3DBED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11. Separação Ontológica (NOVO v3.1)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822B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Artefato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111C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Natureza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46323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Integra EAP?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2CC12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Tem PDCA?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30FA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TAP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B509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Autorização + base de referência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A4F2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❌ NÃO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4C96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❌ NÃO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8F70C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Planos de Gerenciamento (01-10)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2035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Execução do escopo autorizado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BCDA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 SIM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B1299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 SIM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9907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Código-fonte (11)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4572A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Produto final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7638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 SIM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7791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✅ SIM</w:t>
            </w:r>
          </w:p>
        </w:tc>
      </w:tr>
    </w:tbl>
    <w:p w14:paraId="0DAF26A4">
      <w:pPr>
        <w:spacing w:lineRule="auto"/>
      </w:pPr>
      <w:r/>
    </w:p>
    <w:p w14:paraId="1FBCBD39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Fundamento:</w:t>
      </w:r>
      <w:r>
        <w:rPr>
          <w:rFonts w:ascii="Calibri" w:hAnsi="Calibri" w:cs="Calibri"/>
          <w:sz w:val="24"/>
          <w:szCs w:val="24"/>
        </w:rPr>
        <w:t xml:space="preserve"> O TAP é o documento que AUTORIZA o projeto e concede autoridade ao gerente. Ele antecede o planejamento e não é objeto de gerenciamento — é a base sobre a qual o gerenciamento se constrói. (PMBOK 6ª §4.1 / PMBOK 7ª Domínio de Integração)</w:t>
      </w:r>
    </w:p>
    <w:p w14:paraId="30EBB242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12. Hierarquia de Resolução de Conflitos (OKB v3.1 §3.1)</w:t>
      </w:r>
    </w:p>
    <w:p w14:paraId="2451CA25">
      <w:pPr>
        <w:numPr>
          <w:ilvl w:val="0"/>
          <w:numId w:val="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Valor entregue ao usuário final (PMBOK 7ª — Domínio de Entrega)</w:t>
      </w:r>
    </w:p>
    <w:p w14:paraId="3F149EF6">
      <w:pPr>
        <w:numPr>
          <w:ilvl w:val="0"/>
          <w:numId w:val="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Ementa da disciplina + orientação do Prof. Dr. Nivaldo Carletto</w:t>
      </w:r>
    </w:p>
    <w:p w14:paraId="7BBB9240">
      <w:pPr>
        <w:numPr>
          <w:ilvl w:val="0"/>
          <w:numId w:val="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PMBOK 7ª (12 princípios + 8 domínios de desempenho)</w:t>
      </w:r>
    </w:p>
    <w:p w14:paraId="0BFC0A52">
      <w:pPr>
        <w:numPr>
          <w:ilvl w:val="0"/>
          <w:numId w:val="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Manifesto Ágil + Kanban (método de execução)</w:t>
      </w:r>
    </w:p>
    <w:p w14:paraId="7C7372D6">
      <w:pPr>
        <w:numPr>
          <w:ilvl w:val="0"/>
          <w:numId w:val="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PMBOK 6ª (apenas como dicionário de processos quando necessário)</w:t>
      </w:r>
    </w:p>
    <w:p w14:paraId="1E8A58A1">
      <w:pPr>
        <w:numPr>
          <w:ilvl w:val="0"/>
          <w:numId w:val="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Literatura técnica complementar</w:t>
      </w:r>
    </w:p>
    <w:p w14:paraId="6FC65368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Adendo v3.1:</w:t>
      </w:r>
      <w:r>
        <w:rPr>
          <w:rFonts w:ascii="Calibri" w:hAnsi="Calibri" w:cs="Calibri"/>
          <w:sz w:val="24"/>
          <w:szCs w:val="24"/>
        </w:rPr>
        <w:t xml:space="preserve"> Em caso de conflito entre velocidade de entrega e completude documental, a entrega de valor prevalece, desde que justificada via ADR e comunicada ao Prof. Dr. Nivaldo Carletto em até 48h.</w:t>
      </w:r>
    </w:p>
    <w:p w14:paraId="7BF9E669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13. Teste GMV (Governança Mínima Viável) (OKB v3.1 §3.2)</w:t>
      </w:r>
    </w:p>
    <w:p w14:paraId="32B0FBD2">
      <w:pPr>
        <w:spacing w:lineRule="auto"/>
      </w:pPr>
      <w:r>
        <w:rPr>
          <w:rFonts w:ascii="Calibri" w:hAnsi="Calibri" w:cs="Calibri"/>
          <w:sz w:val="24"/>
          <w:szCs w:val="24"/>
        </w:rPr>
        <w:t>Todo artefato de governança deve passar pelo teste GMV antes de ser produzido: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8CE0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Pergunta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D088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 SIM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9E36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 NÃO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123B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 Prof. Dr. Nivaldo Carletto exigirá este artefato na avaliação?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0DE7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Produzir completo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21E5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Simplificar ou eliminar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357B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Este artefato evita retrabalho futuro?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1005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Produzir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F2B1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Avaliar custo-benefício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8C5D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Este artefato é exigido pelo PMBOK 7ª como evidência de domínio?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C34B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Produzir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0093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Documentar em 1 parágrafo no TAP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8BC1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Este artefato é útil para a equipe (não apenas para o professor)?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6FED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Produzir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4F5B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Eliminar</w:t>
            </w:r>
          </w:p>
        </w:tc>
      </w:tr>
    </w:tbl>
    <w:p w14:paraId="59BC8DD6">
      <w:pPr>
        <w:spacing w:lineRule="auto"/>
      </w:pPr>
      <w:r/>
    </w:p>
    <w:p w14:paraId="242889D8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Regra:</w:t>
      </w:r>
      <w:r>
        <w:rPr>
          <w:rFonts w:ascii="Calibri" w:hAnsi="Calibri" w:cs="Calibri"/>
          <w:sz w:val="24"/>
          <w:szCs w:val="24"/>
        </w:rPr>
        <w:t xml:space="preserve"> Se ≥ 2 respostas forem NÃO, o artefato é candidato a eliminação. Decisão final via CCB (GP Leonardo).</w:t>
      </w:r>
    </w:p>
    <w:p w14:paraId="7AA3B59F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14. Estrutura Documental (OKB v3.1 §7)</w:t>
      </w:r>
    </w:p>
    <w:p w14:paraId="0824BBF3">
      <w:pPr>
        <w:spacing w:lineRule="auto"/>
      </w:pPr>
      <w:r>
        <w:rPr>
          <w:rFonts w:ascii="Calibri" w:hAnsi="Calibri" w:cs="Calibri"/>
          <w:sz w:val="24"/>
          <w:szCs w:val="24"/>
        </w:rPr>
        <w:t xml:space="preserve">PROJETO COGME  ├── 00. TAP (Termo de Abertura)                          [GMV: OBRIGATÓRIO — NÃO integra EAP/PDCA]  ├── 01. Plano de Integração                               [GMV: OBRIGATÓRIO]  ├── 02. Plano de Escopo + EAP/WBS + Dicionário + Atividades Derivadas [GMV: OBRIGATÓRIO]  ├── 03. Plano de Cronograma + Roadmap + Kanban Setup      [GMV: OBRIGATÓRIO]  ├── 04. Plano de Custos + Orçamento                       [GMV: SIMPLIFICAR*]  ├── 05. Plano de Qualidade + Métricas + DoD/DoR + Ishikawa + 12 PDCAs [GMV: OBRIGATÓRIO]  ├── 06. Plano de Recursos + RACI                          [GMV: SIMPLIFICAR*]  ├── 07. Plano de Comunicações + Matriz                    [GMV: OBRIGATÓRIO]  ├── 08. Plano de Riscos + Matriz + Respostas              [GMV: OBRIGATÓRIO]  ├── 09. Base de Conhecimento                              [GMV: OBRIGATÓRIO]  │   ├── 09.1. ADRs (apenas decisões críticas)  │   ├── 09.2. Lições Aprendidas  │   ├── 09.3. Prompts SDD (em .ai/handoffs/)  │   └── 09.4. Runbooks [DESCARTADO — YAGNI]  ├── 10. Plano de Gestão de Mudanças (CCB)                 [GMV: SIMPLIFICAR*]  └── 11. Código-Fonte (MVP) + DER + Diagramas + .ai/       [GMV: OBRIGATÓRIO] </w:t>
      </w:r>
    </w:p>
    <w:p w14:paraId="6FE85D37">
      <w:pPr>
        <w:spacing w:lineRule="auto"/>
      </w:pPr>
      <w:r>
        <w:rPr>
          <w:rFonts w:ascii="Calibri" w:hAnsi="Calibri" w:cs="Calibri"/>
          <w:sz w:val="24"/>
          <w:szCs w:val="24"/>
        </w:rPr>
        <w:t>*SIMPLIFICAR = 1-2 páginas no máximo, foco em premissas e restrições, sem planilhas complexas ou simulações de EVM.</w:t>
      </w:r>
    </w:p>
    <w:p w14:paraId="4A0DEFBA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15. Notas de Uso</w:t>
      </w:r>
    </w:p>
    <w:p w14:paraId="1F055D8E">
      <w:pPr>
        <w:spacing w:lineRule="auto"/>
      </w:pPr>
      <w:r>
        <w:rPr>
          <w:rFonts w:ascii="Calibri" w:hAnsi="Calibri" w:cs="Calibri"/>
          <w:sz w:val="24"/>
          <w:szCs w:val="24"/>
        </w:rPr>
        <w:t>Este glossário deve ser consultado durante redação e revisão de artefatos para garantir consistência terminológica. Em caso de conflito entre definições, aplicar a hierarquia de governança (OKB v3.1 §3.1).</w:t>
      </w:r>
    </w:p>
    <w:p w14:paraId="21108E67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Mudanças críticas em relação ao v2.2:</w:t>
      </w:r>
    </w:p>
    <w:p w14:paraId="7842EC0B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Adicionada Seção 5: Stack SDD Local Canônica (30+ termos técnicos)</w:t>
      </w:r>
    </w:p>
    <w:p w14:paraId="39867F3A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Adicionada Seção 11: Separação Ontológica (TAP ≠ EAP ≠ PDCA)</w:t>
      </w:r>
    </w:p>
    <w:p w14:paraId="175ADC2B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Adicionados princípios P6 (especialização via prompt) e P9 (separação ontológica)</w:t>
      </w:r>
    </w:p>
    <w:p w14:paraId="6E477C5E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Atualizado "QwenStudio" para "OpenCode + llama.cpp + Qwen 32B"</w:t>
      </w:r>
    </w:p>
    <w:p w14:paraId="1FAD01B5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Atualizado "/docs/prompts/" para ".ai/handoffs/"</w:t>
      </w:r>
    </w:p>
    <w:p w14:paraId="6F9B6382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Adicionado "Prof. Dr." ao nome do stakeholder (consistência)</w:t>
      </w:r>
    </w:p>
    <w:p w14:paraId="26E6DB9F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Eliminado termo "ADER" (substituído por "ADR")</w:t>
      </w:r>
    </w:p>
    <w:p w14:paraId="24B139A4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Adicionados termos técnicos SDD (Vulkan, radv, Mesa, AVX-512, Zen 4, RDNA 3, Q4_K_M, gguf, tg, TTFT, KV cache, systemd, symlink, persona, handoff, spec, workflow, vault)</w:t>
      </w:r>
    </w:p>
    <w:p w14:paraId="4B517E0C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Adicionados termos de governança (GMV, SSOT, Macro-Fase, Atividades Derivadas)</w:t>
      </w:r>
    </w:p>
    <w:p w14:paraId="671FC880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Atualizadas métricas para incluir tg, TTFT, RAM Pico, Parsing Determinístico</w:t>
      </w:r>
    </w:p>
    <w:p w14:paraId="3842AC3A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Adicionado Teste GMV (Seção 13)</w:t>
      </w:r>
    </w:p>
    <w:p w14:paraId="24803797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Atualizada estrutura documental (Seção 14)</w:t>
      </w:r>
    </w:p>
    <w:p w14:paraId="750BED0F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EAP atualizada: 13 fases + 48 pacotes (não 12 + 37)</w:t>
      </w:r>
    </w:p>
    <w:p w14:paraId="7F9FE6DC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PDCAs consolidados: 12 (não 13, TAP removido)</w:t>
      </w:r>
    </w:p>
    <w:p w14:paraId="0E76A9F7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✅ Hardware real: 58GB RAM (não 60GB nominais)</w:t>
      </w:r>
    </w:p>
    <w:p w14:paraId="39FDCD59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Versão:</w:t>
      </w:r>
      <w:r>
        <w:rPr>
          <w:rFonts w:ascii="Calibri" w:hAnsi="Calibri" w:cs="Calibri"/>
          <w:sz w:val="24"/>
          <w:szCs w:val="24"/>
        </w:rPr>
        <w:t xml:space="preserve"> 3.1</w:t>
      </w:r>
      <w:r>
        <w:br w:type="textWrapping"/>
      </w:r>
      <w:r>
        <w:rPr>
          <w:rFonts w:ascii="Calibri" w:hAnsi="Calibri" w:cs="Calibri"/>
          <w:b/>
          <w:bCs/>
          <w:sz w:val="24"/>
          <w:szCs w:val="24"/>
        </w:rPr>
        <w:t>Data:</w:t>
      </w:r>
      <w:r>
        <w:rPr>
          <w:rFonts w:ascii="Calibri" w:hAnsi="Calibri" w:cs="Calibri"/>
          <w:sz w:val="24"/>
          <w:szCs w:val="24"/>
        </w:rPr>
        <w:t xml:space="preserve"> 20/09/2026</w:t>
      </w:r>
      <w:r>
        <w:br w:type="textWrapping"/>
      </w:r>
      <w:r>
        <w:rPr>
          <w:rFonts w:ascii="Calibri" w:hAnsi="Calibri" w:cs="Calibri"/>
          <w:b/>
          <w:bCs/>
          <w:sz w:val="24"/>
          <w:szCs w:val="24"/>
        </w:rPr>
        <w:t>Autor:</w:t>
      </w:r>
      <w:r>
        <w:rPr>
          <w:rFonts w:ascii="Calibri" w:hAnsi="Calibri" w:cs="Calibri"/>
          <w:sz w:val="24"/>
          <w:szCs w:val="24"/>
        </w:rPr>
        <w:t xml:space="preserve"> GP Sênior PMBOK 7ª/PMO (Co-Autor Crítico)</w:t>
      </w:r>
      <w:r>
        <w:br w:type="textWrapping"/>
      </w:r>
      <w:r>
        <w:rPr>
          <w:rFonts w:ascii="Calibri" w:hAnsi="Calibri" w:cs="Calibri"/>
          <w:b/>
          <w:bCs/>
          <w:sz w:val="24"/>
          <w:szCs w:val="24"/>
        </w:rPr>
        <w:t>Status:</w:t>
      </w:r>
      <w:r>
        <w:rPr>
          <w:rFonts w:ascii="Calibri" w:hAnsi="Calibri" w:cs="Calibri"/>
          <w:sz w:val="24"/>
          <w:szCs w:val="24"/>
        </w:rPr>
        <w:t xml:space="preserve"> Pronto para aplicação imediata</w:t>
      </w:r>
      <w:r>
        <w:br w:type="textWrapping"/>
      </w:r>
      <w:r>
        <w:rPr>
          <w:rFonts w:ascii="Calibri" w:hAnsi="Calibri" w:cs="Calibri"/>
          <w:b/>
          <w:bCs/>
          <w:sz w:val="24"/>
          <w:szCs w:val="24"/>
        </w:rPr>
        <w:t>Próxima revisão:</w:t>
      </w:r>
      <w:r>
        <w:rPr>
          <w:rFonts w:ascii="Calibri" w:hAnsi="Calibri" w:cs="Calibri"/>
          <w:sz w:val="24"/>
          <w:szCs w:val="24"/>
        </w:rPr>
        <w:t xml:space="preserve"> 30/09/2026 (fechamento da MF1 — Fundação)</w:t>
      </w:r>
    </w:p>
    <w:sectPr>
      <w:pgSz w:w="12240" w:h="15840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2026-09-22T15:29:10.603Z</dcterms:created>
  <dcterms:modified xsi:type="dcterms:W3CDTF">2026-09-22T15:30:01.552Z</dcterms:modified>
</cp:coreProperties>
</file>