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Briefing de peças para Display</w:t>
      </w:r>
    </w:p>
    <w:p>
      <w:pPr>
        <w:pStyle w:val="Subtitle"/>
      </w:pPr>
      <w:r>
        <w:t>RoadRunners em Santa Catarina</w:t>
      </w:r>
    </w:p>
    <w:p>
      <w:r>
        <w:t>Para a equipe de design • 1 de outubro de 2026</w:t>
      </w:r>
    </w:p>
    <w:p>
      <w:r>
        <w:t>Criar 2 conceitos visuais, cada um em 3 formatos, e exportar 2 versões do logotipo oficial. A entrega terá 8 arquivos finais para anúncios responsivos do Google Display, com foco no benefício de encontrar a próxima corrida em Santa Catarina.</w:t>
      </w:r>
    </w:p>
    <w:p>
      <w:pPr>
        <w:pStyle w:val="Heading1"/>
      </w:pPr>
      <w:r>
        <w:t>Objetivo e público</w:t>
      </w:r>
    </w:p>
    <w:p>
      <w:r>
        <w:t>Atrair corredores de Santa Catarina para consultar o calendário e escolher provas por cidade, data e distância. A comunicação deve atender tanto quem está começando quanto quem já participa de corridas.</w:t>
      </w:r>
    </w:p>
    <w:p>
      <w:r>
        <w:t>Mensagem principal: Encontre sua próxima corrida em SC.</w:t>
      </w:r>
    </w:p>
    <w:p>
      <w:hyperlink r:id="rId9">
        <w:r>
          <w:rPr>
            <w:color w:val="0563C1"/>
          </w:rPr>
          <w:t>Destino da campanha — calendário de Santa Catarina</w:t>
        </w:r>
      </w:hyperlink>
    </w:p>
    <w:p>
      <w:pPr>
        <w:pStyle w:val="Heading1"/>
      </w:pPr>
      <w:r>
        <w:t>Quantidade e dimensões</w:t>
      </w:r>
    </w:p>
    <w:tbl>
      <w:tblPr>
        <w:tblW w:type="auto" w:w="0"/>
        <w:jc w:val="center"/>
        <w:tblLayout w:type="fixed"/>
        <w:tblLook w:firstColumn="1" w:firstRow="1" w:lastColumn="0" w:lastRow="0" w:noHBand="0" w:noVBand="1" w:val="04A0"/>
      </w:tblPr>
      <w:tblGrid>
        <w:gridCol w:w="3061"/>
        <w:gridCol w:w="2438"/>
        <w:gridCol w:w="1814"/>
        <w:gridCol w:w="2324"/>
      </w:tblGrid>
      <w:tr>
        <w:trPr>
          <w:cantSplit/>
        </w:trPr>
        <w:tc>
          <w:tcPr>
            <w:tcW w:type="dxa" w:w="3061"/>
            <w:vAlign w:val="center"/>
            <w:tcMar>
              <w:top w:w="100" w:type="dxa"/>
              <w:left w:w="100" w:type="dxa"/>
              <w:bottom w:w="100" w:type="dxa"/>
              <w:right w:w="100" w:type="dxa"/>
            </w:tcMar>
            <w:shd w:fill="E9E9E9"/>
            <w:tcBorders>
              <w:top w:val="single" w:sz="4" w:color="D9D9D9"/>
              <w:left w:val="single" w:sz="4" w:color="D9D9D9"/>
              <w:bottom w:val="single" w:sz="4" w:color="D9D9D9"/>
              <w:right w:val="single" w:sz="4" w:color="D9D9D9"/>
            </w:tcBorders>
          </w:tcPr>
          <w:p>
            <w:pPr>
              <w:spacing w:after="0"/>
            </w:pPr>
            <w:r>
              <w:rPr>
                <w:b/>
                <w:sz w:val="18"/>
              </w:rPr>
              <w:t>Arquivo</w:t>
            </w:r>
          </w:p>
        </w:tc>
        <w:tc>
          <w:tcPr>
            <w:tcW w:type="dxa" w:w="2438"/>
            <w:vAlign w:val="center"/>
            <w:tcMar>
              <w:top w:w="100" w:type="dxa"/>
              <w:left w:w="100" w:type="dxa"/>
              <w:bottom w:w="100" w:type="dxa"/>
              <w:right w:w="100" w:type="dxa"/>
            </w:tcMar>
            <w:shd w:fill="E9E9E9"/>
            <w:tcBorders>
              <w:top w:val="single" w:sz="4" w:color="D9D9D9"/>
              <w:left w:val="single" w:sz="4" w:color="D9D9D9"/>
              <w:bottom w:val="single" w:sz="4" w:color="D9D9D9"/>
              <w:right w:val="single" w:sz="4" w:color="D9D9D9"/>
            </w:tcBorders>
          </w:tcPr>
          <w:p>
            <w:pPr>
              <w:spacing w:after="0"/>
            </w:pPr>
            <w:r>
              <w:rPr>
                <w:b/>
                <w:sz w:val="18"/>
              </w:rPr>
              <w:t>Dimensões em pixels</w:t>
            </w:r>
          </w:p>
        </w:tc>
        <w:tc>
          <w:tcPr>
            <w:tcW w:type="dxa" w:w="1814"/>
            <w:vAlign w:val="center"/>
            <w:tcMar>
              <w:top w:w="100" w:type="dxa"/>
              <w:left w:w="100" w:type="dxa"/>
              <w:bottom w:w="100" w:type="dxa"/>
              <w:right w:w="100" w:type="dxa"/>
            </w:tcMar>
            <w:shd w:fill="E9E9E9"/>
            <w:tcBorders>
              <w:top w:val="single" w:sz="4" w:color="D9D9D9"/>
              <w:left w:val="single" w:sz="4" w:color="D9D9D9"/>
              <w:bottom w:val="single" w:sz="4" w:color="D9D9D9"/>
              <w:right w:val="single" w:sz="4" w:color="D9D9D9"/>
            </w:tcBorders>
          </w:tcPr>
          <w:p>
            <w:pPr>
              <w:spacing w:after="0"/>
              <w:jc w:val="center"/>
            </w:pPr>
            <w:r>
              <w:rPr>
                <w:b/>
                <w:sz w:val="18"/>
              </w:rPr>
              <w:t>Proporção</w:t>
            </w:r>
          </w:p>
        </w:tc>
        <w:tc>
          <w:tcPr>
            <w:tcW w:type="dxa" w:w="2324"/>
            <w:vAlign w:val="center"/>
            <w:tcMar>
              <w:top w:w="100" w:type="dxa"/>
              <w:left w:w="100" w:type="dxa"/>
              <w:bottom w:w="100" w:type="dxa"/>
              <w:right w:w="100" w:type="dxa"/>
            </w:tcMar>
            <w:shd w:fill="E9E9E9"/>
            <w:tcBorders>
              <w:top w:val="single" w:sz="4" w:color="D9D9D9"/>
              <w:left w:val="single" w:sz="4" w:color="D9D9D9"/>
              <w:bottom w:val="single" w:sz="4" w:color="D9D9D9"/>
              <w:right w:val="single" w:sz="4" w:color="D9D9D9"/>
            </w:tcBorders>
          </w:tcPr>
          <w:p>
            <w:pPr>
              <w:spacing w:after="0"/>
            </w:pPr>
            <w:r>
              <w:rPr>
                <w:b/>
                <w:sz w:val="18"/>
              </w:rPr>
              <w:t>Quantidade</w:t>
            </w:r>
          </w:p>
        </w:tc>
      </w:tr>
      <w:tr>
        <w:trPr>
          <w:cantSplit/>
        </w:trPr>
        <w:tc>
          <w:tcPr>
            <w:tcW w:type="dxa" w:w="3061"/>
            <w:vAlign w:val="center"/>
            <w:tcMar>
              <w:top w:w="100" w:type="dxa"/>
              <w:left w:w="100" w:type="dxa"/>
              <w:bottom w:w="100" w:type="dxa"/>
              <w:right w:w="100" w:type="dxa"/>
            </w:tcMar>
            <w:shd w:fill="FFFFFF"/>
            <w:tcBorders>
              <w:top w:val="single" w:sz="4" w:color="D9D9D9"/>
              <w:left w:val="single" w:sz="4" w:color="D9D9D9"/>
              <w:bottom w:val="single" w:sz="4" w:color="D9D9D9"/>
              <w:right w:val="single" w:sz="4" w:color="D9D9D9"/>
            </w:tcBorders>
          </w:tcPr>
          <w:p>
            <w:pPr>
              <w:spacing w:after="0"/>
            </w:pPr>
            <w:r>
              <w:rPr>
                <w:b w:val="0"/>
                <w:sz w:val="18"/>
              </w:rPr>
              <w:t>Imagem horizontal</w:t>
            </w:r>
          </w:p>
        </w:tc>
        <w:tc>
          <w:tcPr>
            <w:tcW w:type="dxa" w:w="2438"/>
            <w:vAlign w:val="center"/>
            <w:tcMar>
              <w:top w:w="100" w:type="dxa"/>
              <w:left w:w="100" w:type="dxa"/>
              <w:bottom w:w="100" w:type="dxa"/>
              <w:right w:w="100" w:type="dxa"/>
            </w:tcMar>
            <w:shd w:fill="FFFFFF"/>
            <w:tcBorders>
              <w:top w:val="single" w:sz="4" w:color="D9D9D9"/>
              <w:left w:val="single" w:sz="4" w:color="D9D9D9"/>
              <w:bottom w:val="single" w:sz="4" w:color="D9D9D9"/>
              <w:right w:val="single" w:sz="4" w:color="D9D9D9"/>
            </w:tcBorders>
          </w:tcPr>
          <w:p>
            <w:pPr>
              <w:spacing w:after="0"/>
            </w:pPr>
            <w:r>
              <w:rPr>
                <w:b w:val="0"/>
                <w:sz w:val="18"/>
              </w:rPr>
              <w:t>1200 × 628</w:t>
            </w:r>
          </w:p>
        </w:tc>
        <w:tc>
          <w:tcPr>
            <w:tcW w:type="dxa" w:w="1814"/>
            <w:vAlign w:val="center"/>
            <w:tcMar>
              <w:top w:w="100" w:type="dxa"/>
              <w:left w:w="100" w:type="dxa"/>
              <w:bottom w:w="100" w:type="dxa"/>
              <w:right w:w="100" w:type="dxa"/>
            </w:tcMar>
            <w:shd w:fill="FFFFFF"/>
            <w:tcBorders>
              <w:top w:val="single" w:sz="4" w:color="D9D9D9"/>
              <w:left w:val="single" w:sz="4" w:color="D9D9D9"/>
              <w:bottom w:val="single" w:sz="4" w:color="D9D9D9"/>
              <w:right w:val="single" w:sz="4" w:color="D9D9D9"/>
            </w:tcBorders>
          </w:tcPr>
          <w:p>
            <w:pPr>
              <w:spacing w:after="0"/>
              <w:jc w:val="center"/>
            </w:pPr>
            <w:r>
              <w:rPr>
                <w:b w:val="0"/>
                <w:sz w:val="18"/>
              </w:rPr>
              <w:t>1,91:1</w:t>
            </w:r>
          </w:p>
        </w:tc>
        <w:tc>
          <w:tcPr>
            <w:tcW w:type="dxa" w:w="2324"/>
            <w:vAlign w:val="center"/>
            <w:tcMar>
              <w:top w:w="100" w:type="dxa"/>
              <w:left w:w="100" w:type="dxa"/>
              <w:bottom w:w="100" w:type="dxa"/>
              <w:right w:w="100" w:type="dxa"/>
            </w:tcMar>
            <w:shd w:fill="FFFFFF"/>
            <w:tcBorders>
              <w:top w:val="single" w:sz="4" w:color="D9D9D9"/>
              <w:left w:val="single" w:sz="4" w:color="D9D9D9"/>
              <w:bottom w:val="single" w:sz="4" w:color="D9D9D9"/>
              <w:right w:val="single" w:sz="4" w:color="D9D9D9"/>
            </w:tcBorders>
          </w:tcPr>
          <w:p>
            <w:pPr>
              <w:spacing w:after="0"/>
            </w:pPr>
            <w:r>
              <w:rPr>
                <w:b w:val="0"/>
                <w:sz w:val="18"/>
              </w:rPr>
              <w:t>2 • uma por conceito</w:t>
            </w:r>
          </w:p>
        </w:tc>
      </w:tr>
      <w:tr>
        <w:trPr>
          <w:cantSplit/>
        </w:trPr>
        <w:tc>
          <w:tcPr>
            <w:tcW w:type="dxa" w:w="3061"/>
            <w:vAlign w:val="center"/>
            <w:tcMar>
              <w:top w:w="100" w:type="dxa"/>
              <w:left w:w="100" w:type="dxa"/>
              <w:bottom w:w="100" w:type="dxa"/>
              <w:right w:w="100" w:type="dxa"/>
            </w:tcMar>
            <w:shd w:fill="FFFFFF"/>
            <w:tcBorders>
              <w:top w:val="single" w:sz="4" w:color="D9D9D9"/>
              <w:left w:val="single" w:sz="4" w:color="D9D9D9"/>
              <w:bottom w:val="single" w:sz="4" w:color="D9D9D9"/>
              <w:right w:val="single" w:sz="4" w:color="D9D9D9"/>
            </w:tcBorders>
          </w:tcPr>
          <w:p>
            <w:pPr>
              <w:spacing w:after="0"/>
            </w:pPr>
            <w:r>
              <w:rPr>
                <w:b w:val="0"/>
                <w:sz w:val="18"/>
              </w:rPr>
              <w:t>Imagem quadrada</w:t>
            </w:r>
          </w:p>
        </w:tc>
        <w:tc>
          <w:tcPr>
            <w:tcW w:type="dxa" w:w="2438"/>
            <w:vAlign w:val="center"/>
            <w:tcMar>
              <w:top w:w="100" w:type="dxa"/>
              <w:left w:w="100" w:type="dxa"/>
              <w:bottom w:w="100" w:type="dxa"/>
              <w:right w:w="100" w:type="dxa"/>
            </w:tcMar>
            <w:shd w:fill="FFFFFF"/>
            <w:tcBorders>
              <w:top w:val="single" w:sz="4" w:color="D9D9D9"/>
              <w:left w:val="single" w:sz="4" w:color="D9D9D9"/>
              <w:bottom w:val="single" w:sz="4" w:color="D9D9D9"/>
              <w:right w:val="single" w:sz="4" w:color="D9D9D9"/>
            </w:tcBorders>
          </w:tcPr>
          <w:p>
            <w:pPr>
              <w:spacing w:after="0"/>
            </w:pPr>
            <w:r>
              <w:rPr>
                <w:b w:val="0"/>
                <w:sz w:val="18"/>
              </w:rPr>
              <w:t>1200 × 1200</w:t>
            </w:r>
          </w:p>
        </w:tc>
        <w:tc>
          <w:tcPr>
            <w:tcW w:type="dxa" w:w="1814"/>
            <w:vAlign w:val="center"/>
            <w:tcMar>
              <w:top w:w="100" w:type="dxa"/>
              <w:left w:w="100" w:type="dxa"/>
              <w:bottom w:w="100" w:type="dxa"/>
              <w:right w:w="100" w:type="dxa"/>
            </w:tcMar>
            <w:shd w:fill="FFFFFF"/>
            <w:tcBorders>
              <w:top w:val="single" w:sz="4" w:color="D9D9D9"/>
              <w:left w:val="single" w:sz="4" w:color="D9D9D9"/>
              <w:bottom w:val="single" w:sz="4" w:color="D9D9D9"/>
              <w:right w:val="single" w:sz="4" w:color="D9D9D9"/>
            </w:tcBorders>
          </w:tcPr>
          <w:p>
            <w:pPr>
              <w:spacing w:after="0"/>
              <w:jc w:val="center"/>
            </w:pPr>
            <w:r>
              <w:rPr>
                <w:b w:val="0"/>
                <w:sz w:val="18"/>
              </w:rPr>
              <w:t>1:1</w:t>
            </w:r>
          </w:p>
        </w:tc>
        <w:tc>
          <w:tcPr>
            <w:tcW w:type="dxa" w:w="2324"/>
            <w:vAlign w:val="center"/>
            <w:tcMar>
              <w:top w:w="100" w:type="dxa"/>
              <w:left w:w="100" w:type="dxa"/>
              <w:bottom w:w="100" w:type="dxa"/>
              <w:right w:w="100" w:type="dxa"/>
            </w:tcMar>
            <w:shd w:fill="FFFFFF"/>
            <w:tcBorders>
              <w:top w:val="single" w:sz="4" w:color="D9D9D9"/>
              <w:left w:val="single" w:sz="4" w:color="D9D9D9"/>
              <w:bottom w:val="single" w:sz="4" w:color="D9D9D9"/>
              <w:right w:val="single" w:sz="4" w:color="D9D9D9"/>
            </w:tcBorders>
          </w:tcPr>
          <w:p>
            <w:pPr>
              <w:spacing w:after="0"/>
            </w:pPr>
            <w:r>
              <w:rPr>
                <w:b w:val="0"/>
                <w:sz w:val="18"/>
              </w:rPr>
              <w:t>2 • uma por conceito</w:t>
            </w:r>
          </w:p>
        </w:tc>
      </w:tr>
      <w:tr>
        <w:trPr>
          <w:cantSplit/>
        </w:trPr>
        <w:tc>
          <w:tcPr>
            <w:tcW w:type="dxa" w:w="3061"/>
            <w:vAlign w:val="center"/>
            <w:tcMar>
              <w:top w:w="100" w:type="dxa"/>
              <w:left w:w="100" w:type="dxa"/>
              <w:bottom w:w="100" w:type="dxa"/>
              <w:right w:w="100" w:type="dxa"/>
            </w:tcMar>
            <w:shd w:fill="FFFFFF"/>
            <w:tcBorders>
              <w:top w:val="single" w:sz="4" w:color="D9D9D9"/>
              <w:left w:val="single" w:sz="4" w:color="D9D9D9"/>
              <w:bottom w:val="single" w:sz="4" w:color="D9D9D9"/>
              <w:right w:val="single" w:sz="4" w:color="D9D9D9"/>
            </w:tcBorders>
          </w:tcPr>
          <w:p>
            <w:pPr>
              <w:spacing w:after="0"/>
            </w:pPr>
            <w:r>
              <w:rPr>
                <w:b w:val="0"/>
                <w:sz w:val="18"/>
              </w:rPr>
              <w:t>Imagem vertical</w:t>
            </w:r>
          </w:p>
        </w:tc>
        <w:tc>
          <w:tcPr>
            <w:tcW w:type="dxa" w:w="2438"/>
            <w:vAlign w:val="center"/>
            <w:tcMar>
              <w:top w:w="100" w:type="dxa"/>
              <w:left w:w="100" w:type="dxa"/>
              <w:bottom w:w="100" w:type="dxa"/>
              <w:right w:w="100" w:type="dxa"/>
            </w:tcMar>
            <w:shd w:fill="FFFFFF"/>
            <w:tcBorders>
              <w:top w:val="single" w:sz="4" w:color="D9D9D9"/>
              <w:left w:val="single" w:sz="4" w:color="D9D9D9"/>
              <w:bottom w:val="single" w:sz="4" w:color="D9D9D9"/>
              <w:right w:val="single" w:sz="4" w:color="D9D9D9"/>
            </w:tcBorders>
          </w:tcPr>
          <w:p>
            <w:pPr>
              <w:spacing w:after="0"/>
            </w:pPr>
            <w:r>
              <w:rPr>
                <w:b w:val="0"/>
                <w:sz w:val="18"/>
              </w:rPr>
              <w:t>900 × 1600</w:t>
            </w:r>
          </w:p>
        </w:tc>
        <w:tc>
          <w:tcPr>
            <w:tcW w:type="dxa" w:w="1814"/>
            <w:vAlign w:val="center"/>
            <w:tcMar>
              <w:top w:w="100" w:type="dxa"/>
              <w:left w:w="100" w:type="dxa"/>
              <w:bottom w:w="100" w:type="dxa"/>
              <w:right w:w="100" w:type="dxa"/>
            </w:tcMar>
            <w:shd w:fill="FFFFFF"/>
            <w:tcBorders>
              <w:top w:val="single" w:sz="4" w:color="D9D9D9"/>
              <w:left w:val="single" w:sz="4" w:color="D9D9D9"/>
              <w:bottom w:val="single" w:sz="4" w:color="D9D9D9"/>
              <w:right w:val="single" w:sz="4" w:color="D9D9D9"/>
            </w:tcBorders>
          </w:tcPr>
          <w:p>
            <w:pPr>
              <w:spacing w:after="0"/>
              <w:jc w:val="center"/>
            </w:pPr>
            <w:r>
              <w:rPr>
                <w:b w:val="0"/>
                <w:sz w:val="18"/>
              </w:rPr>
              <w:t>9:16</w:t>
            </w:r>
          </w:p>
        </w:tc>
        <w:tc>
          <w:tcPr>
            <w:tcW w:type="dxa" w:w="2324"/>
            <w:vAlign w:val="center"/>
            <w:tcMar>
              <w:top w:w="100" w:type="dxa"/>
              <w:left w:w="100" w:type="dxa"/>
              <w:bottom w:w="100" w:type="dxa"/>
              <w:right w:w="100" w:type="dxa"/>
            </w:tcMar>
            <w:shd w:fill="FFFFFF"/>
            <w:tcBorders>
              <w:top w:val="single" w:sz="4" w:color="D9D9D9"/>
              <w:left w:val="single" w:sz="4" w:color="D9D9D9"/>
              <w:bottom w:val="single" w:sz="4" w:color="D9D9D9"/>
              <w:right w:val="single" w:sz="4" w:color="D9D9D9"/>
            </w:tcBorders>
          </w:tcPr>
          <w:p>
            <w:pPr>
              <w:spacing w:after="0"/>
            </w:pPr>
            <w:r>
              <w:rPr>
                <w:b w:val="0"/>
                <w:sz w:val="18"/>
              </w:rPr>
              <w:t>2 • uma por conceito</w:t>
            </w:r>
          </w:p>
        </w:tc>
      </w:tr>
      <w:tr>
        <w:trPr>
          <w:cantSplit/>
        </w:trPr>
        <w:tc>
          <w:tcPr>
            <w:tcW w:type="dxa" w:w="3061"/>
            <w:vAlign w:val="center"/>
            <w:tcMar>
              <w:top w:w="100" w:type="dxa"/>
              <w:left w:w="100" w:type="dxa"/>
              <w:bottom w:w="100" w:type="dxa"/>
              <w:right w:w="100" w:type="dxa"/>
            </w:tcMar>
            <w:shd w:fill="FFFFFF"/>
            <w:tcBorders>
              <w:top w:val="single" w:sz="4" w:color="D9D9D9"/>
              <w:left w:val="single" w:sz="4" w:color="D9D9D9"/>
              <w:bottom w:val="single" w:sz="4" w:color="D9D9D9"/>
              <w:right w:val="single" w:sz="4" w:color="D9D9D9"/>
            </w:tcBorders>
          </w:tcPr>
          <w:p>
            <w:pPr>
              <w:spacing w:after="0"/>
            </w:pPr>
            <w:r>
              <w:rPr>
                <w:b w:val="0"/>
                <w:sz w:val="18"/>
              </w:rPr>
              <w:t>Logotipo quadrado</w:t>
            </w:r>
          </w:p>
        </w:tc>
        <w:tc>
          <w:tcPr>
            <w:tcW w:type="dxa" w:w="2438"/>
            <w:vAlign w:val="center"/>
            <w:tcMar>
              <w:top w:w="100" w:type="dxa"/>
              <w:left w:w="100" w:type="dxa"/>
              <w:bottom w:w="100" w:type="dxa"/>
              <w:right w:w="100" w:type="dxa"/>
            </w:tcMar>
            <w:shd w:fill="FFFFFF"/>
            <w:tcBorders>
              <w:top w:val="single" w:sz="4" w:color="D9D9D9"/>
              <w:left w:val="single" w:sz="4" w:color="D9D9D9"/>
              <w:bottom w:val="single" w:sz="4" w:color="D9D9D9"/>
              <w:right w:val="single" w:sz="4" w:color="D9D9D9"/>
            </w:tcBorders>
          </w:tcPr>
          <w:p>
            <w:pPr>
              <w:spacing w:after="0"/>
            </w:pPr>
            <w:r>
              <w:rPr>
                <w:b w:val="0"/>
                <w:sz w:val="18"/>
              </w:rPr>
              <w:t>1200 × 1200</w:t>
            </w:r>
          </w:p>
        </w:tc>
        <w:tc>
          <w:tcPr>
            <w:tcW w:type="dxa" w:w="1814"/>
            <w:vAlign w:val="center"/>
            <w:tcMar>
              <w:top w:w="100" w:type="dxa"/>
              <w:left w:w="100" w:type="dxa"/>
              <w:bottom w:w="100" w:type="dxa"/>
              <w:right w:w="100" w:type="dxa"/>
            </w:tcMar>
            <w:shd w:fill="FFFFFF"/>
            <w:tcBorders>
              <w:top w:val="single" w:sz="4" w:color="D9D9D9"/>
              <w:left w:val="single" w:sz="4" w:color="D9D9D9"/>
              <w:bottom w:val="single" w:sz="4" w:color="D9D9D9"/>
              <w:right w:val="single" w:sz="4" w:color="D9D9D9"/>
            </w:tcBorders>
          </w:tcPr>
          <w:p>
            <w:pPr>
              <w:spacing w:after="0"/>
              <w:jc w:val="center"/>
            </w:pPr>
            <w:r>
              <w:rPr>
                <w:b w:val="0"/>
                <w:sz w:val="18"/>
              </w:rPr>
              <w:t>1:1</w:t>
            </w:r>
          </w:p>
        </w:tc>
        <w:tc>
          <w:tcPr>
            <w:tcW w:type="dxa" w:w="2324"/>
            <w:vAlign w:val="center"/>
            <w:tcMar>
              <w:top w:w="100" w:type="dxa"/>
              <w:left w:w="100" w:type="dxa"/>
              <w:bottom w:w="100" w:type="dxa"/>
              <w:right w:w="100" w:type="dxa"/>
            </w:tcMar>
            <w:shd w:fill="FFFFFF"/>
            <w:tcBorders>
              <w:top w:val="single" w:sz="4" w:color="D9D9D9"/>
              <w:left w:val="single" w:sz="4" w:color="D9D9D9"/>
              <w:bottom w:val="single" w:sz="4" w:color="D9D9D9"/>
              <w:right w:val="single" w:sz="4" w:color="D9D9D9"/>
            </w:tcBorders>
          </w:tcPr>
          <w:p>
            <w:pPr>
              <w:spacing w:after="0"/>
            </w:pPr>
            <w:r>
              <w:rPr>
                <w:b w:val="0"/>
                <w:sz w:val="18"/>
              </w:rPr>
              <w:t>1</w:t>
            </w:r>
          </w:p>
        </w:tc>
      </w:tr>
      <w:tr>
        <w:trPr>
          <w:cantSplit/>
        </w:trPr>
        <w:tc>
          <w:tcPr>
            <w:tcW w:type="dxa" w:w="3061"/>
            <w:vAlign w:val="center"/>
            <w:tcMar>
              <w:top w:w="100" w:type="dxa"/>
              <w:left w:w="100" w:type="dxa"/>
              <w:bottom w:w="100" w:type="dxa"/>
              <w:right w:w="100" w:type="dxa"/>
            </w:tcMar>
            <w:shd w:fill="FFFFFF"/>
            <w:tcBorders>
              <w:top w:val="single" w:sz="4" w:color="D9D9D9"/>
              <w:left w:val="single" w:sz="4" w:color="D9D9D9"/>
              <w:bottom w:val="single" w:sz="4" w:color="D9D9D9"/>
              <w:right w:val="single" w:sz="4" w:color="D9D9D9"/>
            </w:tcBorders>
          </w:tcPr>
          <w:p>
            <w:pPr>
              <w:spacing w:after="0"/>
            </w:pPr>
            <w:r>
              <w:rPr>
                <w:b w:val="0"/>
                <w:sz w:val="18"/>
              </w:rPr>
              <w:t>Logotipo horizontal</w:t>
            </w:r>
          </w:p>
        </w:tc>
        <w:tc>
          <w:tcPr>
            <w:tcW w:type="dxa" w:w="2438"/>
            <w:vAlign w:val="center"/>
            <w:tcMar>
              <w:top w:w="100" w:type="dxa"/>
              <w:left w:w="100" w:type="dxa"/>
              <w:bottom w:w="100" w:type="dxa"/>
              <w:right w:w="100" w:type="dxa"/>
            </w:tcMar>
            <w:shd w:fill="FFFFFF"/>
            <w:tcBorders>
              <w:top w:val="single" w:sz="4" w:color="D9D9D9"/>
              <w:left w:val="single" w:sz="4" w:color="D9D9D9"/>
              <w:bottom w:val="single" w:sz="4" w:color="D9D9D9"/>
              <w:right w:val="single" w:sz="4" w:color="D9D9D9"/>
            </w:tcBorders>
          </w:tcPr>
          <w:p>
            <w:pPr>
              <w:spacing w:after="0"/>
            </w:pPr>
            <w:r>
              <w:rPr>
                <w:b w:val="0"/>
                <w:sz w:val="18"/>
              </w:rPr>
              <w:t>1200 × 300</w:t>
            </w:r>
          </w:p>
        </w:tc>
        <w:tc>
          <w:tcPr>
            <w:tcW w:type="dxa" w:w="1814"/>
            <w:vAlign w:val="center"/>
            <w:tcMar>
              <w:top w:w="100" w:type="dxa"/>
              <w:left w:w="100" w:type="dxa"/>
              <w:bottom w:w="100" w:type="dxa"/>
              <w:right w:w="100" w:type="dxa"/>
            </w:tcMar>
            <w:shd w:fill="FFFFFF"/>
            <w:tcBorders>
              <w:top w:val="single" w:sz="4" w:color="D9D9D9"/>
              <w:left w:val="single" w:sz="4" w:color="D9D9D9"/>
              <w:bottom w:val="single" w:sz="4" w:color="D9D9D9"/>
              <w:right w:val="single" w:sz="4" w:color="D9D9D9"/>
            </w:tcBorders>
          </w:tcPr>
          <w:p>
            <w:pPr>
              <w:spacing w:after="0"/>
              <w:jc w:val="center"/>
            </w:pPr>
            <w:r>
              <w:rPr>
                <w:b w:val="0"/>
                <w:sz w:val="18"/>
              </w:rPr>
              <w:t>4:1</w:t>
            </w:r>
          </w:p>
        </w:tc>
        <w:tc>
          <w:tcPr>
            <w:tcW w:type="dxa" w:w="2324"/>
            <w:vAlign w:val="center"/>
            <w:tcMar>
              <w:top w:w="100" w:type="dxa"/>
              <w:left w:w="100" w:type="dxa"/>
              <w:bottom w:w="100" w:type="dxa"/>
              <w:right w:w="100" w:type="dxa"/>
            </w:tcMar>
            <w:shd w:fill="FFFFFF"/>
            <w:tcBorders>
              <w:top w:val="single" w:sz="4" w:color="D9D9D9"/>
              <w:left w:val="single" w:sz="4" w:color="D9D9D9"/>
              <w:bottom w:val="single" w:sz="4" w:color="D9D9D9"/>
              <w:right w:val="single" w:sz="4" w:color="D9D9D9"/>
            </w:tcBorders>
          </w:tcPr>
          <w:p>
            <w:pPr>
              <w:spacing w:after="0"/>
            </w:pPr>
            <w:r>
              <w:rPr>
                <w:b w:val="0"/>
                <w:sz w:val="18"/>
              </w:rPr>
              <w:t>1</w:t>
            </w:r>
          </w:p>
        </w:tc>
      </w:tr>
    </w:tbl>
    <w:p>
      <w:pPr>
        <w:spacing w:before="160"/>
      </w:pPr>
      <w:r>
        <w:t>Total: 6 imagens + 2 logotipos. Priorizar as versões horizontal e quadrada; as verticais complementam o pacote. Os logotipos podem ser exportados do arquivo oficial existente.</w:t>
      </w:r>
    </w:p>
    <w:p>
      <w:pPr>
        <w:pStyle w:val="Heading1"/>
      </w:pPr>
      <w:r>
        <w:t>Dois conceitos visuais</w:t>
      </w:r>
    </w:p>
    <w:p>
      <w:r>
        <w:t>Conceito 1 — Sua próxima largada. Fotografia de corrida de rua com participação e movimento. Transmitir a vontade de escolher uma prova e participar, sem vincular a peça a uma única organização ou evento.</w:t>
      </w:r>
    </w:p>
    <w:p>
      <w:r>
        <w:t>Conceito 2 — Do treino à próxima prova. Pessoa ou pequeno grupo correndo em parque ou ambiente urbano, com expressão natural. Aproximar o treino cotidiano da descoberta de um próximo desafio.</w:t>
      </w:r>
    </w:p>
    <w:p>
      <w:r>
        <w:br w:type="page"/>
      </w:r>
    </w:p>
    <w:p>
      <w:pPr>
        <w:pStyle w:val="Heading1"/>
      </w:pPr>
      <w:r>
        <w:t>Direção de arte</w:t>
      </w:r>
    </w:p>
    <w:p>
      <w:r>
        <w:t>Usar a identidade oficial do RoadRunners, com preto, branco e amarelo como referências. Valorizar corredores reais e diversidade de perfis, com fotografia natural e boa leitura em formatos pequenos.</w:t>
      </w:r>
    </w:p>
    <w:p>
      <w:r>
        <w:t>Preferir fotos próprias ou licenciadas de Santa Catarina. Se houver um local reconhecível, confirmar que fica em SC. Uma paisagem neutra também funciona. Não usar pontos turísticos do Rio de Janeiro ou de outros estados como ambientação desta campanha.</w:t>
      </w:r>
    </w:p>
    <w:p>
      <w:r>
        <w:t>Entregar as imagens sem textos, logotipos ou botões sobrepostos. No anúncio responsivo, o Google combina a fotografia com o logotipo e os textos enviados separadamente. Não montar colagens nem simular uma interface clicável.</w:t>
      </w:r>
    </w:p>
    <w:p>
      <w:r>
        <w:t>Adaptar o enquadramento de cada formato, sem esticar a foto. Manter rostos e elementos essenciais longe das bordas para tolerar recortes. Evitar que marcas de roupas, patrocinadores ou a LIVE! dominem a composição.</w:t>
      </w:r>
    </w:p>
    <w:p>
      <w:pPr>
        <w:pStyle w:val="Heading1"/>
      </w:pPr>
      <w:r>
        <w:t>Textos de referência do anúncio</w:t>
      </w:r>
    </w:p>
    <w:p>
      <w:r>
        <w:t>Os textos abaixo contextualizam a criação. Devem permanecer separados das imagens.</w:t>
      </w:r>
    </w:p>
    <w:p>
      <w:pPr>
        <w:pStyle w:val="Heading2"/>
      </w:pPr>
      <w:r>
        <w:t>Títulos curtos</w:t>
      </w:r>
    </w:p>
    <w:p>
      <w:r>
        <w:t>• Sua próxima corrida em SC</w:t>
      </w:r>
    </w:p>
    <w:p>
      <w:r>
        <w:t>• Encontre provas na sua região</w:t>
      </w:r>
    </w:p>
    <w:p>
      <w:r>
        <w:t>• Calendário de corridas SC</w:t>
      </w:r>
    </w:p>
    <w:p>
      <w:pPr>
        <w:pStyle w:val="Heading2"/>
      </w:pPr>
      <w:r>
        <w:t>Título longo</w:t>
      </w:r>
    </w:p>
    <w:p>
      <w:r>
        <w:t>Encontre sua próxima corrida em Santa Catarina. Consulte cidades, datas e distâncias.</w:t>
      </w:r>
    </w:p>
    <w:p>
      <w:pPr>
        <w:pStyle w:val="Heading2"/>
      </w:pPr>
      <w:r>
        <w:t>Descrições</w:t>
      </w:r>
    </w:p>
    <w:p>
      <w:r>
        <w:t>Explore o calendário de corridas em SC e veja os detalhes das provas no Road Runners.</w:t>
      </w:r>
    </w:p>
    <w:p>
      <w:r>
        <w:t>Escolha seu próximo desafio. Encontre eventos por cidade e distância.</w:t>
      </w:r>
    </w:p>
    <w:p>
      <w:pPr>
        <w:pStyle w:val="Heading1"/>
      </w:pPr>
      <w:r>
        <w:t>Entrega dos arquivos</w:t>
      </w:r>
    </w:p>
    <w:p>
      <w:r>
        <w:t>Exportar as 6 imagens em JPG ou PNG, com até 5.120 KB por arquivo. Para os 2 logotipos, preferir PNG com fundo transparente e garantir leitura nas duas proporções. Enviar também os arquivos editáveis e as fotos originais usadas, com a origem ou licença de uso.</w:t>
      </w:r>
    </w:p>
    <w:p>
      <w:r>
        <w:t>Nomear por conceito e dimensão, por exemplo: rr_sc_largada_1200x628.jpg e rr_sc_treino_900x1600.jpg. Conferir nitidez, proporção e recortes antes de entregar.</w:t>
      </w:r>
    </w:p>
    <w:p>
      <w:pPr>
        <w:pStyle w:val="Heading1"/>
      </w:pPr>
      <w:r>
        <w:t>Referências técnicas</w:t>
      </w:r>
    </w:p>
    <w:p>
      <w:hyperlink r:id="rId10">
        <w:r>
          <w:rPr>
            <w:color w:val="0563C1"/>
          </w:rPr>
          <w:t>Google Ads — formatos de imagens e logotipos</w:t>
        </w:r>
      </w:hyperlink>
    </w:p>
    <w:p>
      <w:hyperlink r:id="rId11">
        <w:r>
          <w:rPr>
            <w:color w:val="0563C1"/>
          </w:rPr>
          <w:t>Google Ads — boas práticas para anúncios responsivos de Display</w:t>
        </w:r>
      </w:hyperlink>
    </w:p>
    <w:sectPr w:rsidR="00FC693F" w:rsidRPr="0006063C" w:rsidSect="00034616">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rial" w:hAnsi="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rial" w:hAnsi="Arial"/>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Arial" w:hAnsi="Arial"/>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40" w:lineRule="auto" w:before="0"/>
      <w:contextualSpacing/>
    </w:pPr>
    <w:rPr>
      <w:rFonts w:asciiTheme="majorHAnsi" w:eastAsiaTheme="majorEastAsia" w:hAnsiTheme="majorHAnsi" w:cstheme="majorBidi" w:ascii="Arial" w:hAnsi="Arial"/>
      <w:b/>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roadrunners.run/estado/sc/" TargetMode="External"/><Relationship Id="rId10" Type="http://schemas.openxmlformats.org/officeDocument/2006/relationships/hyperlink" Target="https://support.google.com/google-ads/answer/7005917" TargetMode="External"/><Relationship Id="rId11" Type="http://schemas.openxmlformats.org/officeDocument/2006/relationships/hyperlink" Target="https://support.google.com/google-ads/answer/9823397?hl=e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Briefing de peças para Display RoadRunners em Santa Catarina</dc:title>
  <dc:subject/>
  <dc:creator>RoadRunners</dc:creator>
  <cp:keywords/>
  <dc:description>generated by python-docx</dc:description>
  <cp:lastModifiedBy/>
  <cp:revision>1</cp:revision>
  <dcterms:created xsi:type="dcterms:W3CDTF">2013-12-23T23:15:00Z</dcterms:created>
  <dcterms:modified xsi:type="dcterms:W3CDTF">2013-12-23T23:15:00Z</dcterms:modified>
  <cp:category/>
</cp:coreProperties>
</file>