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AFAA" w14:textId="77777777" w:rsidR="00110758" w:rsidRDefault="00110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D0F044" w14:textId="77777777" w:rsidR="00110758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ANÁLISE DE RISCO DE CRÉDITO DIRECIONADA POR MODELAGEM MATEMÁTICA E APRENDIZADO DE MÁQUINA</w:t>
      </w:r>
    </w:p>
    <w:p w14:paraId="459E1C92" w14:textId="77777777" w:rsidR="0011075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Leonardo Aderaldo Vargas, Prof. Dr. Galdenoro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Junior, Prof. Dr. Leopoldo André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Lusquino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Filho </w:t>
      </w:r>
    </w:p>
    <w:p w14:paraId="5DBAEBE6" w14:textId="77777777" w:rsidR="0011075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UNESP – </w:t>
      </w:r>
      <w:proofErr w:type="spellStart"/>
      <w:r>
        <w:rPr>
          <w:rFonts w:ascii="Times New Roman" w:eastAsia="Times New Roman" w:hAnsi="Times New Roman" w:cs="Times New Roman"/>
        </w:rPr>
        <w:t>Univ</w:t>
      </w:r>
      <w:proofErr w:type="spellEnd"/>
      <w:r>
        <w:rPr>
          <w:rFonts w:ascii="Times New Roman" w:eastAsia="Times New Roman" w:hAnsi="Times New Roman" w:cs="Times New Roman"/>
        </w:rPr>
        <w:t xml:space="preserve"> Estadual Paulista, Instituto de Ciência e Tecnologia, Engenharia de Controle e Automação, Sorocaba SP</w:t>
      </w:r>
    </w:p>
    <w:p w14:paraId="66F8AEBE" w14:textId="77777777" w:rsidR="0011075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E-mails: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leonardo.vargas@unesp.br</w:t>
        </w:r>
      </w:hyperlink>
      <w:r>
        <w:rPr>
          <w:rFonts w:ascii="Times New Roman" w:eastAsia="Times New Roman" w:hAnsi="Times New Roman" w:cs="Times New Roman"/>
        </w:rPr>
        <w:t xml:space="preserve">;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galdenoro.botura@unesp.br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/>
        </w:rPr>
        <w:t>, leopoldo.lusquino@unesp.br</w:t>
      </w:r>
    </w:p>
    <w:p w14:paraId="6D54A735" w14:textId="77777777" w:rsidR="00110758" w:rsidRDefault="00110758">
      <w:pPr>
        <w:jc w:val="center"/>
        <w:rPr>
          <w:rFonts w:ascii="Times New Roman" w:eastAsia="Times New Roman" w:hAnsi="Times New Roman" w:cs="Times New Roman"/>
        </w:rPr>
      </w:pPr>
    </w:p>
    <w:p w14:paraId="639F8394" w14:textId="77777777" w:rsidR="00110758" w:rsidRDefault="00110758">
      <w:pPr>
        <w:rPr>
          <w:rFonts w:ascii="Times New Roman" w:eastAsia="Times New Roman" w:hAnsi="Times New Roman" w:cs="Times New Roman"/>
        </w:rPr>
        <w:sectPr w:rsidR="00110758" w:rsidSect="00456A15">
          <w:pgSz w:w="11906" w:h="16838"/>
          <w:pgMar w:top="1418" w:right="1134" w:bottom="2041" w:left="1134" w:header="708" w:footer="708" w:gutter="0"/>
          <w:pgNumType w:start="1"/>
          <w:cols w:space="720"/>
        </w:sectPr>
      </w:pPr>
    </w:p>
    <w:p w14:paraId="7987B12F" w14:textId="77777777" w:rsidR="00110758" w:rsidRPr="00BD15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D15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Abstract</w:t>
      </w:r>
    </w:p>
    <w:p w14:paraId="65A551E8" w14:textId="77777777" w:rsidR="00110758" w:rsidRPr="00BD15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i/>
          <w:color w:val="202124"/>
          <w:sz w:val="22"/>
          <w:szCs w:val="22"/>
          <w:lang w:val="en-US"/>
        </w:rPr>
      </w:pPr>
      <w:r w:rsidRPr="00BD15D9">
        <w:rPr>
          <w:rFonts w:ascii="Times New Roman" w:eastAsia="Times New Roman" w:hAnsi="Times New Roman" w:cs="Times New Roman"/>
          <w:i/>
          <w:color w:val="202124"/>
          <w:sz w:val="22"/>
          <w:szCs w:val="22"/>
          <w:lang w:val="en-US"/>
        </w:rPr>
        <w:t>This work proposes to improve the credit granting of a financial institution by replacing the current credit policy by a mathematical model of Machine Learning. After the change, a gain of 17% of Recall, 5% of AUC, 9% of KS and 6.88% of ROCP was obtained, representing an increase of almost R$ 100 million of profit and allowing the best classification of the client’s risk profile.</w:t>
      </w:r>
    </w:p>
    <w:p w14:paraId="1244189C" w14:textId="77777777" w:rsidR="0011075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Resumo</w:t>
      </w:r>
    </w:p>
    <w:p w14:paraId="5970DEA7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Este trabalho propõe melhorar a concessão de crédito de uma instituição financeira através da substituição da política de crédito vigente por um modelo matemático de Machine Learning. Após a mudança, obteve-se ganho de 17% de Recall, 5% de AUC, 9% de KS e 6,88% de ROCP, representando um aumento de quase R$ 100 milhões de lucro e permitindo a melhor classificação de perfil de risco do cliente.</w:t>
      </w:r>
    </w:p>
    <w:p w14:paraId="5A1A9F88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</w:p>
    <w:p w14:paraId="4A670FB4" w14:textId="77777777" w:rsidR="0011075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Introdução</w:t>
      </w:r>
    </w:p>
    <w:p w14:paraId="6ED24A6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 grande desafio da análise de risco de crédito reside em distinguir os clientes confiáveis e aqueles propensos a inadimplência de modo a maximizar a rentabilidade. Nesse âmbito, classificações incorretas resultam em perdas financeiras significativas para o credor, além de aumentar o endividamento do cliente, prejudicando todo o ecossistema econômico.</w:t>
      </w:r>
    </w:p>
    <w:p w14:paraId="147E0FDE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 avanço computacional permitiu a aplicação de novas metodologias de análise, portanto, o presente projeto apresenta a comparação entre uma política de crédito e um modelo de Machine Learning capazes de classificar o perfil de risco dos clientes, de modo a compreender se a abordagem matemática é superior a abordagem tradicional.</w:t>
      </w:r>
    </w:p>
    <w:p w14:paraId="43336A3A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Como dados de crédito são sensíveis, optou-se pela utilização de dados anonimizados da empresa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Lending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Club,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 qual é uma empresa norte-americana responsável por operar uma plataforma online de empréstimos para pessoas físicas. </w:t>
      </w:r>
    </w:p>
    <w:p w14:paraId="267EFDDA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70DD524F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Conceituação e fundamentação teórica</w:t>
      </w:r>
    </w:p>
    <w:p w14:paraId="75AB90CA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Este capítulo expõe a fundamentação teórica dos principais conteúdos sobre risco de crédito e os passos realizados para classificar o perfil de risco do cliente. Sendo assim, espera-se que essas informações possam orientar um processo de concessão de crédito de maneira eficiente, permitindo que a instituição alcance máxima rentabilidade e auxilie o cliente a conquistar seus objetivos.</w:t>
      </w:r>
    </w:p>
    <w:p w14:paraId="51DE8B65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Dessa forma, os tópicos abordados como referencial teórico são: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Crédito e seus princípios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O processo de decisão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Modelos de Aprendizado de Máquina para Classificação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Métricas de Avaliação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1967ED3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658C5C63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2.1 Crédito e seus princípios</w:t>
      </w:r>
    </w:p>
    <w:p w14:paraId="54C125D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Risco de crédito nada mais é do que a probabilidade de perda financeira decorrente do não cumprimento de obrigações de pagamento por parte do solicitante. Por tratar-se de uma “operação de confiança”, toda vez que há uma antecipação de recursos há chances da não recuperação do valor e é justamente este risco que o credor aceita passar visto que será recompensado futuramente através dos juros.</w:t>
      </w:r>
    </w:p>
    <w:p w14:paraId="10D5AE2E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Embora o pagamento de juros seja rentável ao banco, deseja-se evitar clientes completamente inadimplentes, pois eles oferecem problemas de rentabilidade e jamais pagarão suas dívidas. Dada a situação, o objetivo da análise de risco de crédito é justamente descobrir quem são os bons e maus pagadores, reduzindo o volume de crédito concedido a pessoas que não poderão honrá-lo ou concedendo volume aos clientes adimplentes.</w:t>
      </w:r>
    </w:p>
    <w:p w14:paraId="7087E4F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 acordo com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Tchilian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(2022), a concessão de crédito aliada a uma boa gestão de riscos representa uma das principais fontes de renda para uma instituição financeira, portanto, para facilitar o ecossistema, criou-se um fluxo chamado Ciclo de Crédito, o qual consiste em seis etapas: Captação, Segmentação, Valoração, Manutenção, Cobrança e Recuperação.</w:t>
      </w:r>
    </w:p>
    <w:p w14:paraId="2867B1CC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2D1C9F79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3E1EBFEC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25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Figura 1 –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Fluxograma do Ciclo de Crédito</w:t>
      </w:r>
    </w:p>
    <w:p w14:paraId="3CB587D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EED94F" wp14:editId="0F137967">
            <wp:extent cx="2939415" cy="15023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502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92B69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57308A1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Fonte: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Autoria Própria.</w:t>
      </w:r>
    </w:p>
    <w:p w14:paraId="791EC5C7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 etapa de valoração é onde as metodologias de risco de crédito entram em ação e avaliam os clientes com base em diversas variáveis a fim de classificá-los como bons ou maus pagadores, logo, são o foco deste trabalho. </w:t>
      </w:r>
    </w:p>
    <w:p w14:paraId="2C965376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E0CAC90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2.2 O processo de decisão</w:t>
      </w:r>
    </w:p>
    <w:p w14:paraId="6744C9D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Na história do sistema financeiro, pelo fato das decisões de empréstimos serem abrangentes e pautarem-se em inúmeras informações, um dos marcos mais significativos foi a introdução dos “5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C’s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do Crédito”. De acordo com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Sebben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(2020), em conjunto, os 5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C’s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do Crédito norteiam todo o processo de concessão de crédito criando os principais fatores da análise de risco e auxiliam a expor a probabilidade de um solicitante honrar ou não o pagamento dos empréstimos, sendo fundamentais durante todo o Ciclo de Crédito para que a instituição financeira minimize as perdas e maximize os resultados.</w:t>
      </w:r>
    </w:p>
    <w:p w14:paraId="5500C394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Caráter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Sendo o elemento básico para decisões de crédito, este critério avalia características pessoais e profissionais do cliente, como sua reputação em termos de integridade e honestidade. </w:t>
      </w:r>
    </w:p>
    <w:p w14:paraId="195BE99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Capacidade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Refere-se à validação sobre as condições do tomador pagar suas dívidas, respeitando as limitações do cliente a fim de não o endividar.</w:t>
      </w:r>
    </w:p>
    <w:p w14:paraId="761E3EF7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Colateral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É a garantia do pagamento do empréstimo a qual o credor pode recorrer em casos de inadimplência do solicitante, portanto, são bens de valor a fim de decidir se é suficiente para cobrir o valor do empréstimo.</w:t>
      </w:r>
    </w:p>
    <w:p w14:paraId="0162918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Condições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Indica as condições referentes ao contexto econômico no qual o empréstimo será realizado, avaliando as características socioeconômicas do tomador e do mercado nacional, a fim de definir se o momento para concessões é propício.</w:t>
      </w:r>
    </w:p>
    <w:p w14:paraId="3D74BA6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Capital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Apresenta uma análise interna sobre as finanças da instituição a fim de garantir que ela possui o dinheiro solicitado pelo cliente</w:t>
      </w:r>
    </w:p>
    <w:p w14:paraId="4221137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Por meio de uma análise minuciosa das variáveis referentes aos 5C’s do Crédito, objetiva-se identificar padrões através de dados históricos capazes de identificar bons e maus pagadores. A partir dessas </w:t>
      </w:r>
      <w:r>
        <w:rPr>
          <w:rFonts w:ascii="Times New Roman" w:eastAsia="Times New Roman" w:hAnsi="Times New Roman" w:cs="Times New Roman"/>
          <w:sz w:val="22"/>
          <w:szCs w:val="22"/>
        </w:rPr>
        <w:t>descobertas, propõem-se a criação de uma política de crédito composta de cortes estratégicos nas variáveis identificadas como mais significativas.</w:t>
      </w:r>
    </w:p>
    <w:p w14:paraId="09F55537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Mesmo sendo comprovadamente eficaz, à medida que a complexidade das transações financeiras e a quantidade de dados disponíveis aumentaram ao longo dos anos, tornou-se improvável a manutenção de técnicas manuais. Nesse contexto, a introdução de modelos estatísticos como metodologia para a concessão de crédito foi amplamente aceita pelas empresas, pois eles fornecem objetividade e precisão na avaliação do risco de crédito de um cliente.</w:t>
      </w:r>
    </w:p>
    <w:p w14:paraId="23D2D84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Os modelos capazes de discriminar bons e maus pagadores são denominados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Credit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Scoring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Seu objetivo é determinar a probabilidade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do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cliente tornar-se inadimplente baseando-se em teorias matemáticas.</w:t>
      </w:r>
    </w:p>
    <w:p w14:paraId="6AC0DA16" w14:textId="77777777" w:rsidR="00110758" w:rsidRDefault="0011075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</w:rPr>
      </w:pPr>
    </w:p>
    <w:p w14:paraId="037B6F36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2.3 Modelos de Aprendizado de Máquina para Classificação</w:t>
      </w:r>
    </w:p>
    <w:p w14:paraId="31662FB4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Modelos de Classificação estão contidos no Aprendizado de Máquina Supervisionado. Segundo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Géron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(2019), no Aprendizado Supervisionado, os dados são apresentados ao algoritmo com os dados de entrada acompanhados dos resultados, chamados de rótulos. A partir dos rótulos, o modelo é treinado e estima uma função matemática capaz de identificar a classe de novas amostras.  </w:t>
      </w:r>
    </w:p>
    <w:p w14:paraId="3840D200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Essa classe nada mais é do que a representação de uma probabilidade. Isso significa que, após passar pela equação, a nova instância terá uma determinada probabilidade de pertencer a classe negativa e outra probabilidade de pertencer a classe positiva. No contexto de um modelo de crédito, esse novo elemento terá uma probabilidade estimada de ser qualificado para o empréstimo e uma probabilidade estimada de não ser qualificado.</w:t>
      </w:r>
    </w:p>
    <w:p w14:paraId="29C51A0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Modelos Lineares de Regressão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A regressão logística é uma extensão da regressão linear capaz de transformar a varável resposta contínua em uma variável categórica. No contexto de modelagem de risco de crédito, a variável dependente é uma variável binária que indica se um indivíduo é considerado um bom ou mau pagador. Dessa forma, ao definir-se a classe positiva como 1 e a negativa como 0, a variável dependente será a probabilidade da instância de pertencer a classe 1. </w:t>
      </w:r>
    </w:p>
    <w:p w14:paraId="098431B9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2F743C02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92EDC3D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35C3DCE3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35FDCA4E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6446E402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0EA5FA1F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0791F20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1ABDA6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Modelos Bayesianos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O Teorema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Bayes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é um mecanismo o qual descreve a forma de atualizar a probabilidade de uma hipótese com base em novas evidências. A partir do Teorema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Bayes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pode-se modelar um fenômeno dada as variáveis, criando-se 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Naive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Bayes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o qual é um algoritmo o qual pauta-se na probabilidade de observação de valores preditores, dado um resultado, para estimar a probabilidade de observar o resultado dado um conjunto de preditores.</w:t>
      </w:r>
    </w:p>
    <w:p w14:paraId="08E5873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Modelos Baseados em Distâncias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O KNN compara a nova instância com os K elementos mais próximos baseados nas variáveis utilizadas. Essa comparação é realizada via cálculos de distância e, a depender da distância escolhida, os resultados podem ser distintos.</w:t>
      </w:r>
    </w:p>
    <w:p w14:paraId="688129DC" w14:textId="77777777" w:rsidR="00110758" w:rsidRDefault="00000000">
      <w:pPr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Modelos de Árvore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uma Árvore de Decisão é uma espécie de fluxograma no qual as observações percorrem uma série de condições determinadas pelas variáveis do modelo a fim de resultar em uma decisão final. Parte-se de um nó raiz, passando gradualmente pelos nós filhos de tal forma que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escolhe-se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 atributo mais informativo para realizar a divisão em cada etapa. Ao final do processo, encontra-se uma folha representativa da classe à qual a instância pertence. </w:t>
      </w:r>
    </w:p>
    <w:p w14:paraId="3E2FD7CE" w14:textId="77777777" w:rsidR="00110758" w:rsidRDefault="00000000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Modelos Ensemble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Métodos Ensemble são projetos para combinarem diversos preditores fracos de forma a criar um preditor forte e robusto. Neste trabalho, abordou-se os métodos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Bagging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Boosting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Morettin e Singer (2021) alegam que a técnica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Bagging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é um método para gerar múltiplas versões de um preditor a partir de vários conjuntos de treinamento a fim de diminuir a variância desse modelo e proporcionar predições mais fidedignas. O principal algoritmo para esta metodologia é a Random Forest. 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Boosting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envolve a geração sequencial de árvores de decisão com base na atualização de pesos para cada elemento no conjunto de treinamento. O processo inicia-se com a criação de uma árvore de decisão inicial, seguida pelo cálculo dos resíduos iniciais que representam a diferença entre as probabilidades a priori e a probabilidade a posteriori. 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Gradient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Boosting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é o exemplo mais conhecido dessa técnica e é notável por seu uso de métodos de otimização iterativa, conferindo-lhe uma capacidade preditiva fantástica</w:t>
      </w:r>
    </w:p>
    <w:p w14:paraId="4C76CF7B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</w:p>
    <w:p w14:paraId="05026CC4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49134ED4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2.4 Métricas de Avaliação</w:t>
      </w:r>
    </w:p>
    <w:p w14:paraId="04C3FAA1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Uma Matriz de Confusão é uma matriz quadrada utilizada para comparar os valores preditos do modelo com os valores reais. Durante a classificação de um elemento, há quatro situações possíveis, sendo elas Verdadeiro Negativo, Verdadeiro Positivo, Falso Negativo e Falso Positivos. Pode-se avaliar a quantidade de cada um desses indicadores e, consequentemente, a performance de um modelo de classificação a partir das seguintes métricas: </w:t>
      </w:r>
    </w:p>
    <w:p w14:paraId="6D729D45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Precision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A precisão quantifica a proporção de instâncias corretamente classificadas como positivas em relação ao total de instâncias classificadas como positivas pelo modelo.</w:t>
      </w:r>
    </w:p>
    <w:p w14:paraId="61085567" w14:textId="77777777" w:rsidR="00110758" w:rsidRDefault="00000000">
      <w:pPr>
        <w:jc w:val="center"/>
        <w:rPr>
          <w:rFonts w:ascii="Cambria Math" w:eastAsia="Cambria Math" w:hAnsi="Cambria Math" w:cs="Cambria Math"/>
          <w:color w:val="000000"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Precisão=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VP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VP+FP</m:t>
              </m:r>
            </m:den>
          </m:f>
        </m:oMath>
      </m:oMathPara>
    </w:p>
    <w:p w14:paraId="17C13BA5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Recall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O recall quantifica a proporção de instâncias corretamente classificadas como positivas em relação ao total de instâncias que realmente são positivas na amostra.</w:t>
      </w:r>
    </w:p>
    <w:p w14:paraId="6B19D9A4" w14:textId="77777777" w:rsidR="00110758" w:rsidRDefault="00000000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 xml:space="preserve">Recall=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>VP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VP+FN</m:t>
              </m:r>
            </m:den>
          </m:f>
        </m:oMath>
      </m:oMathPara>
    </w:p>
    <w:p w14:paraId="59BF6B54" w14:textId="77777777" w:rsidR="00110758" w:rsidRDefault="00000000">
      <w:pPr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AUC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A curva ROC é uma representação gráfica da taxa de VP em função da taxa de FP para diferentes pontos de corte em um modelo de classificação. A partir dessa curva criada, pode-se calcular a área sob a curva (AUC), onde um valor maior indica melhor desempenho do modelo. O intuito da AUC é avaliar o quão bem o modelo classifica ambas as classes.</w:t>
      </w:r>
    </w:p>
    <w:p w14:paraId="1F854E02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Figura 2 – Curva ROC e AUC</w:t>
      </w:r>
    </w:p>
    <w:p w14:paraId="580E6A0F" w14:textId="77777777" w:rsidR="00110758" w:rsidRDefault="00000000">
      <w:pPr>
        <w:ind w:firstLine="36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2525C1" wp14:editId="212645F1">
            <wp:extent cx="2939415" cy="136913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6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7984B" w14:textId="77777777" w:rsidR="00110758" w:rsidRPr="00BD15D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BD15D9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Fonte: </w:t>
      </w:r>
      <w:r w:rsidRPr="00BD15D9">
        <w:rPr>
          <w:rFonts w:ascii="Times New Roman" w:eastAsia="Times New Roman" w:hAnsi="Times New Roman" w:cs="Times New Roman"/>
          <w:i/>
          <w:color w:val="000000"/>
          <w:sz w:val="18"/>
          <w:szCs w:val="18"/>
          <w:lang w:val="en-US"/>
        </w:rPr>
        <w:t>BRUCE, Peter; BRUCE Andrew. Practical statistics for data scientists</w:t>
      </w:r>
      <w:r w:rsidRPr="00BD15D9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 xml:space="preserve">. </w:t>
      </w:r>
      <w:r w:rsidRPr="00BD15D9">
        <w:rPr>
          <w:rFonts w:ascii="Times New Roman" w:eastAsia="Times New Roman" w:hAnsi="Times New Roman" w:cs="Times New Roman"/>
          <w:i/>
          <w:color w:val="000000"/>
          <w:sz w:val="18"/>
          <w:szCs w:val="18"/>
          <w:lang w:val="en-US"/>
        </w:rPr>
        <w:t>p.204, fig. 5-6; p.206, fig. 5-7</w:t>
      </w:r>
    </w:p>
    <w:p w14:paraId="0A6A3CBB" w14:textId="77777777" w:rsidR="00110758" w:rsidRDefault="00000000">
      <w:pPr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KS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Laredo (2010) afirma que o valor do KS é calculado como a maior distância entre as curvas de distribuição de probabilidade acumulada, podendo variar no intervalo [0, 1]. Quanto mais próximo de 1, mais evidente a separação entre as duas classes, indicando melhor poder de discriminação do modelo.</w:t>
      </w:r>
    </w:p>
    <w:p w14:paraId="28A8905A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Figura 3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Kolgomorov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-Smirnov (KS)</w:t>
      </w:r>
    </w:p>
    <w:p w14:paraId="65B68BEF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455E685" wp14:editId="7E797074">
            <wp:extent cx="2939415" cy="16395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3355B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Fonte: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SAS: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Calculating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KS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Statistics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Listen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Data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https://www.listendata.com/2016/01/sas-calculating-ks-test.html</w:t>
      </w:r>
    </w:p>
    <w:p w14:paraId="0CC29C42" w14:textId="77777777" w:rsidR="00110758" w:rsidRDefault="0011075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2"/>
          <w:szCs w:val="22"/>
        </w:rPr>
      </w:pPr>
    </w:p>
    <w:p w14:paraId="20F14C4C" w14:textId="77777777" w:rsidR="00110758" w:rsidRDefault="0011075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2"/>
          <w:szCs w:val="22"/>
        </w:rPr>
      </w:pPr>
    </w:p>
    <w:p w14:paraId="6408BB8D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 Desenvolvimento</w:t>
      </w:r>
    </w:p>
    <w:p w14:paraId="3E0FF60D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3.1 Produto</w:t>
      </w:r>
    </w:p>
    <w:p w14:paraId="055F24CC" w14:textId="77777777" w:rsidR="00110758" w:rsidRDefault="00000000">
      <w:pPr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Direcionada pelas técnicas e ferramentas de Ciência de Dados, o software desenvolvido visa aplicar o conhecimento assimilado durante o curso de Engenharia de Controle e Automação em processos de análise de risco, sendo responsável pela concessão de crédito para pessoas físicas de forma rápida e automática, pautando-se exclusivamente em conceitos matemáticos e estatísticos a fim de maximizar a confiança e minimizar o risco do credor.</w:t>
      </w:r>
    </w:p>
    <w:p w14:paraId="2E1351F2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363B6E5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 Materiais</w:t>
      </w:r>
    </w:p>
    <w:p w14:paraId="210570CD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8C536D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Na etapa de materiais, utilizou-se a linguagem de programação Python, o sistema de controle de versão GIT e o repositório de bases de dados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Kaggle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70D5FC85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5C45646A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3.3 Metodologia</w:t>
      </w:r>
    </w:p>
    <w:p w14:paraId="6D2A182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 acordo com Rafaela Lima (2021), ao longo dos anos, a capacidade computacional aumentou exponencialmente, portanto, uma quantidade astronômica de dados passou a ser gerada diariamente. Para utilizar todo o potencial de seus dados, demandou-se a criação de uma metodologia para projetos de Ciência de Dados, assim dando início ao CRISP-DM. </w:t>
      </w:r>
    </w:p>
    <w:p w14:paraId="02ECEA8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CRISP-DM é um processo de Mineração de Dados criado em 1996. Sua principal função é dividir projetos complexos de Ciência de Dados em partes menores, facilitando a execução das tarefas e o entendimento dos pontos por parte de pessoas não-técnicas. Pautando-se na constante evolução, essa metodologia permite que todas as etapas sejam revisitadas ao longo do projeto, corrigindo falhas e agilizando as entregas. </w:t>
      </w:r>
    </w:p>
    <w:p w14:paraId="55EF1C8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Como problemas de análise de crédito tendem a ser complexos, extensos e muito importantes para uma instituição, aplicou-se a metodologia CRISP-DM como direcionamento para o problema de concessão de crédito proposto a fim de facilitar o andamento do projeto como um todo. </w:t>
      </w:r>
    </w:p>
    <w:p w14:paraId="51266A2B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49C3DF84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3.4 Definição da Target</w:t>
      </w:r>
    </w:p>
    <w:p w14:paraId="7A62BA5E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este projeto, decidiu-se que um mau pagador atenderia aos seguintes critérios:</w:t>
      </w:r>
    </w:p>
    <w:p w14:paraId="3894AC2C" w14:textId="77777777" w:rsidR="0011075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Estar em um processo de cobrança (isso significa que o cliente atualmente é inadimplente e já foi encaminhado para a cobrança)</w:t>
      </w:r>
    </w:p>
    <w:p w14:paraId="3A9DEFEC" w14:textId="77777777" w:rsidR="0011075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Estar inadimplente (recentemente tornou-se inadimplente e, em caso de manutenção desse status, em breve será encaminhado para a cobrança)</w:t>
      </w:r>
    </w:p>
    <w:p w14:paraId="580A05B4" w14:textId="77777777" w:rsidR="0011075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Posse de 1 ou mais contas em outras instituições em estado de inadimplência (está inadimplente em outras instituições financeiras)</w:t>
      </w:r>
    </w:p>
    <w:p w14:paraId="1389A37C" w14:textId="77777777" w:rsidR="0011075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Não atende ao CMA (o cliente não atende aos critérios mínimos de aprovação do empréstimo.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menor de idade)</w:t>
      </w:r>
    </w:p>
    <w:p w14:paraId="22517E67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 as regras estabelecidas, escolheu-se o número “0” para representar o cliente “Bom” e o número “1” para representar o cliente “Mau”, visto que o intuito do projeto é definir com precisão quem são os “Maus Pagadores” e assim evitar ao máximo casos de inadimplência. A partir desta definição, pode-se visualizar a distribuição de “Bons e Maus Pagadores”, revelando a existência de um problema de classes desbalanceadas.</w:t>
      </w:r>
    </w:p>
    <w:p w14:paraId="2B6AEB4B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Figura 4 – Distribuição de Bons e Maus Pagadores</w:t>
      </w:r>
    </w:p>
    <w:p w14:paraId="3FD166BA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DC00D0" wp14:editId="7A17E9F9">
            <wp:extent cx="2939415" cy="158989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58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EB62D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4F7FB690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3.5 Método de Avaliação</w:t>
      </w:r>
    </w:p>
    <w:p w14:paraId="718B807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Como deseja-se prever o mau pagador, as principais métricas técnicas de serem avaliadas são o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Recall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a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AUC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 o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KS. </w:t>
      </w:r>
      <w:r>
        <w:rPr>
          <w:rFonts w:ascii="Times New Roman" w:eastAsia="Times New Roman" w:hAnsi="Times New Roman" w:cs="Times New Roman"/>
          <w:sz w:val="22"/>
          <w:szCs w:val="22"/>
        </w:rPr>
        <w:t>Em relação as métricas de negócio, definiu-se uma metodologia capaz de estimar o impacto financeiro de cada tipo de erro e acerto. Um Verdadeiro Negativo (VN) corresponde ao cliente adimplente classificado corretamente, dessa forma, representa um lucro do valor de exposição somado aos juros; um FN corresponde ao cliente inadimplente classificado incorretamente, sendo assim, representa a perda do valor de exposição; um FP corresponde ao cliente adimplente classificado incorretamente, portanto, não tem ganhos nem perdas; e um VP é o cliente inadimplente classificado corretamente, logo, também não tem ganhos nem perdas. A partir dessa regra, criou-se a equação para cálculo do retorno financeiro, bem como a estimativa de lucro em relação ao valor total de exposição:</w:t>
      </w:r>
    </w:p>
    <w:p w14:paraId="0FCC1A05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240EDBB4" w14:textId="77777777" w:rsidR="00110758" w:rsidRDefault="0000000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Qt Verdadeiro Negativo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Qt Falso Positivo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Qt Falso Negativo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Qt Verdadeiro Positivo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 xml:space="preserve">.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Exposição+Juros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Exposição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90F5078" w14:textId="77777777" w:rsidR="00110758" w:rsidRDefault="00110758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B8F01C2" w14:textId="77777777" w:rsidR="00110758" w:rsidRDefault="00000000">
      <w:pPr>
        <w:jc w:val="center"/>
        <w:rPr>
          <w:rFonts w:ascii="Cambria Math" w:eastAsia="Cambria Math" w:hAnsi="Cambria Math" w:cs="Cambria Math"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Ret F.=Qt VN*</m:t>
          </m:r>
          <m:d>
            <m:dPr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Exposição+Juros</m:t>
              </m:r>
            </m:e>
          </m:d>
          <m:r>
            <w:rPr>
              <w:rFonts w:ascii="Cambria Math" w:eastAsia="Cambria Math" w:hAnsi="Cambria Math" w:cs="Cambria Math"/>
              <w:sz w:val="18"/>
              <w:szCs w:val="18"/>
            </w:rPr>
            <m:t>-Qt FN*Exposição</m:t>
          </m:r>
        </m:oMath>
      </m:oMathPara>
    </w:p>
    <w:p w14:paraId="0843341D" w14:textId="77777777" w:rsidR="00110758" w:rsidRDefault="00110758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532FEB3" w14:textId="77777777" w:rsidR="00110758" w:rsidRDefault="00000000">
      <w:pPr>
        <w:jc w:val="center"/>
        <w:rPr>
          <w:rFonts w:ascii="Cambria Math" w:eastAsia="Cambria Math" w:hAnsi="Cambria Math" w:cs="Cambria Math"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ROCP =</m:t>
          </m:r>
          <m:f>
            <m:fPr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Retorno Financeiro</m:t>
              </m:r>
            </m:num>
            <m:den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Valor Total de Exposição</m:t>
              </m:r>
            </m:den>
          </m:f>
          <m:r>
            <w:rPr>
              <w:rFonts w:ascii="Cambria Math" w:eastAsia="Cambria Math" w:hAnsi="Cambria Math" w:cs="Cambria Math"/>
              <w:sz w:val="18"/>
              <w:szCs w:val="18"/>
            </w:rPr>
            <m:t xml:space="preserve"> x 100%</m:t>
          </m:r>
        </m:oMath>
      </m:oMathPara>
    </w:p>
    <w:p w14:paraId="6061DB6A" w14:textId="77777777" w:rsidR="00110758" w:rsidRDefault="001107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B48CD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3.6 Análise de Variáveis</w:t>
      </w:r>
    </w:p>
    <w:p w14:paraId="0894AB6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 ponto de partida para entender o risco de crédito das operações consiste na seleção criteriosa das melhores variáveis, pois elas carregam as informações necessárias para a criação de uma abordagem capaz de identificar o bom e mau pagador. Como o intuito deste trabalho é realizar uma análise de risco de crédito direcionada por métodos quantitativos, optou-se pelo foco majoritário em análises estatísticas, sendo as principais 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Weight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Evidence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(WOE) e a observação das distribuições de probabilidade das variáveis.</w:t>
      </w:r>
    </w:p>
    <w:p w14:paraId="4A805A7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Weight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Evidence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é uma medida estatística muito consolidada em risco de crédito, pois é eficaz e fácil de ser entendida. Basicamente, o WOE avalia a força da associação de uma classe com a variável alvo.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Valores positivos de WOE significam que a categoria está associada a classe positiva, ao passo que valores negativos mostram associação com a classe negativa.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 WOE é definido pela seguinte equação</w:t>
      </w:r>
      <w:r>
        <w:rPr>
          <w:rFonts w:ascii="Times New Roman" w:eastAsia="Times New Roman" w:hAnsi="Times New Roman" w:cs="Times New Roman"/>
        </w:rPr>
        <w:t>:</w:t>
      </w:r>
    </w:p>
    <w:p w14:paraId="391B9572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724106CF" w14:textId="77777777" w:rsidR="00110758" w:rsidRDefault="00000000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WOE=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18"/>
              <w:szCs w:val="18"/>
            </w:rPr>
            <m:t>ln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P(c|bom)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P(c|mau)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3AF2F95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Embora robusta, este tipo de abordagem funciona apenas para variáveis categóricas e, na grande maioria dos casos, existem variáveis contínuas igualmente importantes no processo de decisão. Neste caso, pode-se aplicar métodos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discretização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para então, através de gráficos e análises visuais, compreender se essa variável possui relação com o evento de interesse. Uma metodologia famosa consiste na criação de decis que, ao serem analisados em conjunto com o evento de interesse, provam a importância dessa variável para compreensão do perfil de risco do cliente.</w:t>
      </w:r>
    </w:p>
    <w:p w14:paraId="32C12EB0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exemplificar, decidiu-se trazer dois exemplos para representar os casos citados. Para o primeiro, nota-se que as classes “A” e “B”, por assumirem valores negativos, associam-se com a classe 0, logo, estão majoritariamente relacionadas com bons pagadores, ao passo que as demais assumem valores positivos e relacionam-se de forma mais expressiva com maus pagadores. Para o segundo, quanto maior o decil, maior é seu faturamento, ou seja, mais dinheiro o cliente recebe. Por ter mais dinheiro, a tendência é que este cliente possua maior oportunidade de arcar com seus compromissos financeiros e, portanto, pagar seu empréstimo.</w:t>
      </w:r>
    </w:p>
    <w:p w14:paraId="3828DB52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1272BA46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5660CEF8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Figura 5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Weight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Evidence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da Variável Grau do Empréstimo</w:t>
      </w:r>
    </w:p>
    <w:p w14:paraId="5AF0DB2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78016D" wp14:editId="50DB71C3">
            <wp:extent cx="2939415" cy="13161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16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756D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368CBAC7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Figura 6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Boxplot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da Variável Faturamento Anual</w:t>
      </w:r>
    </w:p>
    <w:p w14:paraId="4FE6388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A82468" wp14:editId="068956BE">
            <wp:extent cx="2939415" cy="161907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61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2D9B9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443769C5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3.7 Criação da Política de Crédito</w:t>
      </w:r>
    </w:p>
    <w:p w14:paraId="1CE1830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 acordo com a Serasa, a política de crédito é um documento que indica regras e critérios responsáveis por direcionar a empresa durante a tomada de decisão em uma concessão, portanto, sua criação representa uma etapa fundamental durante uma análise de risco.  Para este trabalho, optou-se pela formulação de uma política tradicional novamente baseada em regras conceituais e quantitativas já consolidadas na literatura. O intuito é que ela seja um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baseline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capaz de ser comparada aos modelos de Machine Learning propostos, destacando ganhos ou perdas de cada uma das abordagens.</w:t>
      </w:r>
    </w:p>
    <w:p w14:paraId="126D9DC9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Pelo fato de tratar-se de uma abordagem menos sofisticada e mais manual quando comparada a esses modelos, a criação de uma política demanda uma seleção de variáveis mais criteriosa, sendo assim, objetiva-se construir uma política baseada no menor número de variáveis ao mesmo tempo que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mantém-se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 poder de discriminação. Para esta etapa, utilizou-se o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Value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(IV), o conceitual dos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5C’s do Crédito </w:t>
      </w:r>
      <w:r>
        <w:rPr>
          <w:rFonts w:ascii="Times New Roman" w:eastAsia="Times New Roman" w:hAnsi="Times New Roman" w:cs="Times New Roman"/>
          <w:sz w:val="22"/>
          <w:szCs w:val="22"/>
        </w:rPr>
        <w:t>e a análise de distribuição de probabilidade.</w:t>
      </w:r>
    </w:p>
    <w:p w14:paraId="124AD880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Conforme abordado por Laredo (2010), a estatística IV permite avaliar o potencial discriminador de uma variável. Dada uma variável categórica aleatória, pode-se atribuir a cada categoria um WOE, logo, ao combinar a diferença das probabilidades condicionais das categorias para o evento positivo e negativo com esses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WOE’s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consegue-se obter o IV da variável. O IV é definido pela seguinte equação: </w:t>
      </w:r>
    </w:p>
    <w:p w14:paraId="5C606DFB" w14:textId="77777777" w:rsidR="00110758" w:rsidRDefault="00000000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w:lastRenderedPageBreak/>
            <m:t>IV=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naryPr>
            <m:sub/>
            <m:sup/>
            <m:e/>
          </m:nary>
          <m:d>
            <m:dPr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bom</m:t>
                  </m:r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mau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 w:val="18"/>
              <w:szCs w:val="18"/>
            </w:rPr>
            <m:t>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18"/>
              <w:szCs w:val="18"/>
            </w:rPr>
            <m:t>ln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P(c|bom)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P(c|mau)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A681AF5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</w:rPr>
      </w:pPr>
    </w:p>
    <w:p w14:paraId="06DF34F9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Dessa forma, escolheu-se levar adiante apenas as que tiveram valores superiores a 0.1 pois, segundo Laredo (2010), resultados superiores a 0.1 sugerem que a informação é realmente útil.</w:t>
      </w:r>
    </w:p>
    <w:p w14:paraId="3BFFF39F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6531F952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Figura 7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Information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(IV)</w:t>
      </w:r>
    </w:p>
    <w:p w14:paraId="4936A178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169E6" wp14:editId="45D88335">
            <wp:extent cx="2939415" cy="142338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423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D5AE6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79F50F6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Posteriormente, segmentou-se cada uma das informações através da análise dos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5C’s de Crédito </w:t>
      </w:r>
      <w:r>
        <w:rPr>
          <w:rFonts w:ascii="Times New Roman" w:eastAsia="Times New Roman" w:hAnsi="Times New Roman" w:cs="Times New Roman"/>
          <w:sz w:val="22"/>
          <w:szCs w:val="22"/>
        </w:rPr>
        <w:t>a fim de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compreender se estas encaixavam-se nos conceitos propostos. Todas as variáveis encaixaram-se em algum dos segmentos, contudo, para a parte de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Capital, </w:t>
      </w:r>
      <w:r>
        <w:rPr>
          <w:rFonts w:ascii="Times New Roman" w:eastAsia="Times New Roman" w:hAnsi="Times New Roman" w:cs="Times New Roman"/>
          <w:sz w:val="22"/>
          <w:szCs w:val="22"/>
        </w:rPr>
        <w:t>não se encontrou nenhuma informação presente na base de dados, pois esta característica diz respeito às finanças da instituição como patrimônio, balanço e demais projeções financeiras.</w:t>
      </w:r>
    </w:p>
    <w:p w14:paraId="495BF6AC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6812F6D4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Tabela 1 – Segmentação das variáveis através dos 5C’s do Crédito </w:t>
      </w:r>
    </w:p>
    <w:tbl>
      <w:tblPr>
        <w:tblStyle w:val="a"/>
        <w:tblW w:w="4705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3548"/>
      </w:tblGrid>
      <w:tr w:rsidR="00110758" w14:paraId="6DD6B6F1" w14:textId="77777777" w:rsidTr="0011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12" w:space="0" w:color="000000"/>
              <w:bottom w:val="single" w:sz="12" w:space="0" w:color="000000"/>
            </w:tcBorders>
          </w:tcPr>
          <w:p w14:paraId="3A9414C2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5C’s do Crédito</w:t>
            </w:r>
          </w:p>
        </w:tc>
        <w:tc>
          <w:tcPr>
            <w:tcW w:w="3548" w:type="dxa"/>
            <w:tcBorders>
              <w:top w:val="single" w:sz="12" w:space="0" w:color="000000"/>
              <w:bottom w:val="single" w:sz="12" w:space="0" w:color="000000"/>
            </w:tcBorders>
          </w:tcPr>
          <w:p w14:paraId="5DED25F9" w14:textId="77777777" w:rsidR="001107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Variáveis</w:t>
            </w:r>
          </w:p>
        </w:tc>
      </w:tr>
      <w:tr w:rsidR="00110758" w14:paraId="75581EC6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12" w:space="0" w:color="000000"/>
              <w:bottom w:val="single" w:sz="4" w:space="0" w:color="000000"/>
            </w:tcBorders>
          </w:tcPr>
          <w:p w14:paraId="6135348F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Caráter</w:t>
            </w:r>
          </w:p>
        </w:tc>
        <w:tc>
          <w:tcPr>
            <w:tcW w:w="3548" w:type="dxa"/>
            <w:tcBorders>
              <w:top w:val="single" w:sz="12" w:space="0" w:color="000000"/>
              <w:bottom w:val="single" w:sz="4" w:space="0" w:color="000000"/>
            </w:tcBorders>
          </w:tcPr>
          <w:p w14:paraId="512E3946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qt_meses_classificacao_mais_recente_90dias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qt_meses_ultima_inadimplencia</w:t>
            </w:r>
            <w:proofErr w:type="spellEnd"/>
          </w:p>
        </w:tc>
      </w:tr>
      <w:tr w:rsidR="00110758" w14:paraId="62BEDB0D" w14:textId="77777777" w:rsidTr="00110758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50A184CB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Capacidade</w:t>
            </w:r>
          </w:p>
        </w:tc>
        <w:tc>
          <w:tcPr>
            <w:tcW w:w="3548" w:type="dxa"/>
            <w:tcBorders>
              <w:top w:val="single" w:sz="4" w:space="0" w:color="000000"/>
              <w:bottom w:val="single" w:sz="4" w:space="0" w:color="000000"/>
            </w:tcBorders>
          </w:tcPr>
          <w:p w14:paraId="5F704B1E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limite_rotativos_utilizado</w:t>
            </w:r>
            <w:proofErr w:type="spellEnd"/>
          </w:p>
          <w:p w14:paraId="71FEA2E6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comprometimento_de_renda_anual</w:t>
            </w:r>
            <w:proofErr w:type="spellEnd"/>
          </w:p>
          <w:p w14:paraId="50BC4C10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faturamento_anual</w:t>
            </w:r>
            <w:proofErr w:type="spellEnd"/>
          </w:p>
        </w:tc>
      </w:tr>
      <w:tr w:rsidR="00110758" w14:paraId="43DF1816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4EE66860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Colateral</w:t>
            </w:r>
          </w:p>
        </w:tc>
        <w:tc>
          <w:tcPr>
            <w:tcW w:w="3548" w:type="dxa"/>
            <w:tcBorders>
              <w:top w:val="single" w:sz="4" w:space="0" w:color="000000"/>
              <w:bottom w:val="single" w:sz="4" w:space="0" w:color="000000"/>
            </w:tcBorders>
          </w:tcPr>
          <w:p w14:paraId="783EFEDE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grau_de_emprestimo</w:t>
            </w:r>
            <w:proofErr w:type="spellEnd"/>
          </w:p>
          <w:p w14:paraId="23C47C3E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subclasse_de_emprestimo</w:t>
            </w:r>
            <w:proofErr w:type="spellEnd"/>
          </w:p>
        </w:tc>
      </w:tr>
      <w:tr w:rsidR="00110758" w14:paraId="136353B9" w14:textId="77777777" w:rsidTr="0011075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60ABDB5B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Condições</w:t>
            </w:r>
          </w:p>
        </w:tc>
        <w:tc>
          <w:tcPr>
            <w:tcW w:w="3548" w:type="dxa"/>
            <w:tcBorders>
              <w:top w:val="single" w:sz="4" w:space="0" w:color="000000"/>
              <w:bottom w:val="single" w:sz="4" w:space="0" w:color="000000"/>
            </w:tcBorders>
          </w:tcPr>
          <w:p w14:paraId="3C0B2A52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taxa_de_juros</w:t>
            </w:r>
            <w:proofErr w:type="spellEnd"/>
          </w:p>
        </w:tc>
      </w:tr>
      <w:tr w:rsidR="00110758" w14:paraId="19F81F49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648FA211" w14:textId="77777777" w:rsidR="0011075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Capital</w:t>
            </w:r>
          </w:p>
        </w:tc>
        <w:tc>
          <w:tcPr>
            <w:tcW w:w="3548" w:type="dxa"/>
            <w:tcBorders>
              <w:top w:val="single" w:sz="4" w:space="0" w:color="000000"/>
              <w:bottom w:val="single" w:sz="4" w:space="0" w:color="000000"/>
            </w:tcBorders>
          </w:tcPr>
          <w:p w14:paraId="7549596A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-</w:t>
            </w:r>
          </w:p>
        </w:tc>
      </w:tr>
    </w:tbl>
    <w:p w14:paraId="5ED4FD06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2BFBB04A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Finalmente, realizou-se a análise de distribuição de probabilidade para cada uma das variáveis a fim de comprovar a existência de uma relação bem comportada entre a característica e a variável resposta de modo a manter apenas as variáveis com ordenação evidente. A seguir há um exemplo de variável com ordenação bem comportada:</w:t>
      </w:r>
    </w:p>
    <w:p w14:paraId="71A6C9F1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Tabela 2– Distribuição de Probabilidade para Classe do Produto</w:t>
      </w:r>
    </w:p>
    <w:tbl>
      <w:tblPr>
        <w:tblStyle w:val="a0"/>
        <w:tblW w:w="4629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15"/>
        <w:gridCol w:w="2314"/>
      </w:tblGrid>
      <w:tr w:rsidR="00110758" w14:paraId="67E1A950" w14:textId="77777777" w:rsidTr="0011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12" w:space="0" w:color="000000"/>
              <w:bottom w:val="single" w:sz="12" w:space="0" w:color="000000"/>
            </w:tcBorders>
          </w:tcPr>
          <w:p w14:paraId="269E1232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Classe de Produto</w:t>
            </w:r>
          </w:p>
        </w:tc>
        <w:tc>
          <w:tcPr>
            <w:tcW w:w="2314" w:type="dxa"/>
            <w:tcBorders>
              <w:top w:val="single" w:sz="12" w:space="0" w:color="000000"/>
              <w:bottom w:val="single" w:sz="12" w:space="0" w:color="000000"/>
            </w:tcBorders>
          </w:tcPr>
          <w:p w14:paraId="192CD485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% BAD Classe de Produto</w:t>
            </w:r>
          </w:p>
        </w:tc>
      </w:tr>
      <w:tr w:rsidR="00110758" w14:paraId="6C6FCA18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12" w:space="0" w:color="000000"/>
              <w:bottom w:val="single" w:sz="4" w:space="0" w:color="000000"/>
            </w:tcBorders>
          </w:tcPr>
          <w:p w14:paraId="57294857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A</w:t>
            </w:r>
          </w:p>
        </w:tc>
        <w:tc>
          <w:tcPr>
            <w:tcW w:w="2314" w:type="dxa"/>
            <w:tcBorders>
              <w:top w:val="single" w:sz="12" w:space="0" w:color="000000"/>
              <w:bottom w:val="single" w:sz="4" w:space="0" w:color="000000"/>
            </w:tcBorders>
          </w:tcPr>
          <w:p w14:paraId="65C9091F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4%</w:t>
            </w:r>
          </w:p>
        </w:tc>
      </w:tr>
      <w:tr w:rsidR="00110758" w14:paraId="26DD3013" w14:textId="77777777" w:rsidTr="0011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 w14:paraId="17A8E0C6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B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44C3CEB1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8.2%</w:t>
            </w:r>
          </w:p>
        </w:tc>
      </w:tr>
      <w:tr w:rsidR="00110758" w14:paraId="2F5209E1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</w:tcBorders>
          </w:tcPr>
          <w:p w14:paraId="0E89FF3B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C</w:t>
            </w: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5F1121FF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11.8%</w:t>
            </w:r>
          </w:p>
        </w:tc>
      </w:tr>
      <w:tr w:rsidR="00110758" w14:paraId="128DC554" w14:textId="77777777" w:rsidTr="0011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 w14:paraId="7951D932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D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540658E9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15.8%</w:t>
            </w:r>
          </w:p>
        </w:tc>
      </w:tr>
      <w:tr w:rsidR="00110758" w14:paraId="1D93C1F3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 w14:paraId="63D7E375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E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6C3DE554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20%</w:t>
            </w:r>
          </w:p>
        </w:tc>
      </w:tr>
      <w:tr w:rsidR="00110758" w14:paraId="7958965C" w14:textId="77777777" w:rsidTr="0011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 w14:paraId="488459A0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F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186F1A81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25.1%</w:t>
            </w:r>
          </w:p>
        </w:tc>
      </w:tr>
      <w:tr w:rsidR="00110758" w14:paraId="0FADC323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 w14:paraId="568D3CE9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18"/>
                <w:szCs w:val="18"/>
              </w:rPr>
              <w:t>G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0366894B" w14:textId="77777777" w:rsidR="001107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28.1%</w:t>
            </w:r>
          </w:p>
        </w:tc>
      </w:tr>
    </w:tbl>
    <w:p w14:paraId="1823D4BB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31A4DA8F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1C61648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Como a política tem o intuito de ser uma metodologia para concessão de crédito, ela deve ser capaz de separar os clientes bons dos maus. Para isso, através da combinação das cinco variáveis mencionadas, criou-se uma regra para definição da PD do cliente. A equação da regra é dada por</w:t>
      </w:r>
    </w:p>
    <w:p w14:paraId="5F59B0C8" w14:textId="77777777" w:rsidR="00110758" w:rsidRDefault="00000000">
      <w:pPr>
        <w:jc w:val="center"/>
        <w:rPr>
          <w:rFonts w:ascii="Cambria Math" w:eastAsia="Cambria Math" w:hAnsi="Cambria Math" w:cs="Cambria Math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Política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= </m:t>
          </m:r>
        </m:oMath>
      </m:oMathPara>
    </w:p>
    <w:p w14:paraId="0EDFD588" w14:textId="677FE0D1" w:rsidR="00110758" w:rsidRDefault="00000000">
      <w:pPr>
        <w:jc w:val="center"/>
        <w:rPr>
          <w:i/>
          <w:color w:val="000000"/>
          <w:sz w:val="24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Faturamento Anual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  <w:szCs w:val="24"/>
                  <w:u w:val="singl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D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u w:val="single"/>
                </w:rPr>
                <m:t xml:space="preserve"> </m:t>
              </m:r>
            </m:sub>
          </m:sSub>
        </m:oMath>
      </m:oMathPara>
    </w:p>
    <w:p w14:paraId="3C0F72F6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sendo cada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PD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probabilidade de inadimplência de cada característica na qual o cliente se encontra.</w:t>
      </w:r>
    </w:p>
    <w:p w14:paraId="37BA15D1" w14:textId="77777777" w:rsidR="00110758" w:rsidRDefault="00110758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14:paraId="78E3D395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3.8 Criação dos Modelos</w:t>
      </w:r>
    </w:p>
    <w:p w14:paraId="5738E11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DDD</w:t>
      </w:r>
    </w:p>
    <w:p w14:paraId="3C20AAE4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C48BDC0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1DA44F2F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Resultados obtidos</w:t>
      </w:r>
    </w:p>
    <w:p w14:paraId="437E8F2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Esta etapa oferece uma visão holística a respeito das vantagens e desvantagens de cada uma delas, portanto, buscou-se quantificar o impacto de ambas as metodologias na concessão de crédito.</w:t>
      </w:r>
    </w:p>
    <w:p w14:paraId="69466CC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Os resultados evidenciam que em todos os cenários o modelo superou a política. Valores superiores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precision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recall, f1-score, AUC e KS demonstram que o método matemático foi capaz de identificar melhor os bons e maus pagadores. Notavelmente, o modelo alcançou um lucro adicional de quase R$ 100 milhões, representando um ganho de 6.68% de ROCP em comparação com a política.</w:t>
      </w:r>
    </w:p>
    <w:p w14:paraId="40AD9571" w14:textId="77777777" w:rsidR="00282769" w:rsidRDefault="00282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4DC93064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eastAsia="Times New Roman" w:hAnsi="Times New Roman" w:cs="Times New Roman"/>
          <w:sz w:val="22"/>
          <w:szCs w:val="22"/>
        </w:rPr>
      </w:pPr>
    </w:p>
    <w:p w14:paraId="3A525B73" w14:textId="77777777" w:rsidR="00110758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lastRenderedPageBreak/>
        <w:t xml:space="preserve">Tabela 10 –Política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vs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Modelo de Aprendizado de Máquina</w:t>
      </w:r>
    </w:p>
    <w:tbl>
      <w:tblPr>
        <w:tblStyle w:val="a1"/>
        <w:tblW w:w="4838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537"/>
        <w:gridCol w:w="1453"/>
      </w:tblGrid>
      <w:tr w:rsidR="00110758" w14:paraId="1509D19A" w14:textId="77777777" w:rsidTr="0011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8" w:type="dxa"/>
          </w:tcPr>
          <w:p w14:paraId="048B0C91" w14:textId="77777777" w:rsidR="0011075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18"/>
                <w:szCs w:val="18"/>
              </w:rPr>
              <w:t>Método</w:t>
            </w:r>
          </w:p>
        </w:tc>
        <w:tc>
          <w:tcPr>
            <w:tcW w:w="1537" w:type="dxa"/>
          </w:tcPr>
          <w:p w14:paraId="656DDC95" w14:textId="77777777" w:rsidR="00110758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Política</w:t>
            </w:r>
          </w:p>
        </w:tc>
        <w:tc>
          <w:tcPr>
            <w:tcW w:w="1453" w:type="dxa"/>
          </w:tcPr>
          <w:p w14:paraId="42B42C07" w14:textId="77777777" w:rsidR="00110758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Modelo</w:t>
            </w:r>
          </w:p>
        </w:tc>
      </w:tr>
      <w:tr w:rsidR="00110758" w14:paraId="27FF1C0D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4BAB83E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Exposição</w:t>
            </w:r>
          </w:p>
        </w:tc>
        <w:tc>
          <w:tcPr>
            <w:tcW w:w="1537" w:type="dxa"/>
          </w:tcPr>
          <w:p w14:paraId="7A3AFE4F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R$1.335 B</w:t>
            </w:r>
          </w:p>
        </w:tc>
        <w:tc>
          <w:tcPr>
            <w:tcW w:w="1453" w:type="dxa"/>
          </w:tcPr>
          <w:p w14:paraId="443B0A18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R$1.335 B</w:t>
            </w:r>
          </w:p>
        </w:tc>
      </w:tr>
      <w:tr w:rsidR="00110758" w14:paraId="410DCCCF" w14:textId="77777777" w:rsidTr="0011075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0E3F6B1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Retorno</w:t>
            </w:r>
          </w:p>
        </w:tc>
        <w:tc>
          <w:tcPr>
            <w:tcW w:w="1537" w:type="dxa"/>
          </w:tcPr>
          <w:p w14:paraId="447BA138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R$118MM</w:t>
            </w:r>
          </w:p>
        </w:tc>
        <w:tc>
          <w:tcPr>
            <w:tcW w:w="1453" w:type="dxa"/>
          </w:tcPr>
          <w:p w14:paraId="55E4AEAB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R$210MM</w:t>
            </w:r>
          </w:p>
        </w:tc>
      </w:tr>
      <w:tr w:rsidR="00110758" w14:paraId="3FF0D5AC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976F040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ROCP</w:t>
            </w:r>
          </w:p>
        </w:tc>
        <w:tc>
          <w:tcPr>
            <w:tcW w:w="1537" w:type="dxa"/>
          </w:tcPr>
          <w:p w14:paraId="72EB92ED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8.87%</w:t>
            </w:r>
          </w:p>
        </w:tc>
        <w:tc>
          <w:tcPr>
            <w:tcW w:w="1453" w:type="dxa"/>
          </w:tcPr>
          <w:p w14:paraId="52707978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15.75%</w:t>
            </w:r>
          </w:p>
        </w:tc>
      </w:tr>
      <w:tr w:rsidR="00110758" w14:paraId="04FA6DAC" w14:textId="77777777" w:rsidTr="0011075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542029A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Precision</w:t>
            </w:r>
            <w:proofErr w:type="spellEnd"/>
          </w:p>
        </w:tc>
        <w:tc>
          <w:tcPr>
            <w:tcW w:w="1537" w:type="dxa"/>
          </w:tcPr>
          <w:p w14:paraId="206A7CA1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0.19</w:t>
            </w:r>
          </w:p>
        </w:tc>
        <w:tc>
          <w:tcPr>
            <w:tcW w:w="1453" w:type="dxa"/>
          </w:tcPr>
          <w:p w14:paraId="303BE62F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0.20</w:t>
            </w:r>
          </w:p>
        </w:tc>
      </w:tr>
      <w:tr w:rsidR="00110758" w14:paraId="674D61E8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64E15BC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Recall</w:t>
            </w:r>
          </w:p>
        </w:tc>
        <w:tc>
          <w:tcPr>
            <w:tcW w:w="1537" w:type="dxa"/>
          </w:tcPr>
          <w:p w14:paraId="4CA49441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0.44</w:t>
            </w:r>
          </w:p>
        </w:tc>
        <w:tc>
          <w:tcPr>
            <w:tcW w:w="1453" w:type="dxa"/>
          </w:tcPr>
          <w:p w14:paraId="60D85BFA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0.61</w:t>
            </w:r>
          </w:p>
        </w:tc>
      </w:tr>
      <w:tr w:rsidR="00110758" w14:paraId="0075A3BF" w14:textId="77777777" w:rsidTr="0011075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EB1E430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F1-Score</w:t>
            </w:r>
          </w:p>
        </w:tc>
        <w:tc>
          <w:tcPr>
            <w:tcW w:w="1537" w:type="dxa"/>
          </w:tcPr>
          <w:p w14:paraId="298BD649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0.26</w:t>
            </w:r>
          </w:p>
        </w:tc>
        <w:tc>
          <w:tcPr>
            <w:tcW w:w="1453" w:type="dxa"/>
          </w:tcPr>
          <w:p w14:paraId="74A887FB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0.31</w:t>
            </w:r>
          </w:p>
        </w:tc>
      </w:tr>
      <w:tr w:rsidR="00110758" w14:paraId="4712900F" w14:textId="77777777" w:rsidTr="0011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C1777BB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AUC</w:t>
            </w:r>
          </w:p>
        </w:tc>
        <w:tc>
          <w:tcPr>
            <w:tcW w:w="1537" w:type="dxa"/>
          </w:tcPr>
          <w:p w14:paraId="6B591441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0.67</w:t>
            </w:r>
          </w:p>
        </w:tc>
        <w:tc>
          <w:tcPr>
            <w:tcW w:w="1453" w:type="dxa"/>
          </w:tcPr>
          <w:p w14:paraId="536AE651" w14:textId="77777777" w:rsidR="00110758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0.72</w:t>
            </w:r>
          </w:p>
        </w:tc>
      </w:tr>
      <w:tr w:rsidR="00110758" w14:paraId="2F3634D5" w14:textId="77777777" w:rsidTr="0011075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E2D7919" w14:textId="77777777" w:rsidR="00110758" w:rsidRDefault="00000000" w:rsidP="002827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18"/>
                <w:szCs w:val="18"/>
              </w:rPr>
              <w:t>KS</w:t>
            </w:r>
          </w:p>
        </w:tc>
        <w:tc>
          <w:tcPr>
            <w:tcW w:w="1537" w:type="dxa"/>
          </w:tcPr>
          <w:p w14:paraId="218B9245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0.23</w:t>
            </w:r>
          </w:p>
        </w:tc>
        <w:tc>
          <w:tcPr>
            <w:tcW w:w="1453" w:type="dxa"/>
          </w:tcPr>
          <w:p w14:paraId="027720E9" w14:textId="77777777" w:rsidR="00110758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0.32</w:t>
            </w:r>
          </w:p>
        </w:tc>
      </w:tr>
    </w:tbl>
    <w:p w14:paraId="4D958CF9" w14:textId="77777777" w:rsidR="001107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Fonte: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Autoria Própria.</w:t>
      </w:r>
    </w:p>
    <w:p w14:paraId="7D4E02C5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Conclusão</w:t>
      </w:r>
    </w:p>
    <w:p w14:paraId="34CD495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Dado que o principal objetivo de uma análise de risco de crédito é separar os bons e maus pagadores de modo a maximizar o retorno financeiro, concluiu-se que esta pesquisa representou um avanço ao comparar a abordagem tradicional com a abordagem direcionada por modelagem matemática e aprendizado de máquina.</w:t>
      </w:r>
    </w:p>
    <w:p w14:paraId="428429C2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Os resultados demonstraram que técnicas de Machine Learning, embora complexas, são capazes de proporcionar ganhos financeiros ao mesmo tempo que são uma automação do processo de concessão. Pelo fato de o método quantitativo captar relações complexas entre as variáveis de maneira automática, os analistas de crédito podem otimizar o tempo gasto na avaliação e melhorar a eficiência dos projetos.</w:t>
      </w:r>
    </w:p>
    <w:p w14:paraId="6342E16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Além da otimização do lucro e da discriminação, a abordagem matemática apresenta maior estabilidade justamente por basear-se em mais variáveis. Essa característica permite que a concessão seja baseada em diversos fatores, proporcionando maior abrangência de decisão e, consequentemente, auxiliando na segmentação de perfis de risco.</w:t>
      </w:r>
    </w:p>
    <w:p w14:paraId="17CEE64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Embora promissora, destacam-se algumas ressalvas a respeito das limitações deste estudo. Pela ausência de grande poder computacional, a aplicação de técnicas mais avançadas de pré-processamento não foi possível. Além disso, todo o processo de análise baseou-se em indivíduos tomadores, portanto, instâncias as quais um dia já foram aprovadas. Isso incorre que amostras já negadas desde o início foram excluídas, resultando na criação de um possível viés. Conforme explicado por Laredo (2010), como um modelo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Credit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Scoring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destina-se a avaliar todos os proponentes potenciais, ele deve basear-se nos bons e maus clientes de mercado e não apenas nos bons e maus clientes anteriormente aprovados pelo credor. Para trabalhos futuros, recomenda-se a ampliação ou troca da base de dados de modo que a nova população tenha exemplos de todos os casos citados, permitindo </w:t>
      </w:r>
      <w:r>
        <w:rPr>
          <w:rFonts w:ascii="Times New Roman" w:eastAsia="Times New Roman" w:hAnsi="Times New Roman" w:cs="Times New Roman"/>
          <w:sz w:val="22"/>
          <w:szCs w:val="22"/>
        </w:rPr>
        <w:t>assim a expansão da pesquisa a qual envolve também a inferência de negados.</w:t>
      </w:r>
    </w:p>
    <w:p w14:paraId="7765A0F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Finalmente, como a população costuma estar em constante mudança econômica e social, sugere-se também a implementação de metodologias para retreino do modelo. Nesse âmbito, o desenvolvimento de um ambiente de engenharia de Machine Learning seria crucial para a correta gestão de riscos, pois ele permitiria a recorrente adaptação do modelo de forma totalmente automática, de modo que o mesmo sempre fosse aplicável para a população atual.</w:t>
      </w:r>
    </w:p>
    <w:p w14:paraId="10DCF5C8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7CDA93D" w14:textId="77777777" w:rsidR="0011075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Referências</w:t>
      </w:r>
    </w:p>
    <w:p w14:paraId="77E249B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[1] LAREDO SICSÚ, Abraham.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CREDIT SCORING: DESENVOLVIMENTO, IMPLANTAÇÃO E ACOMPANHAMENTO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São Paulo: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Blucher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2010. Disponível em: &lt;https://www.blucher.com.br/credit-scoring_9788521205333&gt;. Acesso em: 22 janeiro 2023.</w:t>
      </w:r>
    </w:p>
    <w:p w14:paraId="3F34144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[2] SEBBEN,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Renivaldo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José.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ANÁLISE DE RISCO DE CRÉDITO E COBRANÇA: COMO CONCEDER CRÉDITO COM SEGURANÇA E RECUPERAR CRÉDITOS INADIMPLENTES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Novatec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Editora Ltda, 2020. Disponível em: &lt;https://www.amazon.com.br/gp/product/8575228269/ref=as_li_tl?ie=UTF8&amp;camp=1789&amp;creative=9325&amp;creativeASIN=8575228269&amp;linkCode=as2&amp;tag=novatec03-20 &gt;. Acesso em 12 de março 2023.</w:t>
      </w:r>
    </w:p>
    <w:p w14:paraId="4BF9E2C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[3] GUIMARÃES XAVIER, Caroline.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RISCO NA ANÁLISE DE CRÉDITO</w:t>
      </w:r>
      <w:r>
        <w:rPr>
          <w:rFonts w:ascii="Times New Roman" w:eastAsia="Times New Roman" w:hAnsi="Times New Roman" w:cs="Times New Roman"/>
          <w:sz w:val="22"/>
          <w:szCs w:val="22"/>
        </w:rPr>
        <w:t>. Tese (Bacharel em Ciências Contábeis) – Departamento de Ciências Contábeis, Universidade Federal de Santa Catarina. Florianópolis, p.70, 2011. Acesso em: 15 fevereiro 2023.</w:t>
      </w:r>
    </w:p>
    <w:p w14:paraId="4C7E762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[4] JORGE CHAIA, Alexandre.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MODELOS DE GESTÃO DO RISCO DE CRÉDITO E SUA APLICABILIDADE AO MERCADO BRASILEIRO</w:t>
      </w:r>
      <w:r>
        <w:rPr>
          <w:rFonts w:ascii="Times New Roman" w:eastAsia="Times New Roman" w:hAnsi="Times New Roman" w:cs="Times New Roman"/>
          <w:sz w:val="22"/>
          <w:szCs w:val="22"/>
        </w:rPr>
        <w:t>. Tese (Mestrado em Administração) – Departamento de Administração, Faculdade de Economia, Administração e Contabilidade, Universidade de São Paulo. São Paulo, p.126, 2003. Acesso em: 15 fevereiro 2023.</w:t>
      </w:r>
    </w:p>
    <w:p w14:paraId="2A87083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[5] ARAÚJO, Elaine Aparecida; MONTREUIL CARMONA, Charles Ulises de.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DESENVOLVIMENTO DE MODELOS CREDIT SCORING COM ABORDAGEM DE REGRESSÃO LOGÍSTICA PARA A GESTÃO DA INADIMPLÊNCIA DE UMA INSTITUIÇÃO DE MICROCRÉDITO</w:t>
      </w:r>
      <w:r>
        <w:rPr>
          <w:rFonts w:ascii="Times New Roman" w:eastAsia="Times New Roman" w:hAnsi="Times New Roman" w:cs="Times New Roman"/>
          <w:sz w:val="22"/>
          <w:szCs w:val="22"/>
        </w:rPr>
        <w:t>. Contabilidade Vista &amp; Revista, Minas Gerais, vol. 18, n. 3, p. 107 – 131, set.2007. Acesso em: 20 fevereiro 2023.</w:t>
      </w:r>
    </w:p>
    <w:p w14:paraId="1953D8B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[6] SHELCI SILVA,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Juelline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GERENCIAMENTO INTEGRADO DE RISCOS: MODELOS DE PREDIÇÃO DE RISCO DE CRÉDITO EM MACHINE LEARNING PARA A IDENTIFICAÇÃO DE ATIVOS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PROBLEMÁTICOS EM UMA INSTITUIÇÃO FINANCEIRA</w:t>
      </w:r>
      <w:r>
        <w:rPr>
          <w:rFonts w:ascii="Times New Roman" w:eastAsia="Times New Roman" w:hAnsi="Times New Roman" w:cs="Times New Roman"/>
          <w:sz w:val="22"/>
          <w:szCs w:val="22"/>
        </w:rPr>
        <w:t>. Tese (Mestrado Profissional em Economia) – Departamento de Economia, Faculdade de Administração Contabilidade e Economia, Universidade de Brasília. Brasília, p.74, 2022. Acesso em: 20 fevereiro 2023.</w:t>
      </w:r>
    </w:p>
    <w:p w14:paraId="40AE9690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[7] FORTI, Melissa.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TÉCNICAS DE MACHINE LEARNING APLICADAS NA RECUPERAÇÃO DE CRÉDITO DO MERCADO BRASILEIRO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(Mestrado em Economia) – Escola de Economia de São Paulo, Fundação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Getulio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Vargas. São Paulo, 2018. Acesso em: 21 fevereiro 2023. </w:t>
      </w:r>
    </w:p>
    <w:p w14:paraId="04D2EC3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[8] SANTOS, Patrick Ferreira dos.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USO DE TÉCNICAS DE MACHINE LEARNING PARA ANÁLISE DE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(Mestrado Profissional em Economia) – Departamento de Economia, Faculdade de Administração Contabilidade e Economia, Universidade de Brasília. Brasília, p.57, 2022. Acesso em: 19 fevereiro 2023. </w:t>
      </w:r>
    </w:p>
    <w:p w14:paraId="2ABD45B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[9] ARAÚJO, João Paulo Bezerra de.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INTERPRETABILIDADE DE MODELOS DE MACHINE LEARNING: APLICAÇÃO NO MERCADO DE CRÉDITO</w:t>
      </w:r>
      <w:r>
        <w:rPr>
          <w:rFonts w:ascii="Times New Roman" w:eastAsia="Times New Roman" w:hAnsi="Times New Roman" w:cs="Times New Roman"/>
          <w:sz w:val="22"/>
          <w:szCs w:val="22"/>
        </w:rPr>
        <w:t>. Tese (Bacharel em Engenharia Elétrica) – Universidade Federal do Ceará. Fortaleza, p.73, 2020. Acesso em: 19 de fevereiro 2023.</w:t>
      </w:r>
    </w:p>
    <w:p w14:paraId="3A282C6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[10] MONTOYA, Anna; ODINTSOV,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Kirill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KOTEK, Martin. </w:t>
      </w:r>
      <w:r w:rsidRPr="00282769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HOME CREDIT DEFAULT RISK</w:t>
      </w:r>
      <w:r w:rsidRPr="0028276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Kaggle Competition. </w:t>
      </w:r>
      <w:r>
        <w:rPr>
          <w:rFonts w:ascii="Times New Roman" w:eastAsia="Times New Roman" w:hAnsi="Times New Roman" w:cs="Times New Roman"/>
          <w:sz w:val="22"/>
          <w:szCs w:val="22"/>
        </w:rPr>
        <w:t>Disponível em: &lt; https://www.kaggle.com/competitions/home-credit-default-risk/overview&gt;. Acesso em: 10 janeiro 2023.</w:t>
      </w:r>
    </w:p>
    <w:p w14:paraId="323BA091" w14:textId="77777777" w:rsidR="00110758" w:rsidRPr="00BD15D9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[11] MORETTIN, Pedro A.; SINGER,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Julio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ESTATÍSTICA E CIÊNCIA DE DADOS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LTC, 2022. Disponível em: &lt; https://www.grupogen.com.br/livro-estatistica-e-ciencia-de-dados-pedro-alberto-morettin-e-julio-da-motta-singer-editora-ltc-9788521638162&gt;.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Acesso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em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: 23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fevereiro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2023.</w:t>
      </w:r>
    </w:p>
    <w:p w14:paraId="348BA2E8" w14:textId="77777777" w:rsidR="00110758" w:rsidRPr="00BD15D9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[12] GÉRON, Aurélien. </w:t>
      </w:r>
      <w:r w:rsidRPr="00BD15D9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HANDS-ON MACHINE LEARNING WITH SCIKIT-LEARN, KERAS AND TENSORFLOR: CONCEPTS, TOOLS AND TECHNIQUES TO BUILD INTELLIGENT SYSTEMS</w:t>
      </w:r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O’Reilly, 2019. Disponível em: &lt; https://www.oreilly.com/library/view/hands-on-machine-learning/9781492032632/ &gt;.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Acesso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em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: 25 Janeiro 2023.</w:t>
      </w:r>
    </w:p>
    <w:p w14:paraId="6BF57C04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[13] HARRISON, Matt. </w:t>
      </w:r>
      <w:r w:rsidRPr="00BD15D9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MACHINE LEARNING POCKET REFERENCE</w:t>
      </w:r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>O’Really</w:t>
      </w:r>
      <w:proofErr w:type="spellEnd"/>
      <w:r w:rsidRPr="00BD15D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2019.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Disponível em: &lt; https://www.oreilly.com/library/view/machine-learning-pocket/9781492047537/ &gt;. Acesso em: 27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Janeiro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2023.</w:t>
      </w:r>
    </w:p>
    <w:p w14:paraId="43A38835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[14] MORETTIN, Pedro A.; BUSSAB, Wilton De O.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ESTATÍSTICA BÁSICA</w:t>
      </w:r>
      <w:r>
        <w:rPr>
          <w:rFonts w:ascii="Times New Roman" w:eastAsia="Times New Roman" w:hAnsi="Times New Roman" w:cs="Times New Roman"/>
          <w:sz w:val="22"/>
          <w:szCs w:val="22"/>
        </w:rPr>
        <w:t>. São Paulo: Saraiva, 2017. Disponível em: &lt; https://www.saraiva.com.br/estatistica-basica---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morettin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---saraiva-21397/p &gt;. Acesso em: 10 janeiro 2023.</w:t>
      </w:r>
    </w:p>
    <w:p w14:paraId="73AD42A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[15] CAMARGO, Bruna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NÚMERO DE INADIMPLENTES VOLTA A CRESCER E CHEGA A 65 MILHÕES DE PESSOAS EM JANEIRO</w:t>
      </w:r>
      <w:r>
        <w:rPr>
          <w:rFonts w:ascii="Times New Roman" w:eastAsia="Times New Roman" w:hAnsi="Times New Roman" w:cs="Times New Roman"/>
          <w:sz w:val="22"/>
          <w:szCs w:val="22"/>
        </w:rPr>
        <w:t>. Estadão.com.br, São Paulo, 16 de fevereiro de 2023. Disponível em: &lt; https://www.estadao.com.br/economia/numero-inadimplentes-cresce-65-milhoes-pessoas-janeiro/#:~:text=Quatro%20em%20cada%20dez%20brasileiros,m%C3%AAs%20do%20ano%2C%20segundo%20pesquisa&amp;text=O%20n%C3%BAmero%20de%20inadimplentes%20no,rela%C3%A7%C3%A3o%20a%20dezembro%20de%202022. &gt;. Acesso em: 19 de março de 2023.</w:t>
      </w:r>
    </w:p>
    <w:p w14:paraId="58E3D67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[16]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MAPA DA INADEIMPLÊNCIA E NEGOCIAÇÃO DE DÍVIDAS NO BRASIL</w:t>
      </w:r>
      <w:r>
        <w:rPr>
          <w:rFonts w:ascii="Times New Roman" w:eastAsia="Times New Roman" w:hAnsi="Times New Roman" w:cs="Times New Roman"/>
          <w:sz w:val="22"/>
          <w:szCs w:val="22"/>
        </w:rPr>
        <w:t>. Serasa, São Paulo, janeiro de 2023. Disponível em: &lt;https://www.serasa.com.br/limpa-nome-online/blog/mapa-da-inadimplencia-e-renogociacao-de-dividas-no-brasil/&gt;. Acesso em: 19 de março de 2023.</w:t>
      </w:r>
    </w:p>
    <w:p w14:paraId="37A86C20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[17] LIMA, Rafaela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Somavila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CRIAÇÃO DE PROJETO DE CIÊNCIA DE DADOS UTILIZANDO A METODOLOGIA CRISP-DM EM CONFORMIDADE COM A LGPD</w:t>
      </w:r>
      <w:r>
        <w:rPr>
          <w:rFonts w:ascii="Times New Roman" w:eastAsia="Times New Roman" w:hAnsi="Times New Roman" w:cs="Times New Roman"/>
          <w:sz w:val="22"/>
          <w:szCs w:val="22"/>
        </w:rPr>
        <w:t>. Tese (Especialização em Ciência de Dados e Suas Aplicações) – Departamento Acadêmico de Informática, Universidade Tecnológica Federal do Paraná. p.35, 2021. Acesso em: 21 de março de 2023.</w:t>
      </w:r>
    </w:p>
    <w:p w14:paraId="5348E4F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[18] LEVADA, Alexandre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Luis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Magalhães.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PROGRAMAÇÃO CIENTÍFICA COM PYTHON</w:t>
      </w:r>
      <w:r>
        <w:rPr>
          <w:rFonts w:ascii="Times New Roman" w:eastAsia="Times New Roman" w:hAnsi="Times New Roman" w:cs="Times New Roman"/>
          <w:sz w:val="22"/>
          <w:szCs w:val="22"/>
        </w:rPr>
        <w:t>. Departamento de Computação, Centro de Ciências Exatas e Tecnologia, Universidade Federal de São Carlos. p.107, 2021. Acesso em: 22 de março de 2023.</w:t>
      </w:r>
    </w:p>
    <w:p w14:paraId="2E857DD3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[19] TCHILIAN, Felipe.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CICLO DE CRÉDITO: ENTENDA E OTIMIZE A JORNADA DO CLIENTE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ClearSale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2022. Disponível em: &lt;https://blogbr.clear.sale/ciclo-de-credito&gt;. Acesso em 22 de março de 2023.</w:t>
      </w:r>
    </w:p>
    <w:p w14:paraId="5238DF2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[20] BRUCE, Peter; BRUCE Andrew.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PRACTICAL STATISTICS FOR DATA SCIENTISTS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O’Really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2017. Disponível em: &lt; https://www.oreilly.com/library/view/practical-statistics-for/9781491952955/&gt;. Acesso em: 27 de abril de 2023.</w:t>
      </w:r>
    </w:p>
    <w:p w14:paraId="6AD65474" w14:textId="77777777" w:rsidR="00110758" w:rsidRPr="00282769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[21]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MÉTODOS DE REAMOSTRAGEM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Laboratório de Estatística e Geoinformação, Universidade Federal do Paraná. Disponível em: &lt;http://cursos.leg.ufpr.br/ML4all/apoio/reamostragem.html&gt;. </w:t>
      </w:r>
      <w:r w:rsidRPr="00282769">
        <w:rPr>
          <w:rFonts w:ascii="Times New Roman" w:eastAsia="Times New Roman" w:hAnsi="Times New Roman" w:cs="Times New Roman"/>
          <w:sz w:val="22"/>
          <w:szCs w:val="22"/>
          <w:lang w:val="en-US"/>
        </w:rPr>
        <w:t>Acesso em: 22 de agosto de 2023.</w:t>
      </w:r>
    </w:p>
    <w:p w14:paraId="3B72CC32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28276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[22] PARK, Sung. </w:t>
      </w:r>
      <w:r w:rsidRPr="00282769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UNDERSTAND AND USE A BUSINESS CREDIT RISK SCORE</w:t>
      </w:r>
      <w:r w:rsidRPr="0028276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Experian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2020. Disponível em: &lt;https://blogbr.clear.sale/ciclo-de-credito&gt;. Acesso em 15 de julho de 2023.</w:t>
      </w:r>
    </w:p>
    <w:p w14:paraId="3E105CE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[23]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Bhalla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Deepanshu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SAS: CALCULATING KS STATISTICS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DATA, 2016. Disponível em: &lt; https://www.listendata.com/2016/01/sas-calculating-ks-test.html&gt;. Acesso em 22 de julho de 2023.</w:t>
      </w:r>
    </w:p>
    <w:p w14:paraId="14C9C3D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[24] Kumar,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Ajitesh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MACHINE LEARNING: INFERENCE &amp; PREDICTION DIFFERENCE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Analytics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2022. Disponível em: &lt; https://vitalflux.com/machine-learning-inference-prediction-difference/#:~:text=Prediction%20is%20the%20process%20of,the%20predictor%20and%20response%20variables.&gt;. Acesso em 23 de agosto de 2023.</w:t>
      </w:r>
    </w:p>
    <w:p w14:paraId="1B6BF85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[25] PEREIRA, Pedro Miguel Pinhal.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ANÁLISE DE RISCO DE CRÉDITO USANDO ALGORITMOS DE MACHINE LEARNING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(Mestrado em Matemática Financeira) – Departamento de Matemática, Universidade de Lisboa. 2020. Acesso em: 23 de agosto 2023. </w:t>
      </w:r>
    </w:p>
    <w:p w14:paraId="1822C92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[26] ABREU, Mariana da Conceição Ferreira.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MODELOS DE AVALIAÇÃO DE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(Mestrado em Economia na especialização de Economia Financeira) –Universidade de Coimbra. 2020. Acesso em: 23 de setembro 2023. </w:t>
      </w:r>
    </w:p>
    <w:p w14:paraId="098C4CDE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[27] SILVA, Daniel de Oliveira Silva.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OTIMIZAÇÃO DE HIPERPARÂMETROS DE ALGORITMOS DE MACHINE LEARNING APLICADO NO CONTEXTO DE ANÁLISE DE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Trabalho (Especialização em Ciência de Dados) –Universidade Tecnológica Federal do Paraná. 2022. Acesso em: 14 de setembro 2023. </w:t>
      </w:r>
    </w:p>
    <w:p w14:paraId="666D96B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[28] OLIVEIRA LIMA, Jorge Cláudio Cavalcante de.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 IMPORTÂNCIA DE CONHECER A PERDA ESPERADA PARA FINS DE GERENCIAMENTO DO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Revista do BNDES, Rio de Janeiro, V.15, N.30, P.271-302, 2008. Acesso em: 27 de agosto 2023. </w:t>
      </w:r>
    </w:p>
    <w:p w14:paraId="153CFCC6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[29] SELAU, Lisiane Priscila Roldão.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MODELAGEM PARA CONCESSÃO DE CRÉDITO A PESSOAS FÍSICAS EM EMPRESAS COMERCIAIS: DA DECISÃO BINÁRIA PARA A DECISÃO MONETÁRIA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(Doutorado em Administração) – Universidade Federal do Rio Grande do Sul. 2012. Acesso em: 30 de agosto 2023. </w:t>
      </w:r>
    </w:p>
    <w:p w14:paraId="5FB9F42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[30] BORIN, Edson.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CAPACITAÇÃO PROFISSIONAL EM TECNOLOGIAS DE INTELIGÊNCIA ARTIFICIAL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Instituto de Computação, Universidade Estadual de Campinas. 2023. Acesso em: 30 de agosto 2023. </w:t>
      </w:r>
    </w:p>
    <w:p w14:paraId="7BD91752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[31]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ESTATÍSTICAS MONETÁRIAS E DE CRÉDITO</w:t>
      </w:r>
      <w:r>
        <w:rPr>
          <w:rFonts w:ascii="Times New Roman" w:eastAsia="Times New Roman" w:hAnsi="Times New Roman" w:cs="Times New Roman"/>
          <w:sz w:val="22"/>
          <w:szCs w:val="22"/>
        </w:rPr>
        <w:t>. Banco Central do Brasil, São Paulo. Disponível em: &lt;https://www.bcb.gov.br/estatisticas/estatisticasmonetariascredito&gt;. Acesso em: 17 de dezembro de 2023.</w:t>
      </w:r>
    </w:p>
    <w:p w14:paraId="52608EB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[32] Mora, Mônica.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 EVOLUÇÃO DO CRÉDITO NO BRASIL ENTRE 2003 E 2010</w:t>
      </w:r>
      <w:r>
        <w:rPr>
          <w:rFonts w:ascii="Times New Roman" w:eastAsia="Times New Roman" w:hAnsi="Times New Roman" w:cs="Times New Roman"/>
          <w:sz w:val="22"/>
          <w:szCs w:val="22"/>
        </w:rPr>
        <w:t>. Instituto de Pesquisa Econômica Aplicada. Rio de Janeiro, 2015. Disponível em: &lt;https://repositorio.ipea.gov.br/bitstream/11058/3537/1/td2022.pdf&gt;. Acesso em: 17 de dezembro de 2023.</w:t>
      </w:r>
    </w:p>
    <w:p w14:paraId="5D50BC81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[33]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Sfeir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Elias.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 RELAÇÃO CRÉDIT0-PIB NO BRASIL: HISTÓRICO E COMPARAÇÃO INTERNACIONAL</w:t>
      </w:r>
      <w:r>
        <w:rPr>
          <w:rFonts w:ascii="Times New Roman" w:eastAsia="Times New Roman" w:hAnsi="Times New Roman" w:cs="Times New Roman"/>
          <w:sz w:val="22"/>
          <w:szCs w:val="22"/>
        </w:rPr>
        <w:t>. Brasil, 2021. Disponível em: &lt;https://www.linkedin.com/pulse/rela%C3%A7%C3%A3o-cr%C3%A9dito-pib-brasil-hist%C3%B3rico-e-compara%C3%A7%C3%A3o-elias-sfeir/?originalSubdomain=pt&gt;. Acesso em: 17 de dezembro de 2023.</w:t>
      </w:r>
    </w:p>
    <w:p w14:paraId="7D5C8484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[34]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MAPA DA INADIMPLÊNCIA E NEGOCIAÇÃO DE DÍVIDAS DO BRASIL</w:t>
      </w:r>
      <w:r>
        <w:rPr>
          <w:rFonts w:ascii="Times New Roman" w:eastAsia="Times New Roman" w:hAnsi="Times New Roman" w:cs="Times New Roman"/>
          <w:sz w:val="22"/>
          <w:szCs w:val="22"/>
        </w:rPr>
        <w:t>. Serasa Limpa Nome, Brasil, novembro 2023. Disponível em: &lt;https://www.serasa.com.br/limpa-nome-online/blog/mapa-da-inadimplencia-e-renogociacao-de-dividas-no-brasil/&gt;. Acesso em: 17 de dezembro de 2023.</w:t>
      </w:r>
    </w:p>
    <w:p w14:paraId="6154AC1E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[35]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POLÍTICA DE CRÉDITO: VEJA TUDO O QUE VOCÊ PRECISA SABER SOBRE O ASSUNTO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Serasa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Experian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Brasil, novembro 2021. Disponível em: &lt;https://www.serasaexperian.com.br/conteudos/credito/politica-de-credito-veja-tudo-o-que-voce-precisa-saber-sobre-o-assunto/&gt;. Acesso em: 19 de janeiro de 2024.</w:t>
      </w:r>
    </w:p>
    <w:p w14:paraId="085BF7F5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B442B8C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[36]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DESCUBRA AQUI O QUE É A POLÍTICA DE CRÉDITO E COMO ELABORAR UMA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Serasa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Experian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Brasil, julho 2022. Disponível em: &lt;https://www.serasaexperian.com.br/blog-pme/descubra-aqui-o-que-e-a-politica-de-credito-e-como-elaborar-uma/&gt;. Acesso em: 25 de janeiro de 2024.</w:t>
      </w:r>
    </w:p>
    <w:p w14:paraId="114786E2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[37]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POLÍTICA DE CRÉDITO: O QUE É, QUAIS SÃO AS FASES E A IMPORTÂNCIA PARA O SEU NEGÓCIO</w:t>
      </w:r>
      <w:r>
        <w:rPr>
          <w:rFonts w:ascii="Times New Roman" w:eastAsia="Times New Roman" w:hAnsi="Times New Roman" w:cs="Times New Roman"/>
          <w:sz w:val="22"/>
          <w:szCs w:val="22"/>
        </w:rPr>
        <w:t>. Boa Vista, Brasil, novembro 2022. Disponível em: &lt;https://www.boavistaservicos.com.br/blog/destaque/o-que-e-politica-de-credito/&gt;. Acesso em: 25 de janeiro de 2024.</w:t>
      </w:r>
    </w:p>
    <w:p w14:paraId="000E4A99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[38] Castro, Jane Simões de.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ESTUDO COMPARATIVO ENTRE METODOLOGIAS DE APRENDIZADO DE MÁQUINA E HÍBRIDAS APLICADAS A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>. Tese (Mestrado em Administração) – FECAP, Brasil, 2022. Disponível em: &lt; http://tede.fecap.br:8080/handle/123456789/818&gt;. Acesso em: 31 de janeiro de 2024.</w:t>
      </w:r>
    </w:p>
    <w:p w14:paraId="3F506F6D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[39]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Lukosiunas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Andreza.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APLICAÇÃO DE TÉCNICAS DE MACHINE LEARNING EM MODELOS DE ESCORE DE CRÉDITO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Tese (Mestrado em Economia) – INSPER, Brasil, 2018. </w:t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Disponível em: &lt;https://repositorio.insper.edu.br/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handle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/11224/2573&gt;. Acesso em: 31 de janeiro de 2024.</w:t>
      </w:r>
    </w:p>
    <w:p w14:paraId="0BCF8A02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[40] Silva,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Danjiel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de Oliveira.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OTIMIZAÇÃO DE HIPER-PARÂMETROS DE ALGORITMOS DE MACHINE LEARNING APLICADO NO CONTEXTO DE ANÁLISE DE RISCO DE CRÉDITO</w:t>
      </w:r>
      <w:r>
        <w:rPr>
          <w:rFonts w:ascii="Times New Roman" w:eastAsia="Times New Roman" w:hAnsi="Times New Roman" w:cs="Times New Roman"/>
          <w:sz w:val="22"/>
          <w:szCs w:val="22"/>
        </w:rPr>
        <w:t>. Trabalho (Especialização em Ciência de Dados) – Universidade Tecnológica Federal do Paraná, Brasil, 2022. Disponível em: &lt; http://repositorio.utfpr.edu.br/jspui/handle/1/31719&gt;. Acesso em: 31 de janeiro de 2024.</w:t>
      </w:r>
    </w:p>
    <w:p w14:paraId="33EE34EF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[41] Araújo, João Paulo Bezerra.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INTERPRETABILIDADE DE MODELOS DE MACHINE LEARNING: APLICAÇÃO NO MERCADO DE CRÉDITO</w:t>
      </w:r>
      <w:r>
        <w:rPr>
          <w:rFonts w:ascii="Times New Roman" w:eastAsia="Times New Roman" w:hAnsi="Times New Roman" w:cs="Times New Roman"/>
          <w:sz w:val="22"/>
          <w:szCs w:val="22"/>
        </w:rPr>
        <w:t>. Trabalho de Conclusão de Curso (Bacharel em Engenharia Elétrica) – Universidade Federal do Ceará, Brasil, 2020. Disponível em: &lt;http://repositorio.ufc.br/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handle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riufc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/61901&gt;. Acesso em: 31 de janeiro de 2024.</w:t>
      </w:r>
    </w:p>
    <w:p w14:paraId="5471963B" w14:textId="77777777" w:rsidR="0011075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[42] Almeida, Gustavo Durães.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MODELAGEM DE RISCO DE CRÉDITO VIA LSTM</w:t>
      </w:r>
      <w:r>
        <w:rPr>
          <w:rFonts w:ascii="Times New Roman" w:eastAsia="Times New Roman" w:hAnsi="Times New Roman" w:cs="Times New Roman"/>
          <w:sz w:val="22"/>
          <w:szCs w:val="22"/>
        </w:rPr>
        <w:t>. Tese (Mestrado em Estatística) – Universidade de Brasília, Brasil, 2021. Disponível em: &lt;http://repositorio2.unb.br/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jspui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handle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/10482/42580&gt;. Acesso em: 31 de janeiro de 2024.</w:t>
      </w:r>
    </w:p>
    <w:p w14:paraId="249D345F" w14:textId="77777777" w:rsidR="00110758" w:rsidRDefault="0011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</w:rPr>
      </w:pPr>
    </w:p>
    <w:sectPr w:rsidR="00110758">
      <w:type w:val="continuous"/>
      <w:pgSz w:w="11906" w:h="16838"/>
      <w:pgMar w:top="1134" w:right="964" w:bottom="1134" w:left="964" w:header="709" w:footer="709" w:gutter="0"/>
      <w:cols w:num="2" w:space="720" w:equalWidth="0">
        <w:col w:w="4705" w:space="567"/>
        <w:col w:w="470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6E1D"/>
    <w:multiLevelType w:val="multilevel"/>
    <w:tmpl w:val="5442C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5040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58"/>
    <w:rsid w:val="00110758"/>
    <w:rsid w:val="00203196"/>
    <w:rsid w:val="00282769"/>
    <w:rsid w:val="00456A15"/>
    <w:rsid w:val="00BD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063F"/>
  <w15:docId w15:val="{8758BDFF-7447-4FA0-80BC-C12D03F8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widowControl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widowControl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ldenoro.botura@unesp.b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leonardo.vargas@unesp.b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5757</Words>
  <Characters>31093</Characters>
  <Application>Microsoft Office Word</Application>
  <DocSecurity>0</DocSecurity>
  <Lines>259</Lines>
  <Paragraphs>73</Paragraphs>
  <ScaleCrop>false</ScaleCrop>
  <Company/>
  <LinksUpToDate>false</LinksUpToDate>
  <CharactersWithSpaces>36777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Vargas</cp:lastModifiedBy>
  <cp:revision>3</cp:revision>
  <dcterms:created xsi:type="dcterms:W3CDTF">2024-02-06T02:23:00Z</dcterms:created>
  <dcterms:modified xsi:type="dcterms:W3CDTF">2024-02-06T02:24:00Z</dcterms:modified>
</cp:coreProperties>
</file>