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A5FA8"/>
          <w:sz w:val="34"/>
        </w:rPr>
        <w:t>Independent Facilitator Services Agreement</w:t>
      </w:r>
    </w:p>
    <w:p>
      <w:r>
        <w:rPr>
          <w:color w:val="6B7280"/>
          <w:sz w:val="19"/>
        </w:rPr>
        <w:t>California Self-Determination Program (SDP) · Template — customize before use · Not legal advice: consider attorney review</w:t>
      </w:r>
    </w:p>
    <w:p/>
    <w:p>
      <w:pPr>
        <w:pStyle w:val="Heading1"/>
      </w:pPr>
      <w:r>
        <w:t>1. Parties and Effective Date</w:t>
      </w:r>
    </w:p>
    <w:p>
      <w:r>
        <w:rPr>
          <w:b/>
        </w:rPr>
        <w:t xml:space="preserve">Independent Facilitator (IF): </w:t>
      </w:r>
      <w:r>
        <w:t>____________________________________________________________</w:t>
      </w:r>
    </w:p>
    <w:p>
      <w:r>
        <w:rPr>
          <w:b/>
        </w:rPr>
        <w:t xml:space="preserve">IF phone / email: </w:t>
      </w:r>
      <w:r>
        <w:t>____________________________________________________________</w:t>
      </w:r>
    </w:p>
    <w:p>
      <w:r>
        <w:rPr>
          <w:b/>
        </w:rPr>
        <w:t xml:space="preserve">Participant: </w:t>
      </w:r>
      <w:r>
        <w:t>____________________________________________________________</w:t>
      </w:r>
    </w:p>
    <w:p>
      <w:r>
        <w:rPr>
          <w:b/>
        </w:rPr>
        <w:t xml:space="preserve">Authorized representative (if any): </w:t>
      </w:r>
      <w:r>
        <w:t>____________________________________________________________</w:t>
      </w:r>
    </w:p>
    <w:p>
      <w:r>
        <w:rPr>
          <w:b/>
        </w:rPr>
        <w:t xml:space="preserve">Regional center / Service coordinator: </w:t>
      </w:r>
      <w:r>
        <w:t>____________________________________________________________</w:t>
      </w:r>
    </w:p>
    <w:p>
      <w:r>
        <w:rPr>
          <w:b/>
        </w:rPr>
        <w:t xml:space="preserve">Effective date: </w:t>
      </w:r>
      <w:r>
        <w:t>____________________________________________________________</w:t>
      </w:r>
    </w:p>
    <w:p>
      <w:r>
        <w:rPr>
          <w:b/>
        </w:rPr>
        <w:t xml:space="preserve">End date / plan year: </w:t>
      </w:r>
      <w:r>
        <w:t>________________________________________</w:t>
      </w:r>
    </w:p>
    <w:p>
      <w:pPr>
        <w:pStyle w:val="Heading1"/>
      </w:pPr>
      <w:r>
        <w:t>2. Role of the Independent Facilitator</w:t>
      </w:r>
    </w:p>
    <w:p>
      <w:r>
        <w:t>Per Welfare and Institutions Code section 4685.8(c)(2), the Independent Facilitator is selected and directed by the participant and may assist the participant in: making informed decisions about the individual budget; locating, accessing, and coordinating services and supports consistent with the IPP; identifying immediate and long-term needs; developing options to meet those needs; leading, participating, or advocating in the person-centered planning process and development of the IPP; and obtaining identified services and supports.</w:t>
      </w:r>
    </w:p>
    <w:p>
      <w:pPr>
        <w:pStyle w:val="Heading2"/>
      </w:pPr>
      <w:r>
        <w:t>Conflict-of-interest attestation</w:t>
      </w:r>
    </w:p>
    <w:p>
      <w:r>
        <w:t>The IF attests that they (a) do not otherwise provide services to the participant under the IPP, and (b) are not employed by any person or entity providing services to the participant. The IF has completed training in self-determination principles and person-centered planning at their own cost.</w:t>
      </w:r>
    </w:p>
    <w:p>
      <w:r>
        <w:rPr>
          <w:b/>
        </w:rPr>
        <w:t xml:space="preserve">IF initials: </w:t>
      </w:r>
      <w:r>
        <w:t>_______________</w:t>
      </w:r>
    </w:p>
    <w:p>
      <w:pPr>
        <w:pStyle w:val="Heading1"/>
      </w:pPr>
      <w:r>
        <w:t>3. Scope of Services (select all that apply)</w:t>
      </w:r>
    </w:p>
    <w:p>
      <w:pPr>
        <w:pStyle w:val="Heading2"/>
      </w:pPr>
      <w:r>
        <w:t>Phase 1 — Pre-enrollment (paid by the regional center, outside the individual budget)</w:t>
      </w:r>
    </w:p>
    <w:p>
      <w:r>
        <w:rPr>
          <w:i/>
          <w:color w:val="6B7280"/>
          <w:sz w:val="18"/>
        </w:rPr>
        <w:t>Per DDS guidance (July 2, 2024): Initial PCP paid up to $1,000 via service code 024 (purchase reimbursement) or a vendored PCP provider; General Self-Directed Supports authorized up to 40 hours at the DDS-set hourly rate via a vendored provider (code 099) or Participant-Directed Services (code 099 sub-code PDS, paid through an FMS). Higher amounts/hours possible case-by-case (limited natural supports, language other than English, higher support needs).</w:t>
      </w:r>
    </w:p>
    <w:p>
      <w:r>
        <w:t>☐ Initial Person-Centered Plan development — facilitation, meetings, and written PCP document (up to $1,000 unless exception approved)</w:t>
      </w:r>
    </w:p>
    <w:p>
      <w:r>
        <w:t>☐ General Self-Directed Supports — coaching/training for enrollment: orientation follow-up, budget development support, spending plan development, FMS selection (estimated ____ of max 40 hours)</w:t>
      </w:r>
    </w:p>
    <w:p>
      <w:r>
        <w:t>☐ Written proposal of transition services and estimated hours provided to the IPP team (required by directive)</w:t>
      </w:r>
    </w:p>
    <w:p>
      <w:pPr>
        <w:pStyle w:val="Heading2"/>
      </w:pPr>
      <w:r>
        <w:t>Phase 2 — Post-enrollment, ongoing facilitation (paid from the participant's individual budget, service code 340)</w:t>
      </w:r>
    </w:p>
    <w:p>
      <w:r>
        <w:rPr>
          <w:i/>
          <w:color w:val="6B7280"/>
          <w:sz w:val="18"/>
        </w:rPr>
        <w:t>WIC 4685.8(c)(2): the cost of the IF, if any, is paid by the participant out of the individual budget. Include this line in the spending plan. The budget is not increased to fund the IF.</w:t>
      </w:r>
    </w:p>
    <w:p>
      <w:r>
        <w:t>☐ TIER A — Essentials (est. 20–25 hrs/yr): monthly budget-vs-spending review from FMS statements; brief monthly client update; annual IPP/renewal preparation.</w:t>
      </w:r>
    </w:p>
    <w:p>
      <w:r>
        <w:t>☐ TIER B — Standard (est. 35–45 hrs/yr): Tier A plus quarterly planning check-ins, spending plan revisions (up to 2/yr), vendor/staffing coordination support as needed.</w:t>
      </w:r>
    </w:p>
    <w:p>
      <w:r>
        <w:t>☐ TIER C — Comprehensive (est. 60–75 hrs/yr): Tier B plus monthly team coordination, unlimited routine revisions, hiring support (job posts, interviews, onboarding with FMS), attendance at RC meetings, crisis rescheduling of supports.</w:t>
      </w:r>
    </w:p>
    <w:p>
      <w:r>
        <w:t>☐ HOURLY / À LA CARTE: services as requested, billed hourly against a not-to-exceed authorization of ____ hours.</w:t>
      </w:r>
    </w:p>
    <w:p>
      <w:pPr>
        <w:pStyle w:val="Heading2"/>
      </w:pPr>
      <w:r>
        <w:t>Excluded services</w:t>
      </w:r>
    </w:p>
    <w:p>
      <w:r>
        <w:t>The IF does not provide direct care, transportation of the participant, financial management (FMS role), legal or medical advice, or any service the IF would separately bill under the IPP (conflict of interest).</w:t>
      </w:r>
    </w:p>
    <w:p>
      <w:pPr>
        <w:pStyle w:val="Heading1"/>
      </w:pPr>
      <w:r>
        <w:t>4. Hours &amp; Budget Formula</w:t>
      </w:r>
    </w:p>
    <w:p>
      <w:r>
        <w:t>Estimated annual hours are calculated as follows (see companion Excel calculator):</w:t>
      </w:r>
    </w:p>
    <w:tbl>
      <w:tblPr>
        <w:tblStyle w:val="TableGrid"/>
        <w:tblW w:type="auto" w:w="0"/>
        <w:tblLook w:firstColumn="1" w:firstRow="1" w:lastColumn="0" w:lastRow="0" w:noHBand="0" w:noVBand="1" w:val="04A0"/>
      </w:tblPr>
      <w:tblGrid>
        <w:gridCol w:w="2880"/>
        <w:gridCol w:w="2880"/>
        <w:gridCol w:w="2880"/>
      </w:tblGrid>
      <w:tr>
        <w:tc>
          <w:tcPr>
            <w:tcW w:type="dxa" w:w="3168"/>
          </w:tcPr>
          <w:p>
            <w:r>
              <w:rPr>
                <w:b/>
                <w:sz w:val="19"/>
              </w:rPr>
              <w:t>Component</w:t>
            </w:r>
          </w:p>
        </w:tc>
        <w:tc>
          <w:tcPr>
            <w:tcW w:type="dxa" w:w="6048"/>
          </w:tcPr>
          <w:p>
            <w:r>
              <w:rPr>
                <w:b/>
                <w:sz w:val="19"/>
              </w:rPr>
              <w:t>How to estimate</w:t>
            </w:r>
          </w:p>
        </w:tc>
        <w:tc>
          <w:tcPr>
            <w:tcW w:type="dxa" w:w="1440"/>
          </w:tcPr>
          <w:p>
            <w:r>
              <w:rPr>
                <w:b/>
                <w:sz w:val="19"/>
              </w:rPr>
              <w:t>Hours</w:t>
            </w:r>
          </w:p>
        </w:tc>
      </w:tr>
      <w:tr>
        <w:tc>
          <w:tcPr>
            <w:tcW w:type="dxa" w:w="3168"/>
          </w:tcPr>
          <w:p>
            <w:r>
              <w:rPr>
                <w:sz w:val="19"/>
              </w:rPr>
              <w:t>Monthly base (monitoring + update)</w:t>
            </w:r>
          </w:p>
        </w:tc>
        <w:tc>
          <w:tcPr>
            <w:tcW w:type="dxa" w:w="6048"/>
          </w:tcPr>
          <w:p>
            <w:r>
              <w:rPr>
                <w:sz w:val="19"/>
              </w:rPr>
              <w:t>Tier A: 1.5 · Tier B: 2.5 · Tier C: 4.5 hrs × 12 months</w:t>
            </w:r>
          </w:p>
        </w:tc>
        <w:tc>
          <w:tcPr>
            <w:tcW w:type="dxa" w:w="1440"/>
          </w:tcPr>
          <w:p>
            <w:r>
              <w:rPr>
                <w:sz w:val="19"/>
              </w:rPr>
              <w:t>____</w:t>
            </w:r>
          </w:p>
        </w:tc>
      </w:tr>
      <w:tr>
        <w:tc>
          <w:tcPr>
            <w:tcW w:type="dxa" w:w="3168"/>
          </w:tcPr>
          <w:p>
            <w:r>
              <w:rPr>
                <w:sz w:val="19"/>
              </w:rPr>
              <w:t>Quarterly check-ins</w:t>
            </w:r>
          </w:p>
        </w:tc>
        <w:tc>
          <w:tcPr>
            <w:tcW w:type="dxa" w:w="6048"/>
          </w:tcPr>
          <w:p>
            <w:r>
              <w:rPr>
                <w:sz w:val="19"/>
              </w:rPr>
              <w:t>1.5 hrs × 4 (Tiers B/C)</w:t>
            </w:r>
          </w:p>
        </w:tc>
        <w:tc>
          <w:tcPr>
            <w:tcW w:type="dxa" w:w="1440"/>
          </w:tcPr>
          <w:p>
            <w:r>
              <w:rPr>
                <w:sz w:val="19"/>
              </w:rPr>
              <w:t>____</w:t>
            </w:r>
          </w:p>
        </w:tc>
      </w:tr>
      <w:tr>
        <w:tc>
          <w:tcPr>
            <w:tcW w:type="dxa" w:w="3168"/>
          </w:tcPr>
          <w:p>
            <w:r>
              <w:rPr>
                <w:sz w:val="19"/>
              </w:rPr>
              <w:t>Annual IPP / renewal preparation</w:t>
            </w:r>
          </w:p>
        </w:tc>
        <w:tc>
          <w:tcPr>
            <w:tcW w:type="dxa" w:w="6048"/>
          </w:tcPr>
          <w:p>
            <w:r>
              <w:rPr>
                <w:sz w:val="19"/>
              </w:rPr>
              <w:t>4–8 hrs</w:t>
            </w:r>
          </w:p>
        </w:tc>
        <w:tc>
          <w:tcPr>
            <w:tcW w:type="dxa" w:w="1440"/>
          </w:tcPr>
          <w:p>
            <w:r>
              <w:rPr>
                <w:sz w:val="19"/>
              </w:rPr>
              <w:t>____</w:t>
            </w:r>
          </w:p>
        </w:tc>
      </w:tr>
      <w:tr>
        <w:tc>
          <w:tcPr>
            <w:tcW w:type="dxa" w:w="3168"/>
          </w:tcPr>
          <w:p>
            <w:r>
              <w:rPr>
                <w:sz w:val="19"/>
              </w:rPr>
              <w:t>Spending plan revisions</w:t>
            </w:r>
          </w:p>
        </w:tc>
        <w:tc>
          <w:tcPr>
            <w:tcW w:type="dxa" w:w="6048"/>
          </w:tcPr>
          <w:p>
            <w:r>
              <w:rPr>
                <w:sz w:val="19"/>
              </w:rPr>
              <w:t>2 hrs × expected number per year</w:t>
            </w:r>
          </w:p>
        </w:tc>
        <w:tc>
          <w:tcPr>
            <w:tcW w:type="dxa" w:w="1440"/>
          </w:tcPr>
          <w:p>
            <w:r>
              <w:rPr>
                <w:sz w:val="19"/>
              </w:rPr>
              <w:t>____</w:t>
            </w:r>
          </w:p>
        </w:tc>
      </w:tr>
      <w:tr>
        <w:tc>
          <w:tcPr>
            <w:tcW w:type="dxa" w:w="3168"/>
          </w:tcPr>
          <w:p>
            <w:r>
              <w:rPr>
                <w:sz w:val="19"/>
              </w:rPr>
              <w:t>First-year startup (one-time)</w:t>
            </w:r>
          </w:p>
        </w:tc>
        <w:tc>
          <w:tcPr>
            <w:tcW w:type="dxa" w:w="6048"/>
          </w:tcPr>
          <w:p>
            <w:r>
              <w:rPr>
                <w:sz w:val="19"/>
              </w:rPr>
              <w:t>6–10 hrs (vendor setup, FMS onboarding)</w:t>
            </w:r>
          </w:p>
        </w:tc>
        <w:tc>
          <w:tcPr>
            <w:tcW w:type="dxa" w:w="1440"/>
          </w:tcPr>
          <w:p>
            <w:r>
              <w:rPr>
                <w:sz w:val="19"/>
              </w:rPr>
              <w:t>____</w:t>
            </w:r>
          </w:p>
        </w:tc>
      </w:tr>
      <w:tr>
        <w:tc>
          <w:tcPr>
            <w:tcW w:type="dxa" w:w="3168"/>
          </w:tcPr>
          <w:p>
            <w:r>
              <w:rPr>
                <w:sz w:val="19"/>
              </w:rPr>
              <w:t>Subtotal</w:t>
            </w:r>
          </w:p>
        </w:tc>
        <w:tc>
          <w:tcPr>
            <w:tcW w:type="dxa" w:w="6048"/>
          </w:tcPr>
          <w:p>
            <w:r>
              <w:rPr>
                <w:sz w:val="19"/>
              </w:rPr>
              <w:t>sum of above</w:t>
            </w:r>
          </w:p>
        </w:tc>
        <w:tc>
          <w:tcPr>
            <w:tcW w:type="dxa" w:w="1440"/>
          </w:tcPr>
          <w:p>
            <w:r>
              <w:rPr>
                <w:sz w:val="19"/>
              </w:rPr>
              <w:t>____</w:t>
            </w:r>
          </w:p>
        </w:tc>
      </w:tr>
      <w:tr>
        <w:tc>
          <w:tcPr>
            <w:tcW w:type="dxa" w:w="3168"/>
          </w:tcPr>
          <w:p>
            <w:r>
              <w:rPr>
                <w:sz w:val="19"/>
              </w:rPr>
              <w:t>Complexity factor</w:t>
            </w:r>
          </w:p>
        </w:tc>
        <w:tc>
          <w:tcPr>
            <w:tcW w:type="dxa" w:w="6048"/>
          </w:tcPr>
          <w:p>
            <w:r>
              <w:rPr>
                <w:sz w:val="19"/>
              </w:rPr>
              <w:t>×1.0 typical · ×1.25 limited natural supports or non-English · ×1.5 high support needs</w:t>
            </w:r>
          </w:p>
        </w:tc>
        <w:tc>
          <w:tcPr>
            <w:tcW w:type="dxa" w:w="1440"/>
          </w:tcPr>
          <w:p>
            <w:r>
              <w:rPr>
                <w:sz w:val="19"/>
              </w:rPr>
              <w:t>×____</w:t>
            </w:r>
          </w:p>
        </w:tc>
      </w:tr>
      <w:tr>
        <w:tc>
          <w:tcPr>
            <w:tcW w:type="dxa" w:w="3168"/>
          </w:tcPr>
          <w:p>
            <w:r>
              <w:rPr>
                <w:sz w:val="19"/>
              </w:rPr>
              <w:t>TOTAL ANNUAL HOURS</w:t>
            </w:r>
          </w:p>
        </w:tc>
        <w:tc>
          <w:tcPr>
            <w:tcW w:type="dxa" w:w="6048"/>
          </w:tcPr>
          <w:p>
            <w:r>
              <w:rPr>
                <w:sz w:val="19"/>
              </w:rPr>
              <w:t>subtotal × factor</w:t>
            </w:r>
          </w:p>
        </w:tc>
        <w:tc>
          <w:tcPr>
            <w:tcW w:type="dxa" w:w="1440"/>
          </w:tcPr>
          <w:p>
            <w:r>
              <w:rPr>
                <w:sz w:val="19"/>
              </w:rPr>
              <w:t>____</w:t>
            </w:r>
          </w:p>
        </w:tc>
      </w:tr>
    </w:tbl>
    <w:p/>
    <w:p>
      <w:r>
        <w:t>Annual budget amount = total hours × hourly rate. Spending plan entry (code 340) = annual amount, distributed monthly (annual ÷ 12) or matched to expected timing of work.</w:t>
      </w:r>
    </w:p>
    <w:p>
      <w:pPr>
        <w:pStyle w:val="Heading1"/>
      </w:pPr>
      <w:r>
        <w:t>5. Compensation and Billing</w:t>
      </w:r>
    </w:p>
    <w:p>
      <w:r>
        <w:rPr>
          <w:b/>
        </w:rPr>
        <w:t xml:space="preserve">Hourly rate (Phase 2): </w:t>
      </w:r>
      <w:r>
        <w:t>_________________________</w:t>
      </w:r>
    </w:p>
    <w:p>
      <w:r>
        <w:rPr>
          <w:i/>
          <w:color w:val="6B7280"/>
          <w:sz w:val="18"/>
        </w:rPr>
        <w:t>Phase 1 rates: Initial PCP up to $1,000 total; General SD Supports at the DDS-set rate — confirm the current rate schedule with the regional center/FMS.</w:t>
      </w:r>
    </w:p>
    <w:p>
      <w:r>
        <w:t>Phase 1 invoices are submitted to the regional center (code 024) or FMS (code 099-PDS). Phase 2 invoices are submitted monthly to the FMS against the spending plan authorization. Every invoice includes: (1) hourly billing rate; (2) date each service/task was provided; (3) description of each service/task; (4) time spent per task and prorated cost. The IF will not collect any additional payment from the participant or family for Phase 1 services beyond the RC/FMS payment.</w:t>
      </w:r>
    </w:p>
    <w:p>
      <w:pPr>
        <w:pStyle w:val="Heading1"/>
      </w:pPr>
      <w:r>
        <w:t>6. Terms</w:t>
      </w:r>
    </w:p>
    <w:p>
      <w:pPr>
        <w:pStyle w:val="ListBullet"/>
      </w:pPr>
      <w:r>
        <w:t>Term &amp; termination: either party may end this agreement with ____ days' written notice; the participant may change facilitators at any time.</w:t>
      </w:r>
    </w:p>
    <w:p>
      <w:pPr>
        <w:pStyle w:val="ListBullet"/>
      </w:pPr>
      <w:r>
        <w:t>Confidentiality: the IF will protect all personal, medical, and financial information and share it only with the participant's consent or as required by law.</w:t>
      </w:r>
    </w:p>
    <w:p>
      <w:pPr>
        <w:pStyle w:val="ListBullet"/>
      </w:pPr>
      <w:r>
        <w:t>Independent contractor: the IF is not an employee of the participant, family, FMS, or regional center, and carries their own insurance and taxes.</w:t>
      </w:r>
    </w:p>
    <w:p>
      <w:pPr>
        <w:pStyle w:val="ListBullet"/>
      </w:pPr>
      <w:r>
        <w:t>Records: the IF keeps time logs and provides copies of all documents produced (PCP, spending plans, reports) to the participant.</w:t>
      </w:r>
    </w:p>
    <w:p>
      <w:pPr>
        <w:pStyle w:val="ListBullet"/>
      </w:pPr>
      <w:r>
        <w:t>Changes to this agreement must be in writing and signed by both parties.</w:t>
      </w:r>
    </w:p>
    <w:p>
      <w:pPr>
        <w:pStyle w:val="Heading1"/>
      </w:pPr>
      <w:r>
        <w:t>7. Signatures</w:t>
      </w:r>
    </w:p>
    <w:tbl>
      <w:tblPr>
        <w:tblStyle w:val="TableGrid"/>
        <w:tblW w:type="auto" w:w="0"/>
        <w:tblLook w:firstColumn="1" w:firstRow="1" w:lastColumn="0" w:lastRow="0" w:noHBand="0" w:noVBand="1" w:val="04A0"/>
      </w:tblPr>
      <w:tblGrid>
        <w:gridCol w:w="2160"/>
        <w:gridCol w:w="2160"/>
        <w:gridCol w:w="2160"/>
        <w:gridCol w:w="2160"/>
      </w:tblGrid>
      <w:tr>
        <w:tc>
          <w:tcPr>
            <w:tcW w:type="dxa" w:w="2592"/>
          </w:tcPr>
          <w:p>
            <w:r>
              <w:rPr>
                <w:b/>
                <w:sz w:val="19"/>
              </w:rPr>
            </w:r>
          </w:p>
        </w:tc>
        <w:tc>
          <w:tcPr>
            <w:tcW w:type="dxa" w:w="3744"/>
          </w:tcPr>
          <w:p>
            <w:r>
              <w:rPr>
                <w:b/>
                <w:sz w:val="19"/>
              </w:rPr>
              <w:t>Signature</w:t>
            </w:r>
          </w:p>
        </w:tc>
        <w:tc>
          <w:tcPr>
            <w:tcW w:type="dxa" w:w="3168"/>
          </w:tcPr>
          <w:p>
            <w:r>
              <w:rPr>
                <w:b/>
                <w:sz w:val="19"/>
              </w:rPr>
              <w:t>Print name</w:t>
            </w:r>
          </w:p>
        </w:tc>
        <w:tc>
          <w:tcPr>
            <w:tcW w:type="dxa" w:w="1440"/>
          </w:tcPr>
          <w:p>
            <w:r>
              <w:rPr>
                <w:b/>
                <w:sz w:val="19"/>
              </w:rPr>
              <w:t>Date</w:t>
            </w:r>
          </w:p>
        </w:tc>
      </w:tr>
      <w:tr>
        <w:tc>
          <w:tcPr>
            <w:tcW w:type="dxa" w:w="2592"/>
          </w:tcPr>
          <w:p>
            <w:r>
              <w:rPr>
                <w:sz w:val="19"/>
              </w:rPr>
              <w:t>Participant</w:t>
            </w:r>
          </w:p>
        </w:tc>
        <w:tc>
          <w:tcPr>
            <w:tcW w:type="dxa" w:w="3744"/>
          </w:tcPr>
          <w:p>
            <w:r>
              <w:rPr>
                <w:sz w:val="19"/>
              </w:rPr>
            </w:r>
          </w:p>
        </w:tc>
        <w:tc>
          <w:tcPr>
            <w:tcW w:type="dxa" w:w="3168"/>
          </w:tcPr>
          <w:p>
            <w:r>
              <w:rPr>
                <w:sz w:val="19"/>
              </w:rPr>
            </w:r>
          </w:p>
        </w:tc>
        <w:tc>
          <w:tcPr>
            <w:tcW w:type="dxa" w:w="1440"/>
          </w:tcPr>
          <w:p>
            <w:r>
              <w:rPr>
                <w:sz w:val="19"/>
              </w:rPr>
            </w:r>
          </w:p>
        </w:tc>
      </w:tr>
      <w:tr>
        <w:tc>
          <w:tcPr>
            <w:tcW w:type="dxa" w:w="2592"/>
          </w:tcPr>
          <w:p>
            <w:r>
              <w:rPr>
                <w:sz w:val="19"/>
              </w:rPr>
              <w:t>Authorized representative</w:t>
            </w:r>
          </w:p>
        </w:tc>
        <w:tc>
          <w:tcPr>
            <w:tcW w:type="dxa" w:w="3744"/>
          </w:tcPr>
          <w:p>
            <w:r>
              <w:rPr>
                <w:sz w:val="19"/>
              </w:rPr>
            </w:r>
          </w:p>
        </w:tc>
        <w:tc>
          <w:tcPr>
            <w:tcW w:type="dxa" w:w="3168"/>
          </w:tcPr>
          <w:p>
            <w:r>
              <w:rPr>
                <w:sz w:val="19"/>
              </w:rPr>
            </w:r>
          </w:p>
        </w:tc>
        <w:tc>
          <w:tcPr>
            <w:tcW w:type="dxa" w:w="1440"/>
          </w:tcPr>
          <w:p>
            <w:r>
              <w:rPr>
                <w:sz w:val="19"/>
              </w:rPr>
            </w:r>
          </w:p>
        </w:tc>
      </w:tr>
      <w:tr>
        <w:tc>
          <w:tcPr>
            <w:tcW w:type="dxa" w:w="2592"/>
          </w:tcPr>
          <w:p>
            <w:r>
              <w:rPr>
                <w:sz w:val="19"/>
              </w:rPr>
              <w:t>Independent Facilitator</w:t>
            </w:r>
          </w:p>
        </w:tc>
        <w:tc>
          <w:tcPr>
            <w:tcW w:type="dxa" w:w="3744"/>
          </w:tcPr>
          <w:p>
            <w:r>
              <w:rPr>
                <w:sz w:val="19"/>
              </w:rPr>
            </w:r>
          </w:p>
        </w:tc>
        <w:tc>
          <w:tcPr>
            <w:tcW w:type="dxa" w:w="3168"/>
          </w:tcPr>
          <w:p>
            <w:r>
              <w:rPr>
                <w:sz w:val="19"/>
              </w:rPr>
            </w:r>
          </w:p>
        </w:tc>
        <w:tc>
          <w:tcPr>
            <w:tcW w:type="dxa" w:w="1440"/>
          </w:tcPr>
          <w:p>
            <w:r>
              <w:rPr>
                <w:sz w:val="19"/>
              </w:rPr>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5FA8"/>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A5FA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A5FA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