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9730DC-03C2-425E-901B-B55FE72CE31A}"/>
</file>

<file path=customXml/itemProps2.xml><?xml version="1.0" encoding="utf-8"?>
<ds:datastoreItem xmlns:ds="http://schemas.openxmlformats.org/officeDocument/2006/customXml" ds:itemID="{62BCB92F-A30D-4DAB-8120-B4E7C07B74BA}"/>
</file>

<file path=customXml/itemProps3.xml><?xml version="1.0" encoding="utf-8"?>
<ds:datastoreItem xmlns:ds="http://schemas.openxmlformats.org/officeDocument/2006/customXml" ds:itemID="{E8A5ED83-87CA-4136-A2F8-F31EBBBB389F}"/>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