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DB593" w14:textId="7C480972" w:rsidR="001B7529" w:rsidRDefault="001B7529" w:rsidP="001B7529">
      <w:pPr>
        <w:spacing w:after="240" w:line="240" w:lineRule="auto"/>
        <w:ind w:firstLine="0"/>
        <w:rPr>
          <w:rFonts w:ascii="黑体" w:eastAsia="黑体" w:hAnsi="黑体" w:cs="黑体" w:hint="eastAsia"/>
          <w:sz w:val="30"/>
          <w:szCs w:val="30"/>
        </w:rPr>
      </w:pPr>
      <w:r w:rsidRPr="00BD17CB">
        <w:rPr>
          <w:rFonts w:ascii="楷体" w:eastAsia="楷体" w:hAnsi="楷体" w:hint="eastAsia"/>
          <w:b/>
          <w:bCs/>
          <w:sz w:val="28"/>
          <w:szCs w:val="28"/>
        </w:rPr>
        <w:t>202</w:t>
      </w:r>
      <w:r>
        <w:rPr>
          <w:rFonts w:ascii="楷体" w:eastAsia="楷体" w:hAnsi="楷体" w:hint="eastAsia"/>
          <w:b/>
          <w:bCs/>
          <w:sz w:val="28"/>
          <w:szCs w:val="28"/>
        </w:rPr>
        <w:t>6</w:t>
      </w:r>
      <w:r w:rsidRPr="00BD17CB">
        <w:rPr>
          <w:rFonts w:ascii="楷体" w:eastAsia="楷体" w:hAnsi="楷体" w:hint="eastAsia"/>
          <w:b/>
          <w:bCs/>
          <w:sz w:val="28"/>
          <w:szCs w:val="28"/>
        </w:rPr>
        <w:t>年中国研究生数学建模竞赛</w:t>
      </w:r>
      <w:r>
        <w:rPr>
          <w:rFonts w:ascii="楷体" w:eastAsia="楷体" w:hAnsi="楷体" w:hint="eastAsia"/>
          <w:b/>
          <w:bCs/>
          <w:sz w:val="28"/>
          <w:szCs w:val="28"/>
        </w:rPr>
        <w:t>D</w:t>
      </w:r>
      <w:r w:rsidRPr="00BD17CB">
        <w:rPr>
          <w:rFonts w:ascii="楷体" w:eastAsia="楷体" w:hAnsi="楷体" w:hint="eastAsia"/>
          <w:b/>
          <w:bCs/>
          <w:sz w:val="28"/>
          <w:szCs w:val="28"/>
        </w:rPr>
        <w:t>题</w:t>
      </w:r>
    </w:p>
    <w:p w14:paraId="0C97BC18" w14:textId="262AAC76" w:rsidR="00AD7F71" w:rsidRPr="001B7529" w:rsidRDefault="00000000" w:rsidP="001B7529">
      <w:pPr>
        <w:spacing w:after="240" w:line="240" w:lineRule="auto"/>
        <w:ind w:firstLine="0"/>
        <w:jc w:val="center"/>
        <w:rPr>
          <w:sz w:val="32"/>
          <w:szCs w:val="32"/>
        </w:rPr>
      </w:pPr>
      <w:r w:rsidRPr="001B7529">
        <w:rPr>
          <w:rFonts w:ascii="黑体" w:eastAsia="黑体" w:hAnsi="黑体" w:cs="黑体" w:hint="eastAsia"/>
          <w:sz w:val="32"/>
          <w:szCs w:val="32"/>
        </w:rPr>
        <w:t>山区洪涝灾害下无人机运输与通信协同优化</w:t>
      </w:r>
    </w:p>
    <w:p w14:paraId="34179B7E" w14:textId="77777777" w:rsidR="00AD7F71" w:rsidRDefault="00000000">
      <w:pPr>
        <w:pStyle w:val="1"/>
        <w:spacing w:before="160" w:after="60"/>
        <w:ind w:firstLine="0"/>
        <w:rPr>
          <w:rFonts w:ascii="宋体" w:eastAsia="宋体" w:hAnsi="宋体" w:cs="宋体" w:hint="eastAsia"/>
          <w:szCs w:val="24"/>
        </w:rPr>
      </w:pPr>
      <w:r>
        <w:rPr>
          <w:rFonts w:ascii="宋体" w:eastAsia="宋体" w:hAnsi="宋体" w:cs="宋体" w:hint="eastAsia"/>
          <w:szCs w:val="24"/>
        </w:rPr>
        <w:t>一、问题背景</w:t>
      </w:r>
    </w:p>
    <w:p w14:paraId="08B50226" w14:textId="77777777" w:rsidR="00AD7F71" w:rsidRDefault="00000000">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较小，因而可以作为应急运输的重要补充手段。</w:t>
      </w:r>
    </w:p>
    <w:p w14:paraId="23202953" w14:textId="77777777" w:rsidR="00AD7F71" w:rsidRDefault="00000000">
      <w:r>
        <w:t>2026</w:t>
      </w:r>
      <w:r>
        <w:t>年</w:t>
      </w:r>
      <w:r>
        <w:t>7</w:t>
      </w:r>
      <w:r>
        <w:t>月，受台风</w:t>
      </w:r>
      <w:r>
        <w:t>“</w:t>
      </w:r>
      <w:r>
        <w:t>美莎克</w:t>
      </w:r>
      <w:r>
        <w:t>”</w:t>
      </w:r>
      <w:r>
        <w:t>带来的持续强降雨影响，广西横州市镇龙乡遭遇严重洪涝灾害。新华社记者在镇龙乡的现场报道显示，</w:t>
      </w:r>
      <w:r w:rsidRPr="00C57088">
        <w:rPr>
          <w:highlight w:val="yellow"/>
        </w:rPr>
        <w:t>洪水、山体落石和道路塌方</w:t>
      </w:r>
      <w:r>
        <w:t>从多个方向阻断通行，核心受灾区域一度处于交通中断、通信不畅状态；《新华每日电讯》的后续报道称，镇龙乡曾出现断路、断电、断网，全乡约</w:t>
      </w:r>
      <w:r>
        <w:t>8000</w:t>
      </w:r>
      <w:r>
        <w:t>人受困。救援期间</w:t>
      </w:r>
      <w:r w:rsidRPr="009779E6">
        <w:rPr>
          <w:highlight w:val="yellow"/>
        </w:rPr>
        <w:t>，食品、饮用水和药品</w:t>
      </w:r>
      <w:r>
        <w:t>需要依靠徒步或空中投送进入受灾区域，大型无人机还承担了</w:t>
      </w:r>
      <w:r w:rsidRPr="009779E6">
        <w:rPr>
          <w:highlight w:val="yellow"/>
        </w:rPr>
        <w:t>电力抢修材料</w:t>
      </w:r>
      <w:r>
        <w:t>的运输任务，</w:t>
      </w:r>
      <w:r w:rsidRPr="009779E6">
        <w:rPr>
          <w:highlight w:val="yellow"/>
        </w:rPr>
        <w:t>临时通信设备和应急供电设备</w:t>
      </w:r>
      <w:r>
        <w:t>则被用于逐步恢复灾区联络。这一现实场景表明，应急物资运输和通信保障往往需要在道路受阻、能源受限和信息不完整的条件下协同组织。</w:t>
      </w:r>
    </w:p>
    <w:p w14:paraId="23DE0D80" w14:textId="77777777" w:rsidR="00AD7F71" w:rsidRDefault="00000000">
      <w:r>
        <w:rPr>
          <w:rFonts w:hint="eastAsia"/>
        </w:rPr>
        <w:t>在实际救援过程中，完成物资投送不仅取决于无人机能否</w:t>
      </w:r>
      <w:r w:rsidRPr="009779E6">
        <w:rPr>
          <w:rFonts w:hint="eastAsia"/>
          <w:highlight w:val="yellow"/>
        </w:rPr>
        <w:t>飞抵目标区域</w:t>
      </w:r>
      <w:r>
        <w:rPr>
          <w:rFonts w:hint="eastAsia"/>
        </w:rPr>
        <w:t>，还受到</w:t>
      </w:r>
      <w:r w:rsidRPr="009779E6">
        <w:rPr>
          <w:rFonts w:hint="eastAsia"/>
          <w:color w:val="FF0000"/>
        </w:rPr>
        <w:t>载荷、水平飞行距离、爬升与下降高度、沿线地形净空、能源储备、任务时限和设备周转等多种因素影响</w:t>
      </w:r>
      <w:r>
        <w:rPr>
          <w:rFonts w:hint="eastAsia"/>
        </w:rPr>
        <w:t>。与此同时，运输无人机在爬升、巡航、下降及物资交接的全过程中，需要</w:t>
      </w:r>
      <w:r w:rsidRPr="009779E6">
        <w:rPr>
          <w:rFonts w:hint="eastAsia"/>
          <w:highlight w:val="yellow"/>
        </w:rPr>
        <w:t>持续保持指挥、遥测和交接确认链路</w:t>
      </w:r>
      <w:r>
        <w:rPr>
          <w:rFonts w:hint="eastAsia"/>
        </w:rPr>
        <w:t>。当固定通信设施受损，或山体遮挡导致地面网关无法覆盖完整任务区间时，还需要</w:t>
      </w:r>
      <w:r w:rsidRPr="00831CDA">
        <w:rPr>
          <w:rFonts w:hint="eastAsia"/>
          <w:color w:val="FF0000"/>
        </w:rPr>
        <w:t>空中中继</w:t>
      </w:r>
      <w:r>
        <w:rPr>
          <w:rFonts w:hint="eastAsia"/>
        </w:rPr>
        <w:t>无人机在适当的位置和时段提供临时通信保障。因此，山区洪涝灾害下的物资投送不仅涉及无人机运输，还需要同步考虑通信保障和设备资源的协调使用。</w:t>
      </w:r>
    </w:p>
    <w:p w14:paraId="18B8B1C2" w14:textId="77777777" w:rsidR="00AD7F71" w:rsidRDefault="00000000">
      <w:pPr>
        <w:pStyle w:val="1"/>
        <w:numPr>
          <w:ilvl w:val="0"/>
          <w:numId w:val="1"/>
        </w:numPr>
        <w:spacing w:before="160" w:after="60"/>
        <w:ind w:firstLine="0"/>
        <w:rPr>
          <w:rFonts w:ascii="宋体" w:eastAsia="宋体" w:hAnsi="宋体" w:cs="宋体" w:hint="eastAsia"/>
          <w:szCs w:val="24"/>
        </w:rPr>
      </w:pPr>
      <w:r>
        <w:rPr>
          <w:rFonts w:ascii="宋体" w:eastAsia="宋体" w:hAnsi="宋体" w:cs="宋体" w:hint="eastAsia"/>
          <w:szCs w:val="24"/>
        </w:rPr>
        <w:t>标准测试场景</w:t>
      </w:r>
    </w:p>
    <w:p w14:paraId="0088132E" w14:textId="77777777" w:rsidR="00AD7F71" w:rsidRDefault="00000000">
      <w:r>
        <w:rPr>
          <w:rFonts w:hint="eastAsia"/>
        </w:rPr>
        <w:t>题目以镇龙乡及周边山区为地理背景，设置标准测试场景（真实场景可能略有不同）。附件提供</w:t>
      </w:r>
      <w:r>
        <w:rPr>
          <w:rFonts w:hint="eastAsia"/>
        </w:rPr>
        <w:t>1</w:t>
      </w:r>
      <w:r>
        <w:rPr>
          <w:rFonts w:hint="eastAsia"/>
        </w:rPr>
        <w:t>个临时调度中心、</w:t>
      </w:r>
      <w:r>
        <w:rPr>
          <w:rFonts w:hint="eastAsia"/>
        </w:rPr>
        <w:t>15</w:t>
      </w:r>
      <w:r>
        <w:rPr>
          <w:rFonts w:hint="eastAsia"/>
        </w:rPr>
        <w:t>个服务区和</w:t>
      </w:r>
      <w:r>
        <w:rPr>
          <w:rFonts w:hint="eastAsia"/>
        </w:rPr>
        <w:t>80</w:t>
      </w:r>
      <w:r>
        <w:rPr>
          <w:rFonts w:hint="eastAsia"/>
        </w:rPr>
        <w:t>个不可拆货箱，设置三种运输无人机机型，共配置</w:t>
      </w:r>
      <w:r>
        <w:rPr>
          <w:rFonts w:hint="eastAsia"/>
        </w:rPr>
        <w:t>8</w:t>
      </w:r>
      <w:r>
        <w:rPr>
          <w:rFonts w:hint="eastAsia"/>
        </w:rPr>
        <w:t>架实体运输无人机，并给出配套共享电池组、数字高程模型（</w:t>
      </w:r>
      <w:r>
        <w:rPr>
          <w:rFonts w:hint="eastAsia"/>
        </w:rPr>
        <w:t>Digital Elevation Model</w:t>
      </w:r>
      <w:r>
        <w:rPr>
          <w:rFonts w:hint="eastAsia"/>
        </w:rPr>
        <w:t>，</w:t>
      </w:r>
      <w:r>
        <w:rPr>
          <w:rFonts w:hint="eastAsia"/>
        </w:rPr>
        <w:t>DEM</w:t>
      </w:r>
      <w:r>
        <w:rPr>
          <w:rFonts w:hint="eastAsia"/>
        </w:rPr>
        <w:t>）数据、中继无人机、可更换能源组件及无线链路参数等信息。空间坐标和公开地理数据用于描述测试场景，需求、时限、装备和资源参数以附件给定值为准。</w:t>
      </w:r>
    </w:p>
    <w:p w14:paraId="7F548BEC" w14:textId="77777777" w:rsidR="00AD7F71" w:rsidRDefault="00000000">
      <w:pPr>
        <w:pStyle w:val="1"/>
        <w:numPr>
          <w:ilvl w:val="0"/>
          <w:numId w:val="1"/>
        </w:numPr>
        <w:spacing w:before="160" w:after="60"/>
        <w:ind w:firstLine="0"/>
        <w:rPr>
          <w:rFonts w:ascii="宋体" w:eastAsia="宋体" w:hAnsi="宋体" w:cs="宋体" w:hint="eastAsia"/>
          <w:szCs w:val="24"/>
        </w:rPr>
      </w:pPr>
      <w:r>
        <w:rPr>
          <w:rFonts w:ascii="宋体" w:eastAsia="宋体" w:hAnsi="宋体" w:cs="宋体" w:hint="eastAsia"/>
          <w:szCs w:val="24"/>
        </w:rPr>
        <w:t>问题描述</w:t>
      </w:r>
    </w:p>
    <w:p w14:paraId="6988D01F" w14:textId="77777777" w:rsidR="00AD7F71" w:rsidRDefault="00000000">
      <w:pPr>
        <w:pStyle w:val="aa"/>
        <w:spacing w:beforeAutospacing="0" w:afterAutospacing="0" w:line="284" w:lineRule="auto"/>
        <w:ind w:firstLine="482"/>
        <w:jc w:val="both"/>
      </w:pPr>
      <w:r>
        <w:t>基于上述场景，本题研究无人机物资运输、通信中继与救援资源配置之间的协同关系，重点解决运输任务如何组织、通信保障如何匹配以及有限资源如何合理调配等问题。</w:t>
      </w:r>
    </w:p>
    <w:p w14:paraId="40A53683" w14:textId="77777777" w:rsidR="00AD7F71" w:rsidRDefault="00000000">
      <w:pPr>
        <w:pStyle w:val="2"/>
        <w:spacing w:before="140" w:after="40"/>
        <w:ind w:firstLine="0"/>
        <w:rPr>
          <w:rFonts w:ascii="宋体" w:eastAsia="宋体" w:hAnsi="宋体" w:cs="宋体" w:hint="eastAsia"/>
          <w:szCs w:val="24"/>
        </w:rPr>
      </w:pPr>
      <w:r>
        <w:rPr>
          <w:rFonts w:ascii="宋体" w:eastAsia="宋体" w:hAnsi="宋体" w:cs="宋体" w:hint="eastAsia"/>
          <w:szCs w:val="24"/>
        </w:rPr>
        <w:lastRenderedPageBreak/>
        <w:t>问题一：单点往返运输能力与货箱组批方案</w:t>
      </w:r>
    </w:p>
    <w:p w14:paraId="1D292618" w14:textId="77777777" w:rsidR="00AD7F71" w:rsidRDefault="00000000">
      <w:pPr>
        <w:pStyle w:val="aa"/>
        <w:spacing w:beforeAutospacing="0" w:afterLines="50" w:after="120" w:afterAutospacing="0" w:line="284" w:lineRule="auto"/>
        <w:ind w:firstLine="482"/>
        <w:jc w:val="both"/>
      </w:pPr>
      <w:r>
        <w:rPr>
          <w:rFonts w:ascii="宋体" w:hAnsi="宋体" w:cs="宋体" w:hint="eastAsia"/>
        </w:rPr>
        <w:t>本问题在不考虑实体无人机和共享电池调度的情况下，研究单服务区直接往返条件下的运输能力与货箱组批问题。</w:t>
      </w:r>
      <w:r>
        <w:rPr>
          <w:rFonts w:cs="宋体" w:hint="eastAsia"/>
        </w:rPr>
        <w:t>每个架次采用</w:t>
      </w:r>
      <w:r>
        <w:rPr>
          <w:rFonts w:hint="eastAsia"/>
        </w:rPr>
        <w:t xml:space="preserve"> </w:t>
      </w:r>
      <w:r>
        <w:rPr>
          <w:iCs/>
        </w:rPr>
        <w:t>O01</w:t>
      </w:r>
      <w:r>
        <w:rPr>
          <w:i/>
        </w:rPr>
        <w:t>→</w:t>
      </w:r>
      <w:r>
        <w:rPr>
          <w:rFonts w:hint="eastAsia"/>
          <w:iCs/>
        </w:rPr>
        <w:t>S</w:t>
      </w:r>
      <w:r>
        <w:rPr>
          <w:rFonts w:hint="eastAsia"/>
          <w:i/>
        </w:rPr>
        <w:t>i</w:t>
      </w:r>
      <w:r>
        <w:rPr>
          <w:i/>
        </w:rPr>
        <w:t>→</w:t>
      </w:r>
      <w:r>
        <w:rPr>
          <w:iCs/>
        </w:rPr>
        <w:t>O01</w:t>
      </w:r>
      <w:r>
        <w:rPr>
          <w:rFonts w:cs="宋体" w:hint="eastAsia"/>
        </w:rPr>
        <w:t xml:space="preserve"> </w:t>
      </w:r>
      <w:r>
        <w:rPr>
          <w:rFonts w:cs="宋体" w:hint="eastAsia"/>
        </w:rPr>
        <w:t>的直接往返形式，仅服务一个</w:t>
      </w:r>
      <w:r>
        <w:rPr>
          <w:rFonts w:hint="eastAsia"/>
        </w:rPr>
        <w:t>服务区，</w:t>
      </w:r>
      <w:r>
        <w:rPr>
          <w:rFonts w:cs="宋体" w:hint="eastAsia"/>
        </w:rPr>
        <w:t>其中</w:t>
      </w:r>
      <m:oMath>
        <m:r>
          <m:rPr>
            <m:sty m:val="p"/>
          </m:rPr>
          <w:rPr>
            <w:rFonts w:ascii="Cambria Math" w:hAnsi="Cambria Math"/>
          </w:rPr>
          <m:t>O01</m:t>
        </m:r>
      </m:oMath>
      <w:r>
        <w:rPr>
          <w:rFonts w:cs="宋体" w:hint="eastAsia"/>
        </w:rPr>
        <w:t>表示临时调度中心，</w:t>
      </w:r>
      <w:r>
        <w:rPr>
          <w:rFonts w:hint="eastAsia"/>
          <w:iCs/>
        </w:rPr>
        <w:t>S</w:t>
      </w:r>
      <w:r>
        <w:rPr>
          <w:rFonts w:hint="eastAsia"/>
          <w:i/>
        </w:rPr>
        <w:t>i</w:t>
      </w:r>
      <w:r>
        <w:rPr>
          <w:rFonts w:cs="宋体" w:hint="eastAsia"/>
        </w:rPr>
        <w:t>表示第</w:t>
      </w:r>
      <w:proofErr w:type="spellStart"/>
      <w:r>
        <w:rPr>
          <w:rFonts w:hint="eastAsia"/>
          <w:i/>
        </w:rPr>
        <w:t>i</w:t>
      </w:r>
      <w:proofErr w:type="spellEnd"/>
      <w:r>
        <w:rPr>
          <w:rFonts w:cs="宋体" w:hint="eastAsia"/>
        </w:rPr>
        <w:t>个服务区（</w:t>
      </w:r>
      <m:oMath>
        <m:r>
          <w:rPr>
            <w:rFonts w:ascii="Cambria Math" w:hAnsi="Cambria Math" w:hint="eastAsia"/>
          </w:rPr>
          <m:t>i</m:t>
        </m:r>
        <m:r>
          <m:rPr>
            <m:sty m:val="p"/>
          </m:rPr>
          <w:rPr>
            <w:rFonts w:ascii="Cambria Math" w:hAnsi="Cambria Math"/>
          </w:rPr>
          <m:t>=1,2,…,15</m:t>
        </m:r>
      </m:oMath>
      <w:r>
        <w:rPr>
          <w:rFonts w:cs="宋体" w:hint="eastAsia"/>
        </w:rPr>
        <w:t>）</w:t>
      </w:r>
      <w:r>
        <w:rPr>
          <w:rFonts w:hint="eastAsia"/>
        </w:rPr>
        <w:t>；同一服务区可由多个架次分批服务，不得跨服务区组批。根据附件给出的节点坐标、</w:t>
      </w:r>
      <w:r>
        <w:rPr>
          <w:rFonts w:hint="eastAsia"/>
        </w:rPr>
        <w:t xml:space="preserve">30 </w:t>
      </w:r>
      <w:r>
        <w:rPr>
          <w:rFonts w:hint="eastAsia"/>
        </w:rPr>
        <w:t>米</w:t>
      </w:r>
      <w:r>
        <w:rPr>
          <w:rFonts w:hint="eastAsia"/>
        </w:rPr>
        <w:t xml:space="preserve"> DEM</w:t>
      </w:r>
      <w:r>
        <w:rPr>
          <w:rFonts w:hint="eastAsia"/>
        </w:rPr>
        <w:t>、机型参数和货箱数据，完成如下各项：</w:t>
      </w:r>
    </w:p>
    <w:p w14:paraId="4EA72CC7" w14:textId="77777777" w:rsidR="00AD7F71" w:rsidRPr="001F6441" w:rsidRDefault="00000000">
      <w:pPr>
        <w:pStyle w:val="a0"/>
        <w:rPr>
          <w:color w:val="000000" w:themeColor="text1"/>
        </w:rPr>
      </w:pPr>
      <w:r>
        <w:rPr>
          <w:rFonts w:hint="eastAsia"/>
        </w:rPr>
        <w:t>计算三种机</w:t>
      </w:r>
      <w:r w:rsidRPr="001F6441">
        <w:rPr>
          <w:rFonts w:hint="eastAsia"/>
          <w:color w:val="000000" w:themeColor="text1"/>
        </w:rPr>
        <w:t>型在不同服务区执行单点往返任务时的最大安全载荷。</w:t>
      </w:r>
    </w:p>
    <w:p w14:paraId="7E6DA1C2"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hint="eastAsia"/>
          <w:color w:val="000000" w:themeColor="text1"/>
        </w:rPr>
      </w:pPr>
      <w:r w:rsidRPr="001F6441">
        <w:rPr>
          <w:rFonts w:hint="eastAsia"/>
          <w:color w:val="000000" w:themeColor="text1"/>
        </w:rPr>
        <w:t>在货箱不可拆分且每个货箱只能安排一次，并满足载质量、装载体积和返航安全能量余量等要求的条件下，确定各服务区的货箱组批方案。</w:t>
      </w:r>
    </w:p>
    <w:p w14:paraId="4EE39D04"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hint="eastAsia"/>
          <w:color w:val="000000" w:themeColor="text1"/>
        </w:rPr>
      </w:pPr>
      <w:r w:rsidRPr="001F6441">
        <w:rPr>
          <w:rFonts w:hint="eastAsia"/>
          <w:color w:val="000000" w:themeColor="text1"/>
        </w:rPr>
        <w:t>在完成全部</w:t>
      </w:r>
      <w:r w:rsidRPr="001F6441">
        <w:rPr>
          <w:rFonts w:ascii="宋体" w:hAnsi="宋体" w:cs="宋体" w:hint="eastAsia"/>
          <w:color w:val="000000" w:themeColor="text1"/>
        </w:rPr>
        <w:t>货箱交付的基础上，综合考虑往返架次数、总运输能耗和累计作业时间，对组批方案进行优化，并说明各指标之间的权衡关系或优先关系。</w:t>
      </w:r>
    </w:p>
    <w:p w14:paraId="0D0B80F1"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hint="eastAsia"/>
          <w:color w:val="000000" w:themeColor="text1"/>
        </w:rPr>
      </w:pPr>
      <w:r w:rsidRPr="001F6441">
        <w:rPr>
          <w:rFonts w:ascii="宋体" w:hAnsi="宋体" w:cs="宋体"/>
          <w:color w:val="000000" w:themeColor="text1"/>
        </w:rPr>
        <w:t>同时，讨论返航安全余量变化对不同机型最大安全载荷和货箱组批结果的影响。</w:t>
      </w:r>
    </w:p>
    <w:p w14:paraId="0D5E52E7" w14:textId="77777777" w:rsidR="00AD7F71" w:rsidRPr="001F6441" w:rsidRDefault="00000000">
      <w:pPr>
        <w:pStyle w:val="2"/>
        <w:spacing w:before="140" w:after="40"/>
        <w:ind w:firstLine="0"/>
        <w:rPr>
          <w:rFonts w:ascii="宋体" w:hAnsi="宋体" w:cs="宋体" w:hint="eastAsia"/>
          <w:color w:val="000000" w:themeColor="text1"/>
          <w:szCs w:val="24"/>
        </w:rPr>
      </w:pPr>
      <w:r w:rsidRPr="001F6441">
        <w:rPr>
          <w:rFonts w:ascii="宋体" w:eastAsia="宋体" w:hAnsi="宋体" w:cs="宋体" w:hint="eastAsia"/>
          <w:color w:val="000000" w:themeColor="text1"/>
          <w:szCs w:val="24"/>
        </w:rPr>
        <w:t>问题二：异构无人机多点多架次运输调度</w:t>
      </w:r>
    </w:p>
    <w:p w14:paraId="769F27FB" w14:textId="77777777" w:rsidR="00AD7F71" w:rsidRPr="001F6441" w:rsidRDefault="00000000">
      <w:pPr>
        <w:pStyle w:val="aa"/>
        <w:spacing w:beforeAutospacing="0" w:afterLines="50" w:after="120" w:afterAutospacing="0" w:line="284" w:lineRule="auto"/>
        <w:ind w:firstLine="482"/>
        <w:jc w:val="both"/>
        <w:rPr>
          <w:color w:val="000000" w:themeColor="text1"/>
        </w:rPr>
      </w:pPr>
      <w:r w:rsidRPr="001F6441">
        <w:rPr>
          <w:rFonts w:hint="eastAsia"/>
          <w:color w:val="000000" w:themeColor="text1"/>
        </w:rPr>
        <w:t>本问题在不考虑通信保障的情况下，研究异构运输无人机的多点多架次运输调度问题。每个运输架次可访问一个或多个服务区，并在完成物资交付后返回</w:t>
      </w:r>
      <w:r w:rsidRPr="001F6441">
        <w:rPr>
          <w:rFonts w:hint="eastAsia"/>
          <w:color w:val="000000" w:themeColor="text1"/>
        </w:rPr>
        <w:t xml:space="preserve"> O01</w:t>
      </w:r>
      <w:r w:rsidRPr="001F6441">
        <w:rPr>
          <w:rFonts w:hint="eastAsia"/>
          <w:color w:val="000000" w:themeColor="text1"/>
        </w:rPr>
        <w:t>。在满足货箱不可拆分、载质量与装载体积、返航安全余量、无人机与共享电池数量、充电周转及物资时限等约束的条件下，联合确定货箱组批、服务区访问顺序、运输机型、具体执行无人机、共享电池及各架次开始时刻。其中，医疗物资应满足附件给出的期望送达时间要求，首批保障货箱应满足首批截止时间要求，其他物资的期望送达时间用于衡量配送及时性。在此基础上，完成如下各项：</w:t>
      </w:r>
    </w:p>
    <w:p w14:paraId="52CDADA3" w14:textId="77777777" w:rsidR="00AD7F71" w:rsidRDefault="00000000">
      <w:pPr>
        <w:pStyle w:val="aa"/>
        <w:numPr>
          <w:ilvl w:val="0"/>
          <w:numId w:val="3"/>
        </w:numPr>
        <w:spacing w:beforeAutospacing="0" w:afterLines="50" w:after="120" w:afterAutospacing="0" w:line="284" w:lineRule="auto"/>
        <w:jc w:val="both"/>
      </w:pPr>
      <w:r w:rsidRPr="001F6441">
        <w:rPr>
          <w:rFonts w:hint="eastAsia"/>
          <w:color w:val="000000" w:themeColor="text1"/>
        </w:rPr>
        <w:t>综合考虑配送及时性、全部任务完</w:t>
      </w:r>
      <w:r>
        <w:rPr>
          <w:rFonts w:hint="eastAsia"/>
        </w:rPr>
        <w:t>成时间、运输能耗和架次数等指标进行优化，并说明各指标之间的权衡关系。（全部任务完成时间取所有运输无人机完成最后一个架次并返回</w:t>
      </w:r>
      <w:r>
        <w:rPr>
          <w:rFonts w:hint="eastAsia"/>
        </w:rPr>
        <w:t xml:space="preserve">O01 </w:t>
      </w:r>
      <w:r>
        <w:rPr>
          <w:rFonts w:hint="eastAsia"/>
        </w:rPr>
        <w:t>的最晚时刻。）</w:t>
      </w:r>
    </w:p>
    <w:p w14:paraId="378B1DF5" w14:textId="77777777" w:rsidR="00AD7F71" w:rsidRDefault="00000000">
      <w:pPr>
        <w:pStyle w:val="aa"/>
        <w:numPr>
          <w:ilvl w:val="0"/>
          <w:numId w:val="3"/>
        </w:numPr>
        <w:spacing w:beforeAutospacing="0" w:afterLines="50" w:after="120" w:afterAutospacing="0" w:line="284" w:lineRule="auto"/>
        <w:jc w:val="both"/>
      </w:pPr>
      <w:r>
        <w:rPr>
          <w:rFonts w:hint="eastAsia"/>
        </w:rPr>
        <w:t>给出运输路线、架次安排、逐箱送达时刻以及无人机和电池的资源使用情况，并检验方案的资源可行性。</w:t>
      </w:r>
    </w:p>
    <w:p w14:paraId="6F090E60" w14:textId="77777777" w:rsidR="00AD7F71" w:rsidRDefault="00000000">
      <w:pPr>
        <w:pStyle w:val="2"/>
        <w:spacing w:before="140" w:after="40"/>
        <w:ind w:firstLine="0"/>
        <w:rPr>
          <w:rFonts w:ascii="宋体" w:eastAsia="宋体" w:hAnsi="宋体" w:cs="宋体" w:hint="eastAsia"/>
          <w:szCs w:val="24"/>
        </w:rPr>
      </w:pPr>
      <w:r>
        <w:rPr>
          <w:rFonts w:ascii="宋体" w:eastAsia="宋体" w:hAnsi="宋体" w:cs="宋体" w:hint="eastAsia"/>
          <w:szCs w:val="24"/>
        </w:rPr>
        <w:t>问题三：通信约束下的运输与中继联合调度方案</w:t>
      </w:r>
    </w:p>
    <w:p w14:paraId="497978ED" w14:textId="77777777" w:rsidR="00AD7F71" w:rsidRDefault="00000000">
      <w:pPr>
        <w:pStyle w:val="aa"/>
        <w:spacing w:beforeAutospacing="0" w:afterLines="50" w:after="120" w:afterAutospacing="0" w:line="284" w:lineRule="auto"/>
        <w:ind w:firstLine="482"/>
        <w:jc w:val="both"/>
      </w:pPr>
      <w:r>
        <w:rPr>
          <w:rFonts w:hint="eastAsia"/>
        </w:rPr>
        <w:t>本问题在考虑通信保障的情况下，研究运输无人机与中继无人机的联合调度问题。运输无人机在爬升、巡航、下降及物资投送阶段均应保持连续通信；与固定网关直连不可用时，可由空中中继无人机提供通信保障，通信状态按附录</w:t>
      </w:r>
      <w:r>
        <w:rPr>
          <w:rFonts w:hint="eastAsia"/>
        </w:rPr>
        <w:t>3</w:t>
      </w:r>
      <w:r>
        <w:rPr>
          <w:rFonts w:hint="eastAsia"/>
        </w:rPr>
        <w:t>及配套参数判定。在满足货箱时限、载荷与能量、连续通信及资源可用性等约束的条件下，联合确定货箱组批与访问顺序、运输无人机及共享电池安排、各架次开始时刻，以及中继无人机的悬停位置、飞行海拔、服务时段和能源组件分配。</w:t>
      </w:r>
      <w:r>
        <w:rPr>
          <w:rFonts w:hint="eastAsia"/>
        </w:rPr>
        <w:lastRenderedPageBreak/>
        <w:t>中继悬停位置应位于所给</w:t>
      </w:r>
      <w:r>
        <w:rPr>
          <w:rFonts w:hint="eastAsia"/>
        </w:rPr>
        <w:t xml:space="preserve"> DEM </w:t>
      </w:r>
      <w:r>
        <w:rPr>
          <w:rFonts w:hint="eastAsia"/>
        </w:rPr>
        <w:t>覆盖范围内，悬停离地高度不超过附件规定上限。在此基础上，完成如下各项：</w:t>
      </w:r>
    </w:p>
    <w:p w14:paraId="54210645" w14:textId="77777777" w:rsidR="00AD7F71" w:rsidRPr="001F6441" w:rsidRDefault="00000000">
      <w:pPr>
        <w:pStyle w:val="aa"/>
        <w:numPr>
          <w:ilvl w:val="0"/>
          <w:numId w:val="4"/>
        </w:numPr>
        <w:spacing w:beforeAutospacing="0" w:afterLines="50" w:after="120" w:afterAutospacing="0" w:line="284" w:lineRule="auto"/>
        <w:jc w:val="both"/>
        <w:rPr>
          <w:color w:val="000000" w:themeColor="text1"/>
        </w:rPr>
      </w:pPr>
      <w:r>
        <w:rPr>
          <w:rFonts w:hint="eastAsia"/>
        </w:rPr>
        <w:t>综合考虑物资配送及时性、联合任务完成时间、运输与中继总能耗以及两类无人机的使</w:t>
      </w:r>
      <w:r w:rsidRPr="001F6441">
        <w:rPr>
          <w:rFonts w:hint="eastAsia"/>
          <w:color w:val="000000" w:themeColor="text1"/>
        </w:rPr>
        <w:t>用架次等指标进行优化，并说明各指标之间的权衡关系。（其中，联合任务完成时间取所有运输无人机和中继无人机完成最后一个架次并返回</w:t>
      </w:r>
      <w:r w:rsidRPr="001F6441">
        <w:rPr>
          <w:rFonts w:hint="eastAsia"/>
          <w:color w:val="000000" w:themeColor="text1"/>
        </w:rPr>
        <w:t xml:space="preserve"> O01 </w:t>
      </w:r>
      <w:r w:rsidRPr="001F6441">
        <w:rPr>
          <w:rFonts w:hint="eastAsia"/>
          <w:color w:val="000000" w:themeColor="text1"/>
        </w:rPr>
        <w:t>的最晚时刻。）</w:t>
      </w:r>
    </w:p>
    <w:p w14:paraId="11FA6DAB" w14:textId="77777777" w:rsidR="00AD7F71" w:rsidRPr="001F6441" w:rsidRDefault="00000000">
      <w:pPr>
        <w:pStyle w:val="aa"/>
        <w:numPr>
          <w:ilvl w:val="0"/>
          <w:numId w:val="4"/>
        </w:numPr>
        <w:spacing w:beforeAutospacing="0" w:afterLines="50" w:after="120" w:afterAutospacing="0" w:line="284" w:lineRule="auto"/>
        <w:jc w:val="both"/>
        <w:rPr>
          <w:color w:val="000000" w:themeColor="text1"/>
        </w:rPr>
      </w:pPr>
      <w:r w:rsidRPr="001F6441">
        <w:rPr>
          <w:rFonts w:hint="eastAsia"/>
          <w:color w:val="000000" w:themeColor="text1"/>
        </w:rPr>
        <w:t>给出运输与中继联合调度方案，并说明货箱交付、资源使用和通信保障情况。</w:t>
      </w:r>
    </w:p>
    <w:p w14:paraId="4F4E027A" w14:textId="77777777" w:rsidR="00AD7F71" w:rsidRPr="001F6441" w:rsidRDefault="00000000">
      <w:pPr>
        <w:pStyle w:val="2"/>
        <w:spacing w:before="140" w:after="40"/>
        <w:ind w:firstLine="0"/>
        <w:rPr>
          <w:color w:val="000000" w:themeColor="text1"/>
        </w:rPr>
      </w:pPr>
      <w:r w:rsidRPr="001F6441">
        <w:rPr>
          <w:color w:val="000000" w:themeColor="text1"/>
        </w:rPr>
        <w:t>问题四：救援任务分区与资源配置优化方案</w:t>
      </w:r>
    </w:p>
    <w:p w14:paraId="7EC1D57D" w14:textId="77777777" w:rsidR="00AD7F71" w:rsidRDefault="00000000">
      <w:pPr>
        <w:pStyle w:val="a0"/>
        <w:rPr>
          <w:rFonts w:ascii="宋体" w:hAnsi="宋体" w:cs="宋体" w:hint="eastAsia"/>
        </w:rPr>
      </w:pPr>
      <w:r w:rsidRPr="001F6441">
        <w:rPr>
          <w:rFonts w:ascii="宋体" w:hAnsi="宋体" w:cs="宋体"/>
          <w:color w:val="000000" w:themeColor="text1"/>
        </w:rPr>
        <w:t>考虑到灾后救援中可能需要将整体任务划分为若干相对独立的执行单元，有必要研究不同任务分区方式对资源配置的影响，并评估各分区独立执行时的资源需求、冗余及配置缺口。以问题三得到的联合调度方案为基础，</w:t>
      </w:r>
      <w:r w:rsidRPr="001F6441">
        <w:rPr>
          <w:rFonts w:cs="宋体" w:hint="eastAsia"/>
          <w:color w:val="000000" w:themeColor="text1"/>
        </w:rPr>
        <w:t>分别将</w:t>
      </w:r>
      <w:r w:rsidRPr="001F6441">
        <w:rPr>
          <w:rFonts w:cs="宋体" w:hint="eastAsia"/>
          <w:color w:val="000000" w:themeColor="text1"/>
        </w:rPr>
        <w:t>15</w:t>
      </w:r>
      <w:r w:rsidRPr="001F6441">
        <w:rPr>
          <w:rFonts w:cs="宋体" w:hint="eastAsia"/>
          <w:color w:val="000000" w:themeColor="text1"/>
        </w:rPr>
        <w:t>个服务区划分为</w:t>
      </w:r>
      <w:r w:rsidRPr="001F6441">
        <w:rPr>
          <w:rFonts w:cs="宋体" w:hint="eastAsia"/>
          <w:color w:val="000000" w:themeColor="text1"/>
        </w:rPr>
        <w:t>2</w:t>
      </w:r>
      <w:r w:rsidRPr="001F6441">
        <w:rPr>
          <w:rFonts w:cs="宋体" w:hint="eastAsia"/>
          <w:color w:val="000000" w:themeColor="text1"/>
        </w:rPr>
        <w:t>个和</w:t>
      </w:r>
      <w:r w:rsidRPr="001F6441">
        <w:rPr>
          <w:rFonts w:cs="宋体" w:hint="eastAsia"/>
          <w:color w:val="000000" w:themeColor="text1"/>
        </w:rPr>
        <w:t>3</w:t>
      </w:r>
      <w:r w:rsidRPr="001F6441">
        <w:rPr>
          <w:rFonts w:cs="宋体" w:hint="eastAsia"/>
          <w:color w:val="000000" w:themeColor="text1"/>
        </w:rPr>
        <w:t>个任务组。任务分区方案由参赛者确定，每个服务区必须且只能属于一个任务组，每个任务组至少包含一个服务区。</w:t>
      </w:r>
      <w:r w:rsidRPr="001F6441">
        <w:rPr>
          <w:rFonts w:ascii="宋体" w:hAnsi="宋体" w:cs="宋体"/>
          <w:color w:val="000000" w:themeColor="text1"/>
        </w:rPr>
        <w:t>分区过程中保持问题三已经确定的货箱组批、服务区访问顺序、运输与中继任务安排及通信保障关系不变；若同一运输架次同时涉及多个服务区，则这些服务区应划入同一任务组。各任务组仅承担本组服务区对应的运输与通信保障任务，并分别核算独立执行所需的运输无人机、共享电池、中继无人机和中继能源组件数量，任务执行期间各类资源不得跨组调配。在此基础上，</w:t>
      </w:r>
      <w:r w:rsidRPr="001F6441">
        <w:rPr>
          <w:rFonts w:ascii="宋体" w:hAnsi="宋体" w:cs="宋体" w:hint="eastAsia"/>
          <w:color w:val="000000" w:themeColor="text1"/>
        </w:rPr>
        <w:t>完成</w:t>
      </w:r>
      <w:r>
        <w:rPr>
          <w:rFonts w:ascii="宋体" w:hAnsi="宋体" w:cs="宋体" w:hint="eastAsia"/>
        </w:rPr>
        <w:t>如下各项：</w:t>
      </w:r>
    </w:p>
    <w:p w14:paraId="6D280E13" w14:textId="77777777" w:rsidR="00AD7F71" w:rsidRDefault="00000000">
      <w:pPr>
        <w:pStyle w:val="a0"/>
        <w:numPr>
          <w:ilvl w:val="0"/>
          <w:numId w:val="5"/>
        </w:numPr>
        <w:rPr>
          <w:rFonts w:cs="宋体"/>
        </w:rPr>
      </w:pPr>
      <w:r>
        <w:rPr>
          <w:rFonts w:cs="宋体" w:hint="eastAsia"/>
        </w:rPr>
        <w:t>分别给出划分为</w:t>
      </w:r>
      <w:r>
        <w:rPr>
          <w:rFonts w:cs="宋体" w:hint="eastAsia"/>
        </w:rPr>
        <w:t>2</w:t>
      </w:r>
      <w:r>
        <w:rPr>
          <w:rFonts w:cs="宋体" w:hint="eastAsia"/>
        </w:rPr>
        <w:t>个和</w:t>
      </w:r>
      <w:r>
        <w:rPr>
          <w:rFonts w:cs="宋体" w:hint="eastAsia"/>
        </w:rPr>
        <w:t>3</w:t>
      </w:r>
      <w:r>
        <w:rPr>
          <w:rFonts w:cs="宋体" w:hint="eastAsia"/>
        </w:rPr>
        <w:t>个任务组时的任务分区及资源配置方案</w:t>
      </w:r>
      <w:r>
        <w:rPr>
          <w:rFonts w:cs="宋体"/>
        </w:rPr>
        <w:t>，并从资源配置规模、资源冗余、组间工作量均衡以及与现有库存之间的资源缺口等方面进行比较，分析</w:t>
      </w:r>
      <w:r>
        <w:rPr>
          <w:rFonts w:cs="宋体" w:hint="eastAsia"/>
        </w:rPr>
        <w:t>两种</w:t>
      </w:r>
      <w:r>
        <w:rPr>
          <w:rFonts w:cs="宋体"/>
        </w:rPr>
        <w:t>分区方式的特点</w:t>
      </w:r>
      <w:r>
        <w:rPr>
          <w:rFonts w:cs="宋体" w:hint="eastAsia"/>
        </w:rPr>
        <w:t>。</w:t>
      </w:r>
    </w:p>
    <w:p w14:paraId="34B0DDDF" w14:textId="77777777" w:rsidR="00AD7F71" w:rsidRDefault="00000000">
      <w:pPr>
        <w:pStyle w:val="a0"/>
        <w:numPr>
          <w:ilvl w:val="0"/>
          <w:numId w:val="5"/>
        </w:numPr>
      </w:pPr>
      <w:r>
        <w:rPr>
          <w:rFonts w:cs="宋体"/>
        </w:rPr>
        <w:t>若某一分区方案所需资源超过现有库存，进一步给出相应的资源缺口及其原因。</w:t>
      </w:r>
    </w:p>
    <w:p w14:paraId="003C8E4E" w14:textId="77777777" w:rsidR="00AD7F71" w:rsidRPr="001F6441" w:rsidRDefault="00000000">
      <w:pPr>
        <w:pStyle w:val="1"/>
        <w:spacing w:before="160" w:after="60"/>
        <w:ind w:firstLine="0"/>
        <w:rPr>
          <w:rFonts w:ascii="宋体" w:eastAsia="宋体" w:hAnsi="宋体" w:cs="宋体" w:hint="eastAsia"/>
          <w:color w:val="000000" w:themeColor="text1"/>
          <w:szCs w:val="24"/>
        </w:rPr>
      </w:pPr>
      <w:r>
        <w:rPr>
          <w:rFonts w:ascii="宋体" w:eastAsia="宋体" w:hAnsi="宋体" w:cs="宋体" w:hint="eastAsia"/>
          <w:szCs w:val="24"/>
        </w:rPr>
        <w:t>四、论文与结果提交要</w:t>
      </w:r>
      <w:r w:rsidRPr="001F6441">
        <w:rPr>
          <w:rFonts w:ascii="宋体" w:eastAsia="宋体" w:hAnsi="宋体" w:cs="宋体" w:hint="eastAsia"/>
          <w:color w:val="000000" w:themeColor="text1"/>
          <w:szCs w:val="24"/>
        </w:rPr>
        <w:t>求</w:t>
      </w:r>
    </w:p>
    <w:p w14:paraId="2E2BF518" w14:textId="77777777" w:rsidR="00AD7F71" w:rsidRPr="001F6441" w:rsidRDefault="00000000">
      <w:pPr>
        <w:rPr>
          <w:color w:val="000000" w:themeColor="text1"/>
        </w:rPr>
      </w:pPr>
      <w:r w:rsidRPr="001F6441">
        <w:rPr>
          <w:rFonts w:hint="eastAsia"/>
          <w:color w:val="000000" w:themeColor="text1"/>
        </w:rPr>
        <w:t>论文应清楚说明问题假设、符号定义、模型与算法、数据处理过程、主要结果及其适用条件，并交代各问题之间的数据继承关系。除论文外，应按附件模板提交必要的结果文件、检查说明和可运行程序。不同问题可采用不同求解方法，但公共物理规则、单位、对象编号和计算口径应保持一致。图表应能够反映运输路线、调度时序、资源占用、通信保障和任务分区等关键结果。</w:t>
      </w:r>
    </w:p>
    <w:p w14:paraId="67665A62" w14:textId="77777777" w:rsidR="00AD7F71" w:rsidRDefault="00000000">
      <w:pPr>
        <w:ind w:firstLine="0"/>
        <w:rPr>
          <w:rFonts w:ascii="宋体" w:hAnsi="宋体" w:cs="宋体" w:hint="eastAsia"/>
        </w:rPr>
      </w:pPr>
      <w:r w:rsidRPr="001F6441">
        <w:rPr>
          <w:rFonts w:hint="eastAsia"/>
          <w:color w:val="000000" w:themeColor="text1"/>
        </w:rPr>
        <w:br w:type="page"/>
      </w:r>
      <w:r>
        <w:rPr>
          <w:rFonts w:ascii="宋体" w:hAnsi="宋体" w:cs="宋体" w:hint="eastAsia"/>
          <w:b/>
        </w:rPr>
        <w:lastRenderedPageBreak/>
        <w:t>附录 1. 场景数据与附件说明</w:t>
      </w:r>
    </w:p>
    <w:p w14:paraId="5CA64076" w14:textId="77777777" w:rsidR="00AD7F71" w:rsidRDefault="00000000">
      <w:pPr>
        <w:rPr>
          <w:rFonts w:ascii="宋体" w:hAnsi="宋体" w:cs="宋体" w:hint="eastAsia"/>
          <w:b/>
        </w:rPr>
      </w:pPr>
      <w:r>
        <w:rPr>
          <w:rFonts w:ascii="宋体" w:hAnsi="宋体" w:cs="宋体" w:hint="eastAsia"/>
          <w:b/>
        </w:rPr>
        <w:t>基础参数数据：</w:t>
      </w:r>
    </w:p>
    <w:p w14:paraId="7103C70E" w14:textId="77777777" w:rsidR="00AD7F71" w:rsidRDefault="00000000">
      <w:r>
        <w:rPr>
          <w:rFonts w:hint="eastAsia"/>
        </w:rPr>
        <w:t>基础参数数据位于“数据</w:t>
      </w:r>
      <w:r>
        <w:rPr>
          <w:rFonts w:hint="eastAsia"/>
        </w:rPr>
        <w:t>/</w:t>
      </w:r>
      <w:r>
        <w:rPr>
          <w:rFonts w:hint="eastAsia"/>
        </w:rPr>
        <w:t>无人机应急物资运输基础数据”，包括以下</w:t>
      </w:r>
      <w:r>
        <w:rPr>
          <w:rFonts w:hint="eastAsia"/>
        </w:rPr>
        <w:t>5</w:t>
      </w:r>
      <w:r>
        <w:rPr>
          <w:rFonts w:hint="eastAsia"/>
        </w:rPr>
        <w:t>个文件：</w:t>
      </w:r>
    </w:p>
    <w:p w14:paraId="38F85C46" w14:textId="77777777" w:rsidR="00AD7F71" w:rsidRDefault="00000000">
      <w:r>
        <w:rPr>
          <w:rFonts w:hint="eastAsia"/>
        </w:rPr>
        <w:t>（</w:t>
      </w:r>
      <w:r>
        <w:rPr>
          <w:rFonts w:hint="eastAsia"/>
        </w:rPr>
        <w:t>1</w:t>
      </w:r>
      <w:r>
        <w:rPr>
          <w:rFonts w:hint="eastAsia"/>
        </w:rPr>
        <w:t>）“调度中心与服务区</w:t>
      </w:r>
      <w:r>
        <w:rPr>
          <w:rFonts w:hint="eastAsia"/>
        </w:rPr>
        <w:t>.xlsx</w:t>
      </w:r>
      <w:r>
        <w:rPr>
          <w:rFonts w:hint="eastAsia"/>
        </w:rPr>
        <w:t>”：给出临时调度中心和</w:t>
      </w:r>
      <w:r>
        <w:rPr>
          <w:rFonts w:hint="eastAsia"/>
        </w:rPr>
        <w:t>15</w:t>
      </w:r>
      <w:r>
        <w:rPr>
          <w:rFonts w:hint="eastAsia"/>
        </w:rPr>
        <w:t>个服务区的基本信息；</w:t>
      </w:r>
    </w:p>
    <w:p w14:paraId="2AF8AA65" w14:textId="77777777" w:rsidR="00AD7F71" w:rsidRDefault="00000000">
      <w:r>
        <w:rPr>
          <w:rFonts w:hint="eastAsia"/>
        </w:rPr>
        <w:t>（</w:t>
      </w:r>
      <w:r>
        <w:rPr>
          <w:rFonts w:hint="eastAsia"/>
        </w:rPr>
        <w:t>2</w:t>
      </w:r>
      <w:r>
        <w:rPr>
          <w:rFonts w:hint="eastAsia"/>
        </w:rPr>
        <w:t>）“物资需求与配送时限</w:t>
      </w:r>
      <w:r>
        <w:rPr>
          <w:rFonts w:hint="eastAsia"/>
        </w:rPr>
        <w:t>.xlsx</w:t>
      </w:r>
      <w:r>
        <w:rPr>
          <w:rFonts w:hint="eastAsia"/>
        </w:rPr>
        <w:t>”：给出各服务区的物资需求、货箱属性、配送时间要求及逐箱货箱信息；</w:t>
      </w:r>
    </w:p>
    <w:p w14:paraId="20ADAAAD" w14:textId="77777777" w:rsidR="00AD7F71" w:rsidRDefault="00000000">
      <w:r>
        <w:rPr>
          <w:rFonts w:hint="eastAsia"/>
        </w:rPr>
        <w:t>（</w:t>
      </w:r>
      <w:r>
        <w:rPr>
          <w:rFonts w:hint="eastAsia"/>
        </w:rPr>
        <w:t>3</w:t>
      </w:r>
      <w:r>
        <w:rPr>
          <w:rFonts w:hint="eastAsia"/>
        </w:rPr>
        <w:t>）“运输无人机数据</w:t>
      </w:r>
      <w:r>
        <w:rPr>
          <w:rFonts w:hint="eastAsia"/>
        </w:rPr>
        <w:t>.xlsx</w:t>
      </w:r>
      <w:r>
        <w:rPr>
          <w:rFonts w:hint="eastAsia"/>
        </w:rPr>
        <w:t>”：给出运输无人机机型及共享电池相关参数；</w:t>
      </w:r>
    </w:p>
    <w:p w14:paraId="41797B5A" w14:textId="77777777" w:rsidR="00AD7F71" w:rsidRDefault="00000000">
      <w:r>
        <w:rPr>
          <w:rFonts w:hint="eastAsia"/>
        </w:rPr>
        <w:t>（</w:t>
      </w:r>
      <w:r>
        <w:rPr>
          <w:rFonts w:hint="eastAsia"/>
        </w:rPr>
        <w:t>4</w:t>
      </w:r>
      <w:r>
        <w:rPr>
          <w:rFonts w:hint="eastAsia"/>
        </w:rPr>
        <w:t>）“中继无人机数据</w:t>
      </w:r>
      <w:r>
        <w:rPr>
          <w:rFonts w:hint="eastAsia"/>
        </w:rPr>
        <w:t>.xlsx</w:t>
      </w:r>
      <w:r>
        <w:rPr>
          <w:rFonts w:hint="eastAsia"/>
        </w:rPr>
        <w:t>”：给出中继无人机及其能源组件相关参数；</w:t>
      </w:r>
    </w:p>
    <w:p w14:paraId="6C7DF0A1" w14:textId="77777777" w:rsidR="00AD7F71" w:rsidRDefault="00000000">
      <w:r>
        <w:rPr>
          <w:rFonts w:hint="eastAsia"/>
        </w:rPr>
        <w:t>（</w:t>
      </w:r>
      <w:r>
        <w:rPr>
          <w:rFonts w:hint="eastAsia"/>
        </w:rPr>
        <w:t>5</w:t>
      </w:r>
      <w:r>
        <w:rPr>
          <w:rFonts w:hint="eastAsia"/>
        </w:rPr>
        <w:t>）“通信链路参数</w:t>
      </w:r>
      <w:r>
        <w:rPr>
          <w:rFonts w:hint="eastAsia"/>
        </w:rPr>
        <w:t>.xlsx</w:t>
      </w:r>
      <w:r>
        <w:rPr>
          <w:rFonts w:hint="eastAsia"/>
        </w:rPr>
        <w:t>”：给出固定网关、运输无人机和中继无人机的通信链路参数。</w:t>
      </w:r>
    </w:p>
    <w:p w14:paraId="36852E86" w14:textId="77777777" w:rsidR="00AD7F71" w:rsidRDefault="00000000">
      <w:pPr>
        <w:rPr>
          <w:b/>
          <w:bCs/>
        </w:rPr>
      </w:pPr>
      <w:r>
        <w:rPr>
          <w:rFonts w:hint="eastAsia"/>
          <w:b/>
          <w:bCs/>
        </w:rPr>
        <w:t>地理空间与</w:t>
      </w:r>
      <w:r>
        <w:rPr>
          <w:rFonts w:hint="eastAsia"/>
          <w:b/>
          <w:bCs/>
        </w:rPr>
        <w:t>DEM</w:t>
      </w:r>
      <w:r>
        <w:rPr>
          <w:rFonts w:hint="eastAsia"/>
          <w:b/>
          <w:bCs/>
        </w:rPr>
        <w:t>数据：</w:t>
      </w:r>
    </w:p>
    <w:p w14:paraId="2E56A306" w14:textId="77777777" w:rsidR="00AD7F71" w:rsidRDefault="00000000">
      <w:bookmarkStart w:id="0" w:name="fig:terrain-preview"/>
      <w:r>
        <w:rPr>
          <w:rFonts w:hint="eastAsia"/>
        </w:rPr>
        <w:t>地理空间数据位于“数据</w:t>
      </w:r>
      <w:r>
        <w:rPr>
          <w:rFonts w:hint="eastAsia"/>
        </w:rPr>
        <w:t>/</w:t>
      </w:r>
      <w:r>
        <w:rPr>
          <w:rFonts w:hint="eastAsia"/>
        </w:rPr>
        <w:t>镇龙乡地理空间数据”目录，具体说明详见该目录下的“镇龙乡地理空间数据说明</w:t>
      </w:r>
      <w:r>
        <w:rPr>
          <w:rFonts w:hint="eastAsia"/>
        </w:rPr>
        <w:t>.docx</w:t>
      </w:r>
      <w:r>
        <w:rPr>
          <w:rFonts w:hint="eastAsia"/>
        </w:rPr>
        <w:t>”。图</w:t>
      </w:r>
      <w:r>
        <w:rPr>
          <w:rFonts w:hint="eastAsia"/>
        </w:rPr>
        <w:t>1</w:t>
      </w:r>
      <w:r>
        <w:rPr>
          <w:rFonts w:hint="eastAsia"/>
        </w:rPr>
        <w:t>给出</w:t>
      </w:r>
      <w:r>
        <w:rPr>
          <w:rFonts w:hint="eastAsia"/>
        </w:rPr>
        <w:t>30</w:t>
      </w:r>
      <w:r>
        <w:rPr>
          <w:rFonts w:hint="eastAsia"/>
        </w:rPr>
        <w:t>米</w:t>
      </w:r>
      <w:r>
        <w:rPr>
          <w:rFonts w:hint="eastAsia"/>
        </w:rPr>
        <w:t>DEM</w:t>
      </w:r>
      <w:r>
        <w:rPr>
          <w:rFonts w:hint="eastAsia"/>
        </w:rPr>
        <w:t>与调度节点的整体位置关系。</w:t>
      </w:r>
    </w:p>
    <w:p w14:paraId="4CB8D693" w14:textId="77777777" w:rsidR="00AD7F71" w:rsidRDefault="00000000">
      <w:r>
        <w:rPr>
          <w:rFonts w:hint="eastAsia"/>
          <w:noProof/>
        </w:rPr>
        <w:drawing>
          <wp:inline distT="0" distB="0" distL="114300" distR="114300" wp14:anchorId="7144032F" wp14:editId="593B1CCE">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642485" cy="4255770"/>
                    </a:xfrm>
                    <a:prstGeom prst="rect">
                      <a:avLst/>
                    </a:prstGeom>
                  </pic:spPr>
                </pic:pic>
              </a:graphicData>
            </a:graphic>
          </wp:inline>
        </w:drawing>
      </w:r>
    </w:p>
    <w:p w14:paraId="6A0CA47C" w14:textId="77777777" w:rsidR="00AD7F71" w:rsidRDefault="00000000">
      <w:pPr>
        <w:pStyle w:val="FigureCaptionCN"/>
        <w:rPr>
          <w:sz w:val="24"/>
        </w:rPr>
      </w:pPr>
      <w:r>
        <w:rPr>
          <w:sz w:val="24"/>
        </w:rPr>
        <w:t>图</w:t>
      </w:r>
      <w:r>
        <w:rPr>
          <w:sz w:val="24"/>
        </w:rPr>
        <w:t>1. 30</w:t>
      </w:r>
      <w:r>
        <w:rPr>
          <w:sz w:val="24"/>
        </w:rPr>
        <w:t>米</w:t>
      </w:r>
      <w:r>
        <w:rPr>
          <w:sz w:val="24"/>
        </w:rPr>
        <w:t>DEM</w:t>
      </w:r>
      <w:r>
        <w:rPr>
          <w:sz w:val="24"/>
        </w:rPr>
        <w:t>与调度节点</w:t>
      </w:r>
    </w:p>
    <w:bookmarkEnd w:id="0"/>
    <w:p w14:paraId="020F1626" w14:textId="77777777" w:rsidR="00AD7F71" w:rsidRDefault="00000000">
      <w:pPr>
        <w:pStyle w:val="3"/>
        <w:spacing w:before="80" w:after="0"/>
        <w:ind w:firstLine="0"/>
        <w:rPr>
          <w:rFonts w:ascii="宋体" w:eastAsia="宋体" w:hAnsi="宋体" w:cs="宋体" w:hint="eastAsia"/>
          <w:szCs w:val="24"/>
        </w:rPr>
      </w:pPr>
      <w:r>
        <w:rPr>
          <w:rFonts w:ascii="宋体" w:eastAsia="宋体" w:hAnsi="宋体" w:cs="宋体" w:hint="eastAsia"/>
          <w:szCs w:val="24"/>
        </w:rPr>
        <w:lastRenderedPageBreak/>
        <w:t>附录 2. 无人机时间与能源计算规则</w:t>
      </w:r>
    </w:p>
    <w:p w14:paraId="17D14EE7" w14:textId="77777777" w:rsidR="00AD7F71" w:rsidRDefault="00000000">
      <w:r>
        <w:rPr>
          <w:rFonts w:hint="eastAsia"/>
        </w:rPr>
        <w:t>本附录统一运输与中继无人机飞行时间、能耗、返航安全余量及能源资源充电周转的计算口径，相关参数及单位以配套数据文件为准。</w:t>
      </w:r>
    </w:p>
    <w:p w14:paraId="53CCB602" w14:textId="77777777" w:rsidR="00AD7F71" w:rsidRDefault="00000000">
      <w:pPr>
        <w:pStyle w:val="3"/>
        <w:spacing w:before="80" w:after="0"/>
        <w:ind w:left="480" w:firstLine="0"/>
        <w:rPr>
          <w:rFonts w:hint="eastAsia"/>
        </w:rPr>
      </w:pPr>
      <w:r>
        <w:t>运输航段、时间与能耗：</w:t>
      </w:r>
    </w:p>
    <w:p w14:paraId="6F6F3D25" w14:textId="77777777" w:rsidR="00AD7F71" w:rsidRDefault="00000000">
      <w:pPr>
        <w:pStyle w:val="a0"/>
        <w:spacing w:before="0" w:after="0" w:line="300" w:lineRule="auto"/>
        <w:ind w:firstLine="482"/>
      </w:pPr>
      <w:r>
        <w:rPr>
          <w:rFonts w:hint="eastAsia"/>
        </w:rPr>
        <w:t>任意两个任务节点之间采用两节点水平直线作为运输航段，计划巡航海拔取该航段所经过</w:t>
      </w:r>
      <w:r>
        <w:rPr>
          <w:rFonts w:hint="eastAsia"/>
        </w:rPr>
        <w:t xml:space="preserve"> DEM </w:t>
      </w:r>
      <w:r>
        <w:rPr>
          <w:rFonts w:hint="eastAsia"/>
        </w:rPr>
        <w:t>像元的最高地面高程以上</w:t>
      </w:r>
      <w:r>
        <w:rPr>
          <w:rFonts w:hint="eastAsia"/>
        </w:rPr>
        <w:t>50</w:t>
      </w:r>
      <w:r>
        <w:rPr>
          <w:rFonts w:hint="eastAsia"/>
        </w:rPr>
        <w:t>米。每个航段按爬升、巡航和下降三个阶段计算：无人机由起点作业高度爬升至巡航海拔，完成水平巡航后下降至终点作业高度。</w:t>
      </w:r>
      <w:r>
        <w:rPr>
          <w:rFonts w:hint="eastAsia"/>
        </w:rPr>
        <w:t>O01</w:t>
      </w:r>
      <w:r>
        <w:rPr>
          <w:rFonts w:hint="eastAsia"/>
        </w:rPr>
        <w:t>作业高度取其地面海拔，服务区作业高度取其地面海拔以上</w:t>
      </w:r>
      <w:r>
        <w:rPr>
          <w:rFonts w:hint="eastAsia"/>
        </w:rPr>
        <w:t>30</w:t>
      </w:r>
      <w:r>
        <w:rPr>
          <w:rFonts w:hint="eastAsia"/>
        </w:rPr>
        <w:t>米；连续访问多个服务区时，每次投送后均从</w:t>
      </w:r>
      <w:r>
        <w:rPr>
          <w:rFonts w:hint="eastAsia"/>
        </w:rPr>
        <w:t>30</w:t>
      </w:r>
      <w:r>
        <w:rPr>
          <w:rFonts w:hint="eastAsia"/>
        </w:rPr>
        <w:t>米作业高度重新爬升。</w:t>
      </w:r>
    </w:p>
    <w:p w14:paraId="1989AD27" w14:textId="77777777" w:rsidR="00AD7F71" w:rsidRDefault="00000000">
      <w:pPr>
        <w:keepNext/>
        <w:keepLines/>
      </w:pPr>
      <w:r>
        <w:rPr>
          <w:rFonts w:hint="eastAsia"/>
        </w:rPr>
        <w:t>水平巡航距离、爬升高度和下降高度由节点位置、</w:t>
      </w:r>
      <w:r>
        <w:rPr>
          <w:rFonts w:hint="eastAsia"/>
        </w:rPr>
        <w:t>DEM</w:t>
      </w:r>
      <w:r>
        <w:rPr>
          <w:rFonts w:hint="eastAsia"/>
        </w:rPr>
        <w:t>及计划巡航海拔确定。</w:t>
      </w:r>
      <w:r>
        <w:t>机型</w:t>
      </w:r>
      <w:r>
        <w:rPr>
          <w:rFonts w:hint="eastAsia"/>
        </w:rPr>
        <w:t xml:space="preserve"> </w:t>
      </w:r>
      <m:oMath>
        <m:r>
          <w:rPr>
            <w:rFonts w:ascii="Cambria Math" w:hAnsi="Cambria Math"/>
          </w:rPr>
          <m:t>g</m:t>
        </m:r>
      </m:oMath>
      <w:r>
        <w:rPr>
          <w:rFonts w:hint="eastAsia"/>
        </w:rPr>
        <w:t xml:space="preserve"> </w:t>
      </w:r>
      <w:r>
        <w:t>携带载荷</w:t>
      </w:r>
      <m:oMath>
        <m:r>
          <w:rPr>
            <w:rFonts w:ascii="Cambria Math" w:hAnsi="Cambria Math"/>
          </w:rPr>
          <m:t>q</m:t>
        </m:r>
      </m:oMath>
      <w:r>
        <w:rPr>
          <w:rFonts w:hint="eastAsia"/>
        </w:rPr>
        <w:t xml:space="preserve"> </w:t>
      </w:r>
      <w:r>
        <w:t>时的等效航程为：</w:t>
      </w:r>
    </w:p>
    <w:p w14:paraId="51C47C9F" w14:textId="77777777" w:rsidR="00AD7F71" w:rsidRDefault="00000000">
      <w:pPr>
        <w:pStyle w:val="Formula"/>
        <w:jc w:val="both"/>
      </w:pPr>
      <m:oMathPara>
        <m:oMathParaPr>
          <m:jc m:val="center"/>
        </m:oMathParaPr>
        <m:oMath>
          <m:sSub>
            <m:sSubPr>
              <m:ctrlPr/>
            </m:sSubPr>
            <m:e>
              <m:r>
                <m:t>L</m:t>
              </m:r>
            </m:e>
            <m:sub>
              <m:r>
                <m:t>g</m:t>
              </m:r>
            </m:sub>
          </m:sSub>
          <m:r>
            <m:rPr>
              <m:sty m:val="p"/>
            </m:rPr>
            <m:t>(</m:t>
          </m:r>
          <m:r>
            <m:t>q</m:t>
          </m:r>
          <m:r>
            <m:rPr>
              <m:sty m:val="p"/>
            </m:rPr>
            <m:t>)=</m:t>
          </m:r>
          <m:sSubSup>
            <m:sSubSupPr>
              <m:ctrlPr/>
            </m:sSubSupPr>
            <m:e>
              <m:r>
                <m:t>L</m:t>
              </m:r>
            </m:e>
            <m:sub>
              <m:r>
                <m:t>g</m:t>
              </m:r>
            </m:sub>
            <m:sup>
              <m:r>
                <m:t>0</m:t>
              </m:r>
            </m:sup>
          </m:sSubSup>
          <m:r>
            <m:rPr>
              <m:sty m:val="p"/>
            </m:rPr>
            <m:t>-</m:t>
          </m:r>
          <m:d>
            <m:dPr>
              <m:ctrlPr/>
            </m:dPr>
            <m:e>
              <m:sSubSup>
                <m:sSubSupPr>
                  <m:ctrlPr/>
                </m:sSubSupPr>
                <m:e>
                  <m:r>
                    <m:t>L</m:t>
                  </m:r>
                </m:e>
                <m:sub>
                  <m:r>
                    <m:t>g</m:t>
                  </m:r>
                </m:sub>
                <m:sup>
                  <m:r>
                    <m:t>0</m:t>
                  </m:r>
                </m:sup>
              </m:sSubSup>
              <m:r>
                <m:rPr>
                  <m:sty m:val="p"/>
                </m:rPr>
                <m:t>-</m:t>
              </m:r>
              <m:sSubSup>
                <m:sSubSupPr>
                  <m:ctrlPr/>
                </m:sSubSupPr>
                <m:e>
                  <m:r>
                    <m:t>L</m:t>
                  </m:r>
                </m:e>
                <m:sub>
                  <m:r>
                    <m:t>g</m:t>
                  </m:r>
                </m:sub>
                <m:sup>
                  <m:r>
                    <m:t>F</m:t>
                  </m:r>
                </m:sup>
              </m:sSubSup>
            </m:e>
          </m:d>
          <m:sSup>
            <m:sSupPr>
              <m:ctrlPr/>
            </m:sSupPr>
            <m:e>
              <m:d>
                <m:dPr>
                  <m:ctrlPr/>
                </m:dPr>
                <m:e>
                  <m:f>
                    <m:fPr>
                      <m:ctrlPr/>
                    </m:fPr>
                    <m:num>
                      <m:r>
                        <m:t>q</m:t>
                      </m:r>
                    </m:num>
                    <m:den>
                      <m:sSub>
                        <m:sSubPr>
                          <m:ctrlPr/>
                        </m:sSubPr>
                        <m:e>
                          <m:r>
                            <m:t>Q</m:t>
                          </m:r>
                        </m:e>
                        <m:sub>
                          <m:r>
                            <m:t>g</m:t>
                          </m:r>
                        </m:sub>
                      </m:sSub>
                    </m:den>
                  </m:f>
                </m:e>
              </m:d>
            </m:e>
            <m:sup>
              <m:r>
                <m:t>3</m:t>
              </m:r>
              <m:r>
                <m:rPr>
                  <m:sty m:val="p"/>
                </m:rPr>
                <m:t>/</m:t>
              </m:r>
              <m:r>
                <m:t>2</m:t>
              </m:r>
            </m:sup>
          </m:sSup>
          <m:r>
            <m:rPr>
              <m:sty m:val="p"/>
            </m:rPr>
            <m:t>,</m:t>
          </m:r>
          <m:r>
            <m:t>  0</m:t>
          </m:r>
          <m:r>
            <m:rPr>
              <m:sty m:val="p"/>
            </m:rPr>
            <m:t>≤</m:t>
          </m:r>
          <m:r>
            <m:t>q</m:t>
          </m:r>
          <m:r>
            <m:rPr>
              <m:sty m:val="p"/>
            </m:rPr>
            <m:t>≤</m:t>
          </m:r>
          <m:sSub>
            <m:sSubPr>
              <m:ctrlPr/>
            </m:sSubPr>
            <m:e>
              <m:r>
                <m:t>Q</m:t>
              </m:r>
            </m:e>
            <m:sub>
              <m:r>
                <m:t>g</m:t>
              </m:r>
            </m:sub>
          </m:sSub>
          <m:r>
            <m:rPr>
              <m:sty m:val="p"/>
            </m:rPr>
            <m:t>.</m:t>
          </m:r>
        </m:oMath>
      </m:oMathPara>
    </w:p>
    <w:p w14:paraId="79EDB63A" w14:textId="77777777" w:rsidR="00AD7F71" w:rsidRDefault="00000000">
      <w:pPr>
        <w:keepNext/>
      </w:pPr>
      <w:r>
        <w:rPr>
          <w:rFonts w:hint="eastAsia"/>
        </w:rPr>
        <w:t>其中，</w:t>
      </w:r>
      <m:oMath>
        <m:r>
          <w:rPr>
            <w:rFonts w:ascii="Cambria Math" w:hAnsi="Cambria Math"/>
          </w:rPr>
          <m:t>g</m:t>
        </m:r>
      </m:oMath>
      <w:r>
        <w:rPr>
          <w:rFonts w:hint="eastAsia"/>
        </w:rPr>
        <w:t xml:space="preserve"> </w:t>
      </w:r>
      <w:r>
        <w:rPr>
          <w:rFonts w:hint="eastAsia"/>
        </w:rPr>
        <w:t>表示运输无人机机型，</w:t>
      </w:r>
      <m:oMath>
        <m:r>
          <w:rPr>
            <w:rFonts w:ascii="Cambria Math" w:hAnsi="Cambria Math"/>
          </w:rPr>
          <m:t>q</m:t>
        </m:r>
      </m:oMath>
      <w:r>
        <w:rPr>
          <w:rFonts w:hint="eastAsia"/>
        </w:rPr>
        <w:t xml:space="preserve"> </w:t>
      </w:r>
      <w:r>
        <w:rPr>
          <w:rFonts w:hint="eastAsia"/>
        </w:rPr>
        <w:t>表示当前有效载荷（</w:t>
      </w:r>
      <w:r>
        <w:rPr>
          <w:rFonts w:hint="eastAsia"/>
        </w:rPr>
        <w:t>kg</w:t>
      </w:r>
      <w:r>
        <w:rPr>
          <w:rFonts w:hint="eastAsia"/>
        </w:rPr>
        <w:t>）；</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sty m:val="p"/>
              </m:rPr>
              <w:rPr>
                <w:rFonts w:ascii="Cambria Math" w:hAnsi="Cambria Math"/>
              </w:rPr>
              <m:t>0</m:t>
            </m:r>
          </m:sup>
        </m:sSubSup>
      </m:oMath>
      <w:r>
        <w:rPr>
          <w:rFonts w:hint="eastAsia"/>
        </w:rPr>
        <w:t>和</w:t>
      </w:r>
      <m:oMath>
        <m:sSubSup>
          <m:sSubSupPr>
            <m:ctrlPr>
              <w:rPr>
                <w:rFonts w:ascii="Cambria Math" w:hAnsi="Cambria Math"/>
              </w:rPr>
            </m:ctrlPr>
          </m:sSubSupPr>
          <m:e>
            <m:r>
              <w:rPr>
                <w:rFonts w:ascii="Cambria Math" w:hAnsi="Cambria Math"/>
              </w:rPr>
              <m:t>L</m:t>
            </m:r>
          </m:e>
          <m:sub>
            <m:r>
              <w:rPr>
                <w:rFonts w:ascii="Cambria Math" w:hAnsi="Cambria Math"/>
              </w:rPr>
              <m:t>g</m:t>
            </m:r>
          </m:sub>
          <m:sup>
            <m:r>
              <w:rPr>
                <w:rFonts w:ascii="Cambria Math" w:hAnsi="Cambria Math"/>
              </w:rPr>
              <m:t>F</m:t>
            </m:r>
          </m:sup>
        </m:sSubSup>
      </m:oMath>
      <w:r>
        <w:rPr>
          <w:rFonts w:hint="eastAsia"/>
        </w:rPr>
        <w:t>分别表示机型</w:t>
      </w:r>
      <w:r>
        <w:rPr>
          <w:rFonts w:hint="eastAsia"/>
        </w:rPr>
        <w:t xml:space="preserve"> </w:t>
      </w:r>
      <m:oMath>
        <m:r>
          <w:rPr>
            <w:rFonts w:ascii="Cambria Math" w:hAnsi="Cambria Math"/>
          </w:rPr>
          <m:t>g</m:t>
        </m:r>
      </m:oMath>
      <w:r>
        <w:rPr>
          <w:rFonts w:hint="eastAsia"/>
        </w:rPr>
        <w:t xml:space="preserve"> </w:t>
      </w:r>
      <w:r>
        <w:rPr>
          <w:rFonts w:hint="eastAsia"/>
        </w:rPr>
        <w:t>的空载标准航程和满载标准航程（</w:t>
      </w:r>
      <w:r>
        <w:rPr>
          <w:rFonts w:hint="eastAsia"/>
        </w:rPr>
        <w:t>m</w:t>
      </w:r>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hint="eastAsia"/>
        </w:rPr>
        <w:t xml:space="preserve"> </w:t>
      </w:r>
      <w:r>
        <w:rPr>
          <w:rFonts w:hint="eastAsia"/>
        </w:rPr>
        <w:t>表示机型</w:t>
      </w:r>
      <w:r>
        <w:rPr>
          <w:rFonts w:hint="eastAsia"/>
        </w:rPr>
        <w:t xml:space="preserve"> </w:t>
      </w:r>
      <m:oMath>
        <m:r>
          <w:rPr>
            <w:rFonts w:ascii="Cambria Math" w:hAnsi="Cambria Math"/>
          </w:rPr>
          <m:t>g</m:t>
        </m:r>
      </m:oMath>
      <w:r>
        <w:rPr>
          <w:rFonts w:hint="eastAsia"/>
        </w:rPr>
        <w:t xml:space="preserve"> </w:t>
      </w:r>
      <w:r>
        <w:rPr>
          <w:rFonts w:hint="eastAsia"/>
        </w:rPr>
        <w:t>的最大载货质量（</w:t>
      </w:r>
      <w:r>
        <w:rPr>
          <w:rFonts w:hint="eastAsia"/>
        </w:rPr>
        <w:t>kg</w:t>
      </w:r>
      <w:r>
        <w:rPr>
          <w:rFonts w:hint="eastAsia"/>
        </w:rPr>
        <w:t>）。</w:t>
      </w:r>
    </w:p>
    <w:p w14:paraId="2F74C070" w14:textId="77777777" w:rsidR="00AD7F71" w:rsidRDefault="00000000">
      <w:r>
        <w:t>航段的飞行时间为：</w:t>
      </w:r>
    </w:p>
    <w:p w14:paraId="2D075BC9" w14:textId="77777777" w:rsidR="00AD7F71" w:rsidRDefault="00000000">
      <w:pPr>
        <w:pStyle w:val="Formula"/>
        <w:jc w:val="both"/>
      </w:pPr>
      <m:oMathPara>
        <m:oMathParaPr>
          <m:jc m:val="center"/>
        </m:oMathParaPr>
        <m:oMath>
          <m:sSub>
            <m:sSubPr>
              <m:ctrlPr/>
            </m:sSubPr>
            <m:e>
              <m:r>
                <m:t>t</m:t>
              </m:r>
            </m:e>
            <m:sub>
              <m:r>
                <m:t>gij</m:t>
              </m:r>
            </m:sub>
          </m:sSub>
          <m:r>
            <m:rPr>
              <m:sty m:val="p"/>
            </m:rPr>
            <m:t>=</m:t>
          </m:r>
          <m:f>
            <m:fPr>
              <m:ctrlPr/>
            </m:fPr>
            <m:num>
              <m:sSubSup>
                <m:sSubSupPr>
                  <m:ctrlPr/>
                </m:sSubSupPr>
                <m:e>
                  <m:r>
                    <m:t>h</m:t>
                  </m:r>
                </m:e>
                <m:sub>
                  <m:r>
                    <m:t>ij</m:t>
                  </m:r>
                </m:sub>
                <m:sup>
                  <m:r>
                    <m:rPr>
                      <m:sty m:val="p"/>
                    </m:rPr>
                    <m:t>+</m:t>
                  </m:r>
                </m:sup>
              </m:sSubSup>
            </m:num>
            <m:den>
              <m:sSubSup>
                <m:sSubSupPr>
                  <m:ctrlPr/>
                </m:sSubSupPr>
                <m:e>
                  <m:r>
                    <m:t>v</m:t>
                  </m:r>
                </m:e>
                <m:sub>
                  <m:r>
                    <m:t>g</m:t>
                  </m:r>
                </m:sub>
                <m:sup>
                  <m:r>
                    <m:rPr>
                      <m:sty m:val="p"/>
                    </m:rPr>
                    <m:t>↑</m:t>
                  </m:r>
                </m:sup>
              </m:sSubSup>
            </m:den>
          </m:f>
          <m:r>
            <m:rPr>
              <m:sty m:val="p"/>
            </m:rPr>
            <m:t>+</m:t>
          </m:r>
          <m:f>
            <m:fPr>
              <m:ctrlPr/>
            </m:fPr>
            <m:num>
              <m:sSub>
                <m:sSubPr>
                  <m:ctrlPr/>
                </m:sSubPr>
                <m:e>
                  <m:r>
                    <m:t>d</m:t>
                  </m:r>
                </m:e>
                <m:sub>
                  <m:r>
                    <m:t>ij</m:t>
                  </m:r>
                </m:sub>
              </m:sSub>
            </m:num>
            <m:den>
              <m:sSubSup>
                <m:sSubSupPr>
                  <m:ctrlPr/>
                </m:sSubSupPr>
                <m:e>
                  <m:r>
                    <m:t>v</m:t>
                  </m:r>
                </m:e>
                <m:sub>
                  <m:r>
                    <m:t>g</m:t>
                  </m:r>
                </m:sub>
                <m:sup>
                  <m:r>
                    <m:rPr>
                      <m:sty m:val="p"/>
                    </m:rPr>
                    <m:t>c</m:t>
                  </m:r>
                </m:sup>
              </m:sSubSup>
            </m:den>
          </m:f>
          <m:r>
            <m:rPr>
              <m:sty m:val="p"/>
            </m:rPr>
            <m:t>+</m:t>
          </m:r>
          <m:f>
            <m:fPr>
              <m:ctrlPr/>
            </m:fPr>
            <m:num>
              <m:sSubSup>
                <m:sSubSupPr>
                  <m:ctrlPr/>
                </m:sSubSupPr>
                <m:e>
                  <m:r>
                    <m:t>h</m:t>
                  </m:r>
                </m:e>
                <m:sub>
                  <m:r>
                    <m:t>ij</m:t>
                  </m:r>
                </m:sub>
                <m:sup>
                  <m:r>
                    <m:rPr>
                      <m:sty m:val="p"/>
                    </m:rPr>
                    <m:t>-</m:t>
                  </m:r>
                </m:sup>
              </m:sSubSup>
            </m:num>
            <m:den>
              <m:sSubSup>
                <m:sSubSupPr>
                  <m:ctrlPr/>
                </m:sSubSupPr>
                <m:e>
                  <m:r>
                    <m:t>v</m:t>
                  </m:r>
                </m:e>
                <m:sub>
                  <m:r>
                    <m:t>g</m:t>
                  </m:r>
                </m:sub>
                <m:sup>
                  <m:r>
                    <m:rPr>
                      <m:sty m:val="p"/>
                    </m:rPr>
                    <m:t>↓</m:t>
                  </m:r>
                </m:sup>
              </m:sSubSup>
            </m:den>
          </m:f>
        </m:oMath>
      </m:oMathPara>
    </w:p>
    <w:p w14:paraId="0E58F25C" w14:textId="77777777" w:rsidR="00AD7F71" w:rsidRDefault="00000000">
      <w:r>
        <w:t>其中，</w:t>
      </w:r>
      <m:oMath>
        <m:sSub>
          <m:sSubPr>
            <m:ctrlPr>
              <w:rPr>
                <w:rFonts w:ascii="Cambria Math" w:hAnsi="Cambria Math"/>
              </w:rPr>
            </m:ctrlPr>
          </m:sSubPr>
          <m:e>
            <m:r>
              <w:rPr>
                <w:rFonts w:ascii="Cambria Math" w:hAnsi="Cambria Math"/>
              </w:rPr>
              <m:t>t</m:t>
            </m:r>
          </m:e>
          <m:sub>
            <m:r>
              <w:rPr>
                <w:rFonts w:ascii="Cambria Math" w:hAnsi="Cambria Math"/>
              </w:rPr>
              <m:t>gij</m:t>
            </m:r>
          </m:sub>
        </m:sSub>
      </m:oMath>
      <w:r>
        <w:t xml:space="preserve"> </w:t>
      </w:r>
      <w:r>
        <w:t>表示机型</w:t>
      </w:r>
      <w:r>
        <w:t xml:space="preserve"> </w:t>
      </w:r>
      <m:oMath>
        <m:r>
          <w:rPr>
            <w:rFonts w:ascii="Cambria Math" w:hAnsi="Cambria Math"/>
          </w:rPr>
          <m:t>g</m:t>
        </m:r>
      </m:oMath>
      <w:r>
        <w:t xml:space="preserve"> </w:t>
      </w:r>
      <w:r>
        <w:t>从节点</w:t>
      </w:r>
      <w:r>
        <w:t xml:space="preserve"> </w:t>
      </w:r>
      <m:oMath>
        <m:r>
          <w:rPr>
            <w:rFonts w:ascii="Cambria Math" w:hAnsi="Cambria Math"/>
          </w:rPr>
          <m:t>i</m:t>
        </m:r>
      </m:oMath>
      <w:r>
        <w:t xml:space="preserve"> </w:t>
      </w:r>
      <w:r>
        <w:t>到节点</w:t>
      </w:r>
      <w:r>
        <w:t xml:space="preserve"> </w:t>
      </w:r>
      <m:oMath>
        <m:r>
          <w:rPr>
            <w:rFonts w:ascii="Cambria Math" w:hAnsi="Cambria Math"/>
          </w:rPr>
          <m:t>j</m:t>
        </m:r>
      </m:oMath>
      <w:r>
        <w:t xml:space="preserve"> </w:t>
      </w:r>
      <w:r>
        <w:t>的航段飞行时间（</w:t>
      </w:r>
      <w:r>
        <w:t>s</w:t>
      </w:r>
      <w:r>
        <w:t>）；</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w:t>
      </w:r>
      <w:r>
        <w:t>为水平巡航距离（</w:t>
      </w:r>
      <w:r>
        <w:t>m</w:t>
      </w:r>
      <w:r>
        <w:t>）；</w:t>
      </w:r>
      <m:oMath>
        <m:sSubSup>
          <m:sSubSupPr>
            <m:ctrlPr>
              <w:rPr>
                <w:rFonts w:ascii="Cambria Math" w:hAnsi="Cambria Math"/>
              </w:rPr>
            </m:ctrlPr>
          </m:sSubSupPr>
          <m:e>
            <m:r>
              <w:rPr>
                <w:rFonts w:ascii="Cambria Math" w:hAnsi="Cambria Math"/>
              </w:rPr>
              <m:t>h</m:t>
            </m:r>
          </m:e>
          <m:sub>
            <m:r>
              <w:rPr>
                <w:rFonts w:ascii="Cambria Math" w:hAnsi="Cambria Math"/>
              </w:rPr>
              <m:t>ij</m:t>
            </m:r>
          </m:sub>
          <m:sup>
            <m:r>
              <m:rPr>
                <m:sty m:val="p"/>
              </m:rPr>
              <w:rPr>
                <w:rFonts w:ascii="Cambria Math" w:hAnsi="Cambria Math"/>
              </w:rPr>
              <m:t>+</m:t>
            </m:r>
          </m:sup>
        </m:sSubSup>
      </m:oMath>
      <w:r>
        <w:t>、</w:t>
      </w:r>
      <m:oMath>
        <m:sSubSup>
          <m:sSubSupPr>
            <m:ctrlPr>
              <w:rPr>
                <w:rFonts w:ascii="Cambria Math" w:hAnsi="Cambria Math"/>
              </w:rPr>
            </m:ctrlPr>
          </m:sSubSupPr>
          <m:e>
            <m:r>
              <w:rPr>
                <w:rFonts w:ascii="Cambria Math" w:hAnsi="Cambria Math"/>
              </w:rPr>
              <m:t>h</m:t>
            </m:r>
          </m:e>
          <m:sub>
            <m:r>
              <w:rPr>
                <w:rFonts w:ascii="Cambria Math" w:hAnsi="Cambria Math"/>
              </w:rPr>
              <m:t>ij</m:t>
            </m:r>
          </m:sub>
          <m:sup>
            <m:r>
              <m:rPr>
                <m:sty m:val="p"/>
              </m:rPr>
              <w:rPr>
                <w:rFonts w:ascii="Cambria Math" w:hAnsi="Cambria Math"/>
              </w:rPr>
              <m:t>-</m:t>
            </m:r>
          </m:sup>
        </m:sSubSup>
      </m:oMath>
      <w:r>
        <w:t xml:space="preserve"> </w:t>
      </w:r>
      <w:r>
        <w:t>分别为爬升高度和下降高度（</w:t>
      </w:r>
      <w:r>
        <w:t>m</w:t>
      </w:r>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m:rPr>
                <m:sty m:val="p"/>
              </m:rPr>
              <w:rPr>
                <w:rFonts w:ascii="Cambria Math" w:hAnsi="Cambria Math"/>
              </w:rPr>
              <m:t>↑</m:t>
            </m:r>
          </m:sup>
        </m:sSubSup>
      </m:oMath>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w:rPr>
                <w:rFonts w:ascii="Cambria Math" w:hAnsi="Cambria Math"/>
              </w:rPr>
              <m:t>c</m:t>
            </m:r>
          </m:sup>
        </m:sSubSup>
      </m:oMath>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m:rPr>
                <m:sty m:val="p"/>
              </m:rPr>
              <w:rPr>
                <w:rFonts w:ascii="Cambria Math" w:hAnsi="Cambria Math"/>
              </w:rPr>
              <m:t>↓</m:t>
            </m:r>
          </m:sup>
        </m:sSubSup>
      </m:oMath>
      <w:r>
        <w:t xml:space="preserve"> </w:t>
      </w:r>
      <w:r>
        <w:t>分别为爬升、巡航和下降速度（</w:t>
      </w:r>
      <w:r>
        <w:t>m/s</w:t>
      </w:r>
      <w:r>
        <w:t>）。</w:t>
      </w:r>
    </w:p>
    <w:p w14:paraId="055659B7" w14:textId="77777777" w:rsidR="00AD7F71" w:rsidRDefault="00000000">
      <w:r>
        <w:t>航段运输能耗按水平航程能耗与爬升附加能耗之和计算：</w:t>
      </w:r>
    </w:p>
    <w:p w14:paraId="5CBC6DFD" w14:textId="77777777" w:rsidR="00AD7F71" w:rsidRDefault="00000000">
      <w:pPr>
        <w:pStyle w:val="Formula"/>
        <w:jc w:val="both"/>
      </w:pPr>
      <m:oMathPara>
        <m:oMathParaPr>
          <m:jc m:val="center"/>
        </m:oMathParaPr>
        <m:oMath>
          <m:sSub>
            <m:sSubPr>
              <m:ctrlPr/>
            </m:sSubPr>
            <m:e>
              <m:r>
                <m:t>E</m:t>
              </m:r>
            </m:e>
            <m:sub>
              <m:r>
                <m:t>gij</m:t>
              </m:r>
            </m:sub>
          </m:sSub>
          <m:r>
            <m:rPr>
              <m:sty m:val="p"/>
            </m:rPr>
            <m:t>(</m:t>
          </m:r>
          <m:r>
            <m:t>q</m:t>
          </m:r>
          <m:r>
            <m:rPr>
              <m:sty m:val="p"/>
            </m:rPr>
            <m:t>)=</m:t>
          </m:r>
          <m:sSubSup>
            <m:sSubSupPr>
              <m:ctrlPr/>
            </m:sSubSupPr>
            <m:e>
              <m:r>
                <m:t>E</m:t>
              </m:r>
            </m:e>
            <m:sub>
              <m:r>
                <m:t>gij</m:t>
              </m:r>
            </m:sub>
            <m:sup>
              <m:r>
                <m:rPr>
                  <m:sty m:val="p"/>
                </m:rPr>
                <m:t>hor</m:t>
              </m:r>
            </m:sup>
          </m:sSubSup>
          <m:r>
            <m:rPr>
              <m:sty m:val="p"/>
            </m:rPr>
            <m:t>(</m:t>
          </m:r>
          <m:r>
            <m:t>q</m:t>
          </m:r>
          <m:r>
            <m:rPr>
              <m:sty m:val="p"/>
            </m:rPr>
            <m:t>)+</m:t>
          </m:r>
          <m:sSubSup>
            <m:sSubSupPr>
              <m:ctrlPr/>
            </m:sSubSupPr>
            <m:e>
              <m:r>
                <m:t>E</m:t>
              </m:r>
            </m:e>
            <m:sub>
              <m:r>
                <m:t>gij</m:t>
              </m:r>
            </m:sub>
            <m:sup>
              <m:r>
                <m:rPr>
                  <m:sty m:val="p"/>
                </m:rPr>
                <m:t>up</m:t>
              </m:r>
            </m:sup>
          </m:sSubSup>
          <m:r>
            <m:rPr>
              <m:sty m:val="p"/>
            </m:rPr>
            <m:t>(</m:t>
          </m:r>
          <m:r>
            <m:t>q</m:t>
          </m:r>
          <m:r>
            <m:rPr>
              <m:sty m:val="p"/>
            </m:rPr>
            <m:t>).</m:t>
          </m:r>
        </m:oMath>
      </m:oMathPara>
    </w:p>
    <w:p w14:paraId="43D458B4" w14:textId="77777777" w:rsidR="00AD7F71" w:rsidRDefault="00000000">
      <w:r>
        <w:t>其中，</w:t>
      </w:r>
      <m:oMath>
        <m:sSub>
          <m:sSubPr>
            <m:ctrlPr>
              <w:rPr>
                <w:rFonts w:ascii="Cambria Math" w:hAnsi="Cambria Math"/>
              </w:rPr>
            </m:ctrlPr>
          </m:sSubPr>
          <m:e>
            <m:r>
              <w:rPr>
                <w:rFonts w:ascii="Cambria Math" w:hAnsi="Cambria Math"/>
              </w:rPr>
              <m:t>E</m:t>
            </m:r>
          </m:e>
          <m:sub>
            <m:r>
              <w:rPr>
                <w:rFonts w:ascii="Cambria Math" w:hAnsi="Cambria Math"/>
              </w:rPr>
              <m:t>gij</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为航段总运输能耗，</w:t>
      </w:r>
      <m:oMath>
        <m:sSubSup>
          <m:sSubSupPr>
            <m:ctrlPr>
              <w:rPr>
                <w:rFonts w:ascii="Cambria Math" w:hAnsi="Cambria Math"/>
              </w:rPr>
            </m:ctrlPr>
          </m:sSubSupPr>
          <m:e>
            <m:r>
              <w:rPr>
                <w:rFonts w:ascii="Cambria Math" w:hAnsi="Cambria Math"/>
              </w:rPr>
              <m:t>E</m:t>
            </m:r>
          </m:e>
          <m:sub>
            <m:r>
              <w:rPr>
                <w:rFonts w:ascii="Cambria Math" w:hAnsi="Cambria Math"/>
              </w:rPr>
              <m:t>gij</m:t>
            </m:r>
          </m:sub>
          <m:sup>
            <m:r>
              <m:rPr>
                <m:sty m:val="p"/>
              </m:rPr>
              <w:rPr>
                <w:rFonts w:ascii="Cambria Math" w:hAnsi="Cambria Math"/>
              </w:rPr>
              <m:t>hor</m:t>
            </m:r>
          </m:sup>
        </m:sSubSup>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和</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gij</m:t>
            </m:r>
          </m:sub>
          <m:sup>
            <m:r>
              <m:rPr>
                <m:sty m:val="p"/>
              </m:rPr>
              <w:rPr>
                <w:rFonts w:ascii="Cambria Math" w:hAnsi="Cambria Math"/>
              </w:rPr>
              <m:t>up</m:t>
            </m:r>
          </m:sup>
        </m:sSubSup>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分别为水平巡航能耗和爬升附加能耗（</w:t>
      </w:r>
      <w:r>
        <w:t>kWh</w:t>
      </w:r>
      <w:r>
        <w:t>）。</w:t>
      </w:r>
    </w:p>
    <w:p w14:paraId="445BCA68" w14:textId="77777777" w:rsidR="00AD7F71" w:rsidRDefault="00000000">
      <w:r>
        <w:t>下降能耗效率取</w:t>
      </w:r>
      <w:r>
        <w:t>0</w:t>
      </w:r>
      <w:r>
        <w:t>表示不单独计算下降附加能耗。每个运输架次均须满足返航安全余量：</w:t>
      </w:r>
    </w:p>
    <w:p w14:paraId="1070C988" w14:textId="77777777" w:rsidR="00AD7F71" w:rsidRDefault="00000000">
      <w:pPr>
        <w:pStyle w:val="Formula"/>
        <w:jc w:val="both"/>
      </w:pPr>
      <m:oMathPara>
        <m:oMathParaPr>
          <m:jc m:val="center"/>
        </m:oMathParaPr>
        <m:oMath>
          <m:sSubSup>
            <m:sSubSupPr>
              <m:ctrlPr/>
            </m:sSubSupPr>
            <m:e>
              <m:r>
                <m:t>E</m:t>
              </m:r>
            </m:e>
            <m:sub>
              <m:r>
                <m:t>p</m:t>
              </m:r>
            </m:sub>
            <m:sup>
              <m:r>
                <m:rPr>
                  <m:sty m:val="p"/>
                </m:rPr>
                <m:t>T</m:t>
              </m:r>
            </m:sup>
          </m:sSubSup>
          <m:r>
            <m:rPr>
              <m:sty m:val="p"/>
            </m:rPr>
            <m:t>=</m:t>
          </m:r>
          <m:nary>
            <m:naryPr>
              <m:chr m:val="∑"/>
              <m:limLoc m:val="undOvr"/>
              <m:supHide m:val="1"/>
              <m:ctrlPr/>
            </m:naryPr>
            <m:sub>
              <m:r>
                <m:rPr>
                  <m:sty m:val="p"/>
                </m:rPr>
                <m:t>(</m:t>
              </m:r>
              <m:r>
                <m:t>i</m:t>
              </m:r>
              <m:r>
                <m:rPr>
                  <m:sty m:val="p"/>
                </m:rPr>
                <m:t>,</m:t>
              </m:r>
              <m:r>
                <m:t>j</m:t>
              </m:r>
              <m:r>
                <m:rPr>
                  <m:sty m:val="p"/>
                </m:rPr>
                <m:t>)∈</m:t>
              </m:r>
              <m:r>
                <m:t>p</m:t>
              </m:r>
            </m:sub>
            <m:sup>
              <m:r>
                <m:t>​</m:t>
              </m:r>
            </m:sup>
            <m:e>
              <m:sSub>
                <m:sSubPr>
                  <m:ctrlPr/>
                </m:sSubPr>
                <m:e>
                  <m:r>
                    <m:t>E</m:t>
                  </m:r>
                </m:e>
                <m:sub>
                  <m:r>
                    <m:t>gij</m:t>
                  </m:r>
                </m:sub>
              </m:sSub>
            </m:e>
          </m:nary>
          <m:r>
            <m:rPr>
              <m:sty m:val="p"/>
            </m:rPr>
            <m:t>(</m:t>
          </m:r>
          <m:sSub>
            <m:sSubPr>
              <m:ctrlPr/>
            </m:sSubPr>
            <m:e>
              <m:r>
                <m:t>q</m:t>
              </m:r>
            </m:e>
            <m:sub>
              <m:r>
                <m:t>pij</m:t>
              </m:r>
            </m:sub>
          </m:sSub>
          <m:r>
            <m:rPr>
              <m:sty m:val="p"/>
            </m:rPr>
            <m:t>)≤(</m:t>
          </m:r>
          <m:r>
            <m:t>1</m:t>
          </m:r>
          <m:r>
            <m:rPr>
              <m:sty m:val="p"/>
            </m:rPr>
            <m:t>-</m:t>
          </m:r>
          <m:sSub>
            <m:sSubPr>
              <m:ctrlPr/>
            </m:sSubPr>
            <m:e>
              <m:r>
                <m:t>ρ</m:t>
              </m:r>
            </m:e>
            <m:sub>
              <m:r>
                <m:t>g</m:t>
              </m:r>
            </m:sub>
          </m:sSub>
          <m:r>
            <m:rPr>
              <m:sty m:val="p"/>
            </m:rPr>
            <m:t>)</m:t>
          </m:r>
          <m:sSubSup>
            <m:sSubSupPr>
              <m:ctrlPr/>
            </m:sSubSupPr>
            <m:e>
              <m:r>
                <m:t>E</m:t>
              </m:r>
            </m:e>
            <m:sub>
              <m:r>
                <m:t>g</m:t>
              </m:r>
            </m:sub>
            <m:sup>
              <m:r>
                <m:rPr>
                  <m:sty m:val="p"/>
                </m:rPr>
                <m:t>use</m:t>
              </m:r>
            </m:sup>
          </m:sSubSup>
          <m:r>
            <m:rPr>
              <m:sty m:val="p"/>
            </m:rPr>
            <m:t>.</m:t>
          </m:r>
        </m:oMath>
      </m:oMathPara>
    </w:p>
    <w:p w14:paraId="51F02066" w14:textId="77777777" w:rsidR="00AD7F71" w:rsidRDefault="00000000">
      <w:r>
        <w:t>其中，</w:t>
      </w:r>
      <m:oMath>
        <m:sSubSup>
          <m:sSubSupPr>
            <m:ctrlPr>
              <w:rPr>
                <w:rFonts w:ascii="Cambria Math" w:hAnsi="Cambria Math"/>
              </w:rPr>
            </m:ctrlPr>
          </m:sSubSupPr>
          <m:e>
            <m:r>
              <w:rPr>
                <w:rFonts w:ascii="Cambria Math" w:hAnsi="Cambria Math"/>
              </w:rPr>
              <m:t>E</m:t>
            </m:r>
          </m:e>
          <m:sub>
            <m:r>
              <w:rPr>
                <w:rFonts w:ascii="Cambria Math" w:hAnsi="Cambria Math"/>
              </w:rPr>
              <m:t>p</m:t>
            </m:r>
          </m:sub>
          <m:sup>
            <m:r>
              <w:rPr>
                <w:rFonts w:ascii="Cambria Math" w:hAnsi="Cambria Math"/>
              </w:rPr>
              <m:t>T</m:t>
            </m:r>
          </m:sup>
        </m:sSubSup>
      </m:oMath>
      <w:r>
        <w:t xml:space="preserve"> </w:t>
      </w:r>
      <w:r>
        <w:t>为架次</w:t>
      </w:r>
      <w:r>
        <w:t xml:space="preserve"> </w:t>
      </w:r>
      <m:oMath>
        <m:r>
          <w:rPr>
            <w:rFonts w:ascii="Cambria Math" w:hAnsi="Cambria Math"/>
          </w:rPr>
          <m:t>p</m:t>
        </m:r>
      </m:oMath>
      <w:r>
        <w:t xml:space="preserve"> </w:t>
      </w:r>
      <w:r>
        <w:t>的总运输能耗（</w:t>
      </w:r>
      <w:r>
        <w:t>kWh</w:t>
      </w:r>
      <w:r>
        <w:t>），</w:t>
      </w:r>
      <m:oMath>
        <m:sSub>
          <m:sSubPr>
            <m:ctrlPr>
              <w:rPr>
                <w:rFonts w:ascii="Cambria Math" w:hAnsi="Cambria Math"/>
              </w:rPr>
            </m:ctrlPr>
          </m:sSubPr>
          <m:e>
            <m:r>
              <w:rPr>
                <w:rFonts w:ascii="Cambria Math" w:hAnsi="Cambria Math"/>
              </w:rPr>
              <m:t>q</m:t>
            </m:r>
          </m:e>
          <m:sub>
            <m:r>
              <w:rPr>
                <w:rFonts w:ascii="Cambria Math" w:hAnsi="Cambria Math"/>
              </w:rPr>
              <m:t>pij</m:t>
            </m:r>
          </m:sub>
        </m:sSub>
      </m:oMath>
      <w:r>
        <w:t xml:space="preserve"> </w:t>
      </w:r>
      <w:r>
        <w:t>为架次</w:t>
      </w:r>
      <w:r>
        <w:t xml:space="preserve"> </w:t>
      </w:r>
      <m:oMath>
        <m:r>
          <w:rPr>
            <w:rFonts w:ascii="Cambria Math" w:hAnsi="Cambria Math"/>
          </w:rPr>
          <m:t>p</m:t>
        </m:r>
      </m:oMath>
      <w:r>
        <w:t xml:space="preserve"> </w:t>
      </w:r>
      <w:r>
        <w:t>在航段</w:t>
      </w:r>
      <w:r>
        <w:t xml:space="preserve"> </w:t>
      </w:r>
      <m:oMath>
        <m:r>
          <w:rPr>
            <w:rFonts w:ascii="Cambria Math" w:hAnsi="Cambria Math"/>
          </w:rPr>
          <m:t>i</m:t>
        </m:r>
      </m:oMath>
      <w:r>
        <w:t>→</w:t>
      </w:r>
      <m:oMath>
        <m:r>
          <w:rPr>
            <w:rFonts w:ascii="Cambria Math" w:hAnsi="Cambria Math"/>
          </w:rPr>
          <m:t>j</m:t>
        </m:r>
      </m:oMath>
      <w:r>
        <w:t xml:space="preserve"> </w:t>
      </w:r>
      <w:r>
        <w:t>上的剩余载荷（</w:t>
      </w:r>
      <w:r>
        <w:t>kg</w:t>
      </w:r>
      <w:r>
        <w:t>），</w:t>
      </w:r>
      <m:oMath>
        <m:sSub>
          <m:sSubPr>
            <m:ctrlPr>
              <w:rPr>
                <w:rFonts w:ascii="Cambria Math" w:hAnsi="Cambria Math"/>
              </w:rPr>
            </m:ctrlPr>
          </m:sSubPr>
          <m:e>
            <m:r>
              <w:rPr>
                <w:rFonts w:ascii="Cambria Math" w:hAnsi="Cambria Math"/>
              </w:rPr>
              <m:t>ρ</m:t>
            </m:r>
          </m:e>
          <m:sub>
            <m:r>
              <w:rPr>
                <w:rFonts w:ascii="Cambria Math" w:hAnsi="Cambria Math"/>
              </w:rPr>
              <m:t>g</m:t>
            </m:r>
          </m:sub>
        </m:sSub>
      </m:oMath>
      <w:r>
        <w:t xml:space="preserve"> </w:t>
      </w:r>
      <w:r>
        <w:t>为机型</w:t>
      </w:r>
      <w:r>
        <w:t xml:space="preserve"> </w:t>
      </w:r>
      <m:oMath>
        <m:r>
          <w:rPr>
            <w:rFonts w:ascii="Cambria Math" w:hAnsi="Cambria Math"/>
          </w:rPr>
          <m:t>g</m:t>
        </m:r>
      </m:oMath>
      <w:r>
        <w:t xml:space="preserve"> </w:t>
      </w:r>
      <w:r>
        <w:t>的返航安全余量比例，</w:t>
      </w:r>
      <m:oMath>
        <m:sSubSup>
          <m:sSubSupPr>
            <m:ctrlPr>
              <w:rPr>
                <w:rFonts w:ascii="Cambria Math" w:hAnsi="Cambria Math"/>
              </w:rPr>
            </m:ctrlPr>
          </m:sSubSupPr>
          <m:e>
            <m:r>
              <w:rPr>
                <w:rFonts w:ascii="Cambria Math" w:hAnsi="Cambria Math"/>
              </w:rPr>
              <m:t>E</m:t>
            </m:r>
          </m:e>
          <m:sub>
            <m:r>
              <w:rPr>
                <w:rFonts w:ascii="Cambria Math" w:hAnsi="Cambria Math"/>
              </w:rPr>
              <m:t>g</m:t>
            </m:r>
          </m:sub>
          <m:sup>
            <m:r>
              <m:rPr>
                <m:sty m:val="p"/>
              </m:rPr>
              <w:rPr>
                <w:rFonts w:ascii="Cambria Math" w:hAnsi="Cambria Math"/>
              </w:rPr>
              <m:t>use</m:t>
            </m:r>
          </m:sup>
        </m:sSubSup>
      </m:oMath>
      <w:r>
        <w:t xml:space="preserve"> </w:t>
      </w:r>
      <w:r>
        <w:t>为机型</w:t>
      </w:r>
      <w:r>
        <w:t xml:space="preserve"> </w:t>
      </w:r>
      <m:oMath>
        <m:r>
          <w:rPr>
            <w:rFonts w:ascii="Cambria Math" w:hAnsi="Cambria Math"/>
          </w:rPr>
          <m:t>g</m:t>
        </m:r>
      </m:oMath>
      <w:r>
        <w:t xml:space="preserve"> </w:t>
      </w:r>
      <w:r>
        <w:t>单组电池的可用能量（</w:t>
      </w:r>
      <w:r>
        <w:t>kWh</w:t>
      </w:r>
      <w:r>
        <w:t>）。</w:t>
      </w:r>
    </w:p>
    <w:p w14:paraId="0417D987" w14:textId="77777777" w:rsidR="00AD7F71" w:rsidRDefault="00000000">
      <w:pPr>
        <w:pStyle w:val="3"/>
        <w:rPr>
          <w:rFonts w:hint="eastAsia"/>
        </w:rPr>
      </w:pPr>
      <w:r>
        <w:lastRenderedPageBreak/>
        <w:t>中继无人机时间与能耗：</w:t>
      </w:r>
    </w:p>
    <w:p w14:paraId="2200B5CF" w14:textId="77777777" w:rsidR="00AD7F71" w:rsidRDefault="00000000">
      <w:r>
        <w:rPr>
          <w:rFonts w:hint="eastAsia"/>
        </w:rPr>
        <w:t>中继无人机由</w:t>
      </w:r>
      <w:r>
        <w:rPr>
          <w:rFonts w:hint="eastAsia"/>
        </w:rPr>
        <w:t xml:space="preserve"> O01 </w:t>
      </w:r>
      <w:r>
        <w:rPr>
          <w:rFonts w:hint="eastAsia"/>
        </w:rPr>
        <w:t>出发，到达悬停位置并完成建链后提供通信服务，服务结束后返回</w:t>
      </w:r>
      <w:r>
        <w:rPr>
          <w:rFonts w:hint="eastAsia"/>
        </w:rPr>
        <w:t xml:space="preserve"> O01</w:t>
      </w:r>
      <w:r>
        <w:rPr>
          <w:rFonts w:hint="eastAsia"/>
        </w:rPr>
        <w:t>。</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w:t>
      </w:r>
      <w:r>
        <w:rPr>
          <w:rFonts w:hint="eastAsia"/>
        </w:rPr>
        <w:t>.xlsx</w:t>
      </w:r>
      <w:r>
        <w:rPr>
          <w:rFonts w:hint="eastAsia"/>
        </w:rPr>
        <w:t>”。</w:t>
      </w:r>
    </w:p>
    <w:p w14:paraId="104B8EA8" w14:textId="77777777" w:rsidR="00AD7F71" w:rsidRDefault="00000000">
      <w:pPr>
        <w:pStyle w:val="3"/>
        <w:rPr>
          <w:rFonts w:hint="eastAsia"/>
        </w:rPr>
      </w:pPr>
      <w:r>
        <w:t>电池与能源组件充电周转：</w:t>
      </w:r>
    </w:p>
    <w:p w14:paraId="3DAC8F4F" w14:textId="77777777" w:rsidR="00AD7F71" w:rsidRDefault="00000000">
      <w:r>
        <w:rPr>
          <w:rFonts w:hint="eastAsia"/>
        </w:rPr>
        <w:t>运输无人机共享电池与中继无人机能源组件均作为独立能源资源记录荷电状态（</w:t>
      </w:r>
      <w:r>
        <w:rPr>
          <w:rFonts w:hint="eastAsia"/>
        </w:rPr>
        <w:t>SOC</w:t>
      </w:r>
      <w:r>
        <w:rPr>
          <w:rFonts w:hint="eastAsia"/>
        </w:rPr>
        <w:t>）。其中，附件给出的共享电池总数包含实体无人机初始使用及备用周转所需电池；同一机型的共享电池可在该机型不同实体无人机之间调度使用，不同机型之间不可混用。初始时刻</w:t>
      </w:r>
      <w:r>
        <w:rPr>
          <w:rFonts w:hint="eastAsia"/>
        </w:rPr>
        <w:t xml:space="preserve"> SOC </w:t>
      </w:r>
      <w:r>
        <w:rPr>
          <w:rFonts w:hint="eastAsia"/>
        </w:rPr>
        <w:t>均为</w:t>
      </w:r>
      <w:r>
        <w:rPr>
          <w:rFonts w:hint="eastAsia"/>
        </w:rPr>
        <w:t>100%</w:t>
      </w:r>
      <w:r>
        <w:rPr>
          <w:rFonts w:hint="eastAsia"/>
        </w:rPr>
        <w:t>，任务结束后的剩余</w:t>
      </w:r>
      <w:r>
        <w:rPr>
          <w:rFonts w:hint="eastAsia"/>
        </w:rPr>
        <w:t xml:space="preserve"> SOC </w:t>
      </w:r>
      <w:r>
        <w:rPr>
          <w:rFonts w:hint="eastAsia"/>
        </w:rPr>
        <w:t>根据可用能量和实际能耗计算，且不得低于返航电量下限；再次投入任务前应充至</w:t>
      </w:r>
      <w:r>
        <w:rPr>
          <w:rFonts w:hint="eastAsia"/>
        </w:rPr>
        <w:t>100%</w:t>
      </w:r>
      <w:r>
        <w:rPr>
          <w:rFonts w:hint="eastAsia"/>
        </w:rPr>
        <w:t>。</w:t>
      </w:r>
    </w:p>
    <w:p w14:paraId="2002A018" w14:textId="77777777" w:rsidR="00AD7F71" w:rsidRPr="001F6441" w:rsidRDefault="00000000">
      <w:pPr>
        <w:rPr>
          <w:color w:val="000000" w:themeColor="text1"/>
        </w:rPr>
      </w:pPr>
      <w:r>
        <w:rPr>
          <w:rFonts w:hint="eastAsia"/>
        </w:rPr>
        <w:t>两类能源资源统一采用两阶段等效充电模型：</w:t>
      </w:r>
      <w:r>
        <w:rPr>
          <w:rFonts w:hint="eastAsia"/>
        </w:rPr>
        <w:t>SOC</w:t>
      </w:r>
      <w:r>
        <w:rPr>
          <w:rFonts w:hint="eastAsia"/>
        </w:rPr>
        <w:t>低于</w:t>
      </w:r>
      <w:r>
        <w:rPr>
          <w:rFonts w:hint="eastAsia"/>
        </w:rPr>
        <w:t>90%</w:t>
      </w:r>
      <w:r>
        <w:rPr>
          <w:rFonts w:hint="eastAsia"/>
        </w:rPr>
        <w:t>时为快速阶段，</w:t>
      </w:r>
      <w:r>
        <w:rPr>
          <w:rFonts w:hint="eastAsia"/>
        </w:rPr>
        <w:t>0%</w:t>
      </w:r>
      <w:r>
        <w:rPr>
          <w:rFonts w:hint="eastAsia"/>
        </w:rPr>
        <w:t>至</w:t>
      </w:r>
      <w:r>
        <w:rPr>
          <w:rFonts w:hint="eastAsia"/>
        </w:rPr>
        <w:t>90%</w:t>
      </w:r>
      <w:r>
        <w:rPr>
          <w:rFonts w:hint="eastAsia"/>
        </w:rPr>
        <w:t>阶段占等效完全充电时间的</w:t>
      </w:r>
      <w:r>
        <w:rPr>
          <w:rFonts w:hint="eastAsia"/>
        </w:rPr>
        <w:t>65%</w:t>
      </w:r>
      <w:r>
        <w:rPr>
          <w:rFonts w:hint="eastAsia"/>
        </w:rPr>
        <w:t>；</w:t>
      </w:r>
      <w:r>
        <w:rPr>
          <w:rFonts w:hint="eastAsia"/>
        </w:rPr>
        <w:t>SOC</w:t>
      </w:r>
      <w:r>
        <w:rPr>
          <w:rFonts w:hint="eastAsia"/>
        </w:rPr>
        <w:t>达到</w:t>
      </w:r>
      <w:r>
        <w:rPr>
          <w:rFonts w:hint="eastAsia"/>
        </w:rPr>
        <w:t>90%</w:t>
      </w:r>
      <w:r>
        <w:rPr>
          <w:rFonts w:hint="eastAsia"/>
        </w:rPr>
        <w:t>后进入慢速阶段，</w:t>
      </w:r>
      <w:r>
        <w:rPr>
          <w:rFonts w:hint="eastAsia"/>
        </w:rPr>
        <w:t>90%</w:t>
      </w:r>
      <w:r>
        <w:rPr>
          <w:rFonts w:hint="eastAsia"/>
        </w:rPr>
        <w:t>至</w:t>
      </w:r>
      <w:r>
        <w:rPr>
          <w:rFonts w:hint="eastAsia"/>
        </w:rPr>
        <w:t>100%</w:t>
      </w:r>
      <w:r>
        <w:rPr>
          <w:rFonts w:hint="eastAsia"/>
        </w:rPr>
        <w:t>阶段占等效完全充电时间的</w:t>
      </w:r>
      <w:r>
        <w:rPr>
          <w:rFonts w:hint="eastAsia"/>
        </w:rPr>
        <w:t>35%</w:t>
      </w:r>
      <w:r>
        <w:rPr>
          <w:rFonts w:hint="eastAsia"/>
        </w:rPr>
        <w:t>，各阶段按</w:t>
      </w:r>
      <w:r>
        <w:rPr>
          <w:rFonts w:hint="eastAsia"/>
        </w:rPr>
        <w:t xml:space="preserve"> SOC </w:t>
      </w:r>
      <w:r>
        <w:rPr>
          <w:rFonts w:hint="eastAsia"/>
        </w:rPr>
        <w:t>增量线性折算。运输无人机共享电池和中继无人机能源组件的等效完全充电时间分别见“运输无人机数据</w:t>
      </w:r>
      <w:r>
        <w:rPr>
          <w:rFonts w:hint="eastAsia"/>
        </w:rPr>
        <w:t>.xlsx</w:t>
      </w:r>
      <w:r>
        <w:rPr>
          <w:rFonts w:hint="eastAsia"/>
        </w:rPr>
        <w:t>”和“中继无人机数据</w:t>
      </w:r>
      <w:r>
        <w:rPr>
          <w:rFonts w:hint="eastAsia"/>
        </w:rPr>
        <w:t>.xlsx</w:t>
      </w:r>
      <w:r>
        <w:rPr>
          <w:rFonts w:hint="eastAsia"/>
        </w:rPr>
        <w:t>”。</w:t>
      </w:r>
    </w:p>
    <w:p w14:paraId="1FC47CC2" w14:textId="77777777" w:rsidR="00AD7F71" w:rsidRPr="001F6441" w:rsidRDefault="00000000">
      <w:pPr>
        <w:pStyle w:val="Formula"/>
        <w:spacing w:before="0" w:after="0"/>
        <w:jc w:val="both"/>
        <w:rPr>
          <w:color w:val="000000" w:themeColor="text1"/>
        </w:rPr>
      </w:pPr>
      <m:oMathPara>
        <m:oMath>
          <m:sSub>
            <m:sSubPr>
              <m:ctrlPr>
                <w:rPr>
                  <w:color w:val="000000" w:themeColor="text1"/>
                </w:rPr>
              </m:ctrlPr>
            </m:sSubPr>
            <m:e>
              <m:r>
                <w:rPr>
                  <w:color w:val="000000" w:themeColor="text1"/>
                </w:rPr>
                <m:t>t</m:t>
              </m:r>
            </m:e>
            <m:sub>
              <m:r>
                <w:rPr>
                  <w:color w:val="000000" w:themeColor="text1"/>
                </w:rPr>
                <m:t>chg</m:t>
              </m:r>
            </m:sub>
          </m:sSub>
          <m:r>
            <w:rPr>
              <w:color w:val="000000" w:themeColor="text1"/>
            </w:rPr>
            <m:t>(s) =</m:t>
          </m:r>
          <m:d>
            <m:dPr>
              <m:begChr m:val="{"/>
              <m:endChr m:val=""/>
              <m:ctrlPr>
                <w:rPr>
                  <w:color w:val="000000" w:themeColor="text1"/>
                </w:rPr>
              </m:ctrlPr>
            </m:dPr>
            <m:e>
              <m:m>
                <m:mPr>
                  <m:rSpRule m:val="3"/>
                  <m:rSp m:val="120"/>
                  <m:mcs>
                    <m:mc>
                      <m:mcPr>
                        <m:count m:val="1"/>
                        <m:mcJc m:val="left"/>
                      </m:mcPr>
                    </m:mc>
                  </m:mcs>
                  <m:ctrlPr>
                    <w:rPr>
                      <w:color w:val="000000" w:themeColor="text1"/>
                    </w:rPr>
                  </m:ctrlPr>
                </m:mPr>
                <m:mr>
                  <m:e>
                    <m:sSub>
                      <m:sSubPr>
                        <m:ctrlPr>
                          <w:rPr>
                            <w:color w:val="000000" w:themeColor="text1"/>
                          </w:rPr>
                        </m:ctrlPr>
                      </m:sSubPr>
                      <m:e>
                        <m:r>
                          <w:rPr>
                            <w:color w:val="000000" w:themeColor="text1"/>
                          </w:rPr>
                          <m:t>T</m:t>
                        </m:r>
                      </m:e>
                      <m:sub>
                        <m:r>
                          <w:rPr>
                            <w:color w:val="000000" w:themeColor="text1"/>
                          </w:rPr>
                          <m:t>full</m:t>
                        </m:r>
                      </m:sub>
                    </m:sSub>
                    <m:r>
                      <w:rPr>
                        <w:color w:val="000000" w:themeColor="text1"/>
                      </w:rPr>
                      <m:t>[0.65(0.90 - s)/0.90 + 0.35],    0 ≤ s &lt; 0.90</m:t>
                    </m:r>
                  </m:e>
                </m:mr>
                <m:mr>
                  <m:e>
                    <m:sSub>
                      <m:sSubPr>
                        <m:ctrlPr>
                          <w:rPr>
                            <w:color w:val="000000" w:themeColor="text1"/>
                          </w:rPr>
                        </m:ctrlPr>
                      </m:sSubPr>
                      <m:e>
                        <m:r>
                          <w:rPr>
                            <w:color w:val="000000" w:themeColor="text1"/>
                          </w:rPr>
                          <m:t>T</m:t>
                        </m:r>
                      </m:e>
                      <m:sub>
                        <m:r>
                          <w:rPr>
                            <w:color w:val="000000" w:themeColor="text1"/>
                          </w:rPr>
                          <m:t>full</m:t>
                        </m:r>
                      </m:sub>
                    </m:sSub>
                    <m:r>
                      <w:rPr>
                        <w:color w:val="000000" w:themeColor="text1"/>
                      </w:rPr>
                      <m:t>·0.35(1 - s)/0.10,    0.90 ≤ s ≤ 1</m:t>
                    </m:r>
                  </m:e>
                </m:mr>
              </m:m>
            </m:e>
          </m:d>
        </m:oMath>
      </m:oMathPara>
    </w:p>
    <w:p w14:paraId="4FF2CF41" w14:textId="0C0C3054" w:rsidR="00AD7F71" w:rsidRPr="001F6441" w:rsidRDefault="00000000">
      <w:pPr>
        <w:rPr>
          <w:color w:val="000000" w:themeColor="text1"/>
        </w:rPr>
      </w:pPr>
      <w:r w:rsidRPr="001F6441">
        <w:rPr>
          <w:color w:val="000000" w:themeColor="text1"/>
        </w:rPr>
        <w:t>其中，</w:t>
      </w:r>
      <m:oMath>
        <m:r>
          <w:rPr>
            <w:rFonts w:ascii="Cambria Math" w:hAnsi="Cambria Math"/>
            <w:color w:val="000000" w:themeColor="text1"/>
          </w:rPr>
          <m:t>s</m:t>
        </m:r>
      </m:oMath>
      <w:r w:rsidRPr="001F6441">
        <w:rPr>
          <w:color w:val="000000" w:themeColor="text1"/>
        </w:rPr>
        <w:t>为电池或能源组件任务结束时的</w:t>
      </w:r>
      <w:r w:rsidRPr="001F6441">
        <w:rPr>
          <w:color w:val="000000" w:themeColor="text1"/>
        </w:rPr>
        <w:t>SOC</w:t>
      </w:r>
      <w:r w:rsidRPr="001F6441">
        <w:rPr>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chg</m:t>
            </m:r>
          </m:sub>
        </m:sSub>
        <m:r>
          <w:rPr>
            <w:rFonts w:ascii="Cambria Math" w:hAnsi="Cambria Math"/>
            <w:color w:val="000000" w:themeColor="text1"/>
          </w:rPr>
          <m:t>(s)</m:t>
        </m:r>
      </m:oMath>
      <w:r w:rsidRPr="001F6441">
        <w:rPr>
          <w:color w:val="000000" w:themeColor="text1"/>
        </w:rPr>
        <w:t>表示该资源从任务结束时</w:t>
      </w:r>
      <w:r w:rsidRPr="001F6441">
        <w:rPr>
          <w:color w:val="000000" w:themeColor="text1"/>
        </w:rPr>
        <w:t xml:space="preserve"> SOC </w:t>
      </w:r>
      <w:r w:rsidRPr="001F6441">
        <w:rPr>
          <w:color w:val="000000" w:themeColor="text1"/>
        </w:rPr>
        <w:t>为</w:t>
      </w:r>
      <w:r w:rsidRPr="001F6441">
        <w:rPr>
          <w:color w:val="000000" w:themeColor="text1"/>
        </w:rPr>
        <w:t xml:space="preserve"> </w:t>
      </w:r>
      <m:oMath>
        <m:r>
          <w:rPr>
            <w:rFonts w:ascii="Cambria Math" w:hAnsi="Cambria Math"/>
            <w:color w:val="000000" w:themeColor="text1"/>
          </w:rPr>
          <m:t>s</m:t>
        </m:r>
      </m:oMath>
      <w:r w:rsidRPr="001F6441">
        <w:rPr>
          <w:color w:val="000000" w:themeColor="text1"/>
        </w:rPr>
        <w:t xml:space="preserve"> </w:t>
      </w:r>
      <w:r w:rsidRPr="001F6441">
        <w:rPr>
          <w:color w:val="000000" w:themeColor="text1"/>
        </w:rPr>
        <w:t>的状态充电至</w:t>
      </w:r>
      <w:r w:rsidRPr="001F6441">
        <w:rPr>
          <w:color w:val="000000" w:themeColor="text1"/>
        </w:rPr>
        <w:t>100%</w:t>
      </w:r>
      <w:r w:rsidRPr="001F6441">
        <w:rPr>
          <w:color w:val="000000" w:themeColor="text1"/>
        </w:rPr>
        <w:t>所需的时间，</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full</m:t>
            </m:r>
          </m:sub>
        </m:sSub>
      </m:oMath>
      <w:r w:rsidRPr="001F6441">
        <w:rPr>
          <w:color w:val="000000" w:themeColor="text1"/>
        </w:rPr>
        <w:t>为相应资源的等效完全充电时间。同一资源的任务占用与充电时段不得重叠，不同资源可并行充电。</w:t>
      </w:r>
    </w:p>
    <w:p w14:paraId="3105D3F8" w14:textId="77777777" w:rsidR="00AD7F71" w:rsidRPr="001F6441" w:rsidRDefault="00AD7F71">
      <w:pPr>
        <w:rPr>
          <w:color w:val="000000" w:themeColor="text1"/>
        </w:rPr>
      </w:pPr>
    </w:p>
    <w:p w14:paraId="47A1A563" w14:textId="77777777" w:rsidR="00AD7F71" w:rsidRDefault="00000000">
      <w:pPr>
        <w:pStyle w:val="3"/>
        <w:spacing w:before="80" w:after="0"/>
        <w:ind w:firstLine="0"/>
        <w:rPr>
          <w:rFonts w:ascii="宋体" w:eastAsia="宋体" w:hAnsi="宋体" w:cs="宋体" w:hint="eastAsia"/>
          <w:szCs w:val="24"/>
        </w:rPr>
      </w:pPr>
      <w:r>
        <w:rPr>
          <w:rFonts w:ascii="宋体" w:eastAsia="宋体" w:hAnsi="宋体" w:cs="宋体" w:hint="eastAsia"/>
          <w:szCs w:val="24"/>
        </w:rPr>
        <w:t>附录 3. 通信链路计算与服务规则</w:t>
      </w:r>
    </w:p>
    <w:p w14:paraId="1F52AE12" w14:textId="77777777" w:rsidR="00AD7F71" w:rsidRDefault="00000000">
      <w:pPr>
        <w:pStyle w:val="a0"/>
        <w:rPr>
          <w:rFonts w:ascii="宋体" w:hAnsi="宋体" w:cs="宋体" w:hint="eastAsia"/>
        </w:rPr>
      </w:pPr>
      <w:r>
        <w:t>本附录统一通信链路的地形遮挡、传播损耗、链路预算和服务状态判定口径。</w:t>
      </w:r>
    </w:p>
    <w:p w14:paraId="41EC999E" w14:textId="77777777" w:rsidR="00AD7F71" w:rsidRDefault="00000000">
      <w:pPr>
        <w:pStyle w:val="a0"/>
        <w:ind w:firstLine="0"/>
        <w:rPr>
          <w:rFonts w:ascii="宋体" w:hAnsi="宋体" w:cs="宋体" w:hint="eastAsia"/>
          <w:b/>
          <w:bCs/>
        </w:rPr>
      </w:pPr>
      <w:r>
        <w:rPr>
          <w:rFonts w:ascii="宋体" w:hAnsi="宋体" w:cs="宋体"/>
          <w:b/>
          <w:bCs/>
        </w:rPr>
        <w:t>通信拓扑与参数</w:t>
      </w:r>
    </w:p>
    <w:p w14:paraId="2CCE1B44" w14:textId="77777777" w:rsidR="00AD7F71" w:rsidRDefault="00000000">
      <w:pPr>
        <w:pStyle w:val="aa"/>
        <w:spacing w:beforeAutospacing="0" w:afterAutospacing="0" w:line="284" w:lineRule="auto"/>
        <w:ind w:firstLine="482"/>
        <w:jc w:val="both"/>
      </w:pPr>
      <w:r>
        <w:rPr>
          <w:rFonts w:hint="eastAsia"/>
        </w:rPr>
        <w:t>通信系统由固定网关</w:t>
      </w:r>
      <w:r>
        <w:rPr>
          <w:rFonts w:hint="eastAsia"/>
        </w:rPr>
        <w:t xml:space="preserve"> G01</w:t>
      </w:r>
      <w:r>
        <w:rPr>
          <w:rFonts w:hint="eastAsia"/>
        </w:rPr>
        <w:t>、运输无人机和中继无人机组成。运输无人机可与</w:t>
      </w:r>
      <w:r>
        <w:rPr>
          <w:rFonts w:hint="eastAsia"/>
        </w:rPr>
        <w:t xml:space="preserve"> G01 </w:t>
      </w:r>
      <w:r>
        <w:rPr>
          <w:rFonts w:hint="eastAsia"/>
        </w:rPr>
        <w:t>建立直连链路；直连不可用时，可通过一架中继无人机建立“运输无人机—中继无人机—</w:t>
      </w:r>
      <w:r>
        <w:rPr>
          <w:rFonts w:hint="eastAsia"/>
        </w:rPr>
        <w:t>G01</w:t>
      </w:r>
      <w:r>
        <w:rPr>
          <w:rFonts w:hint="eastAsia"/>
        </w:rPr>
        <w:t>”两段通信链路，不允许中继无人机之间进行多跳转发。通信传播参数及各主体、接口的设备参数见“通信链路参数</w:t>
      </w:r>
      <w:r>
        <w:rPr>
          <w:rFonts w:hint="eastAsia"/>
        </w:rPr>
        <w:t>.xlsx</w:t>
      </w:r>
      <w:r>
        <w:rPr>
          <w:rFonts w:hint="eastAsia"/>
        </w:rPr>
        <w:t>”，链路计算根据实际通信方向采用相应的收发参数。</w:t>
      </w:r>
    </w:p>
    <w:p w14:paraId="79F8C383" w14:textId="77777777" w:rsidR="00AD7F71" w:rsidRDefault="00000000">
      <w:pPr>
        <w:pStyle w:val="aa"/>
        <w:spacing w:beforeAutospacing="0" w:afterAutospacing="0" w:line="284" w:lineRule="auto"/>
        <w:ind w:firstLine="482"/>
        <w:jc w:val="both"/>
      </w:pPr>
      <w:r>
        <w:rPr>
          <w:rFonts w:hint="eastAsia"/>
        </w:rPr>
        <w:t>固定网关</w:t>
      </w:r>
      <w:r>
        <w:rPr>
          <w:rFonts w:hint="eastAsia"/>
        </w:rPr>
        <w:t xml:space="preserve"> G01 </w:t>
      </w:r>
      <w:r>
        <w:rPr>
          <w:rFonts w:hint="eastAsia"/>
        </w:rPr>
        <w:t>设于调度中心</w:t>
      </w:r>
      <w:r>
        <w:rPr>
          <w:rFonts w:hint="eastAsia"/>
        </w:rPr>
        <w:t xml:space="preserve"> O01</w:t>
      </w:r>
      <w:r>
        <w:rPr>
          <w:rFonts w:hint="eastAsia"/>
        </w:rPr>
        <w:t>，其通信端点位置由</w:t>
      </w:r>
      <w:r>
        <w:rPr>
          <w:rFonts w:hint="eastAsia"/>
        </w:rPr>
        <w:t xml:space="preserve"> O01 </w:t>
      </w:r>
      <w:r>
        <w:rPr>
          <w:rFonts w:hint="eastAsia"/>
        </w:rPr>
        <w:t>的地理坐标、地面海拔和网关天线离地高度确定。运输无人机的位置与飞行海拔按附录</w:t>
      </w:r>
      <w:r>
        <w:rPr>
          <w:rFonts w:hint="eastAsia"/>
        </w:rPr>
        <w:t>2</w:t>
      </w:r>
      <w:r>
        <w:rPr>
          <w:rFonts w:hint="eastAsia"/>
        </w:rPr>
        <w:t>确定，</w:t>
      </w:r>
      <w:r>
        <w:rPr>
          <w:rFonts w:hint="eastAsia"/>
        </w:rPr>
        <w:lastRenderedPageBreak/>
        <w:t>中继无人机的位置与飞行海拔由问题三的悬停方案确定。链路状态根据同一时刻通信端点的三维位置计算。</w:t>
      </w:r>
    </w:p>
    <w:p w14:paraId="57716130" w14:textId="77777777" w:rsidR="00AD7F71" w:rsidRDefault="00000000">
      <w:pPr>
        <w:pStyle w:val="3"/>
        <w:rPr>
          <w:rFonts w:hint="eastAsia"/>
        </w:rPr>
      </w:pPr>
      <w:r>
        <w:rPr>
          <w:rFonts w:ascii="Times New Roman" w:eastAsia="宋体" w:hAnsi="Times New Roman" w:cs="Times New Roman"/>
          <w:bCs/>
          <w:szCs w:val="24"/>
        </w:rPr>
        <w:t>通信链路计算与状态判定</w:t>
      </w:r>
    </w:p>
    <w:p w14:paraId="33AA5E28" w14:textId="77777777" w:rsidR="00AD7F71" w:rsidRPr="001F6441" w:rsidRDefault="00000000">
      <w:pPr>
        <w:pStyle w:val="a0"/>
        <w:keepNext/>
        <w:ind w:firstLine="0"/>
        <w:rPr>
          <w:rFonts w:ascii="宋体" w:hAnsi="宋体" w:cs="宋体" w:hint="eastAsia"/>
          <w:b/>
          <w:bCs/>
          <w:color w:val="000000" w:themeColor="text1"/>
        </w:rPr>
      </w:pPr>
      <w:r>
        <w:rPr>
          <w:b/>
          <w:bCs/>
        </w:rPr>
        <w:t>（</w:t>
      </w:r>
      <w:r>
        <w:rPr>
          <w:b/>
          <w:bCs/>
        </w:rPr>
        <w:t>1</w:t>
      </w:r>
      <w:r>
        <w:rPr>
          <w:b/>
          <w:bCs/>
        </w:rPr>
        <w:t>）地形遮</w:t>
      </w:r>
      <w:r w:rsidRPr="001F6441">
        <w:rPr>
          <w:b/>
          <w:bCs/>
          <w:color w:val="000000" w:themeColor="text1"/>
        </w:rPr>
        <w:t>挡判定</w:t>
      </w:r>
    </w:p>
    <w:p w14:paraId="29EAF7B4" w14:textId="77777777" w:rsidR="00AD7F71" w:rsidRPr="001F6441" w:rsidRDefault="00000000">
      <w:pPr>
        <w:pStyle w:val="aa"/>
        <w:spacing w:beforeAutospacing="0" w:afterAutospacing="0" w:line="284" w:lineRule="auto"/>
        <w:jc w:val="both"/>
        <w:rPr>
          <w:color w:val="000000" w:themeColor="text1"/>
        </w:rPr>
      </w:pPr>
      <w:r w:rsidRPr="001F6441">
        <w:rPr>
          <w:color w:val="000000" w:themeColor="text1"/>
        </w:rPr>
        <w:t>任</w:t>
      </w:r>
      <w:r w:rsidRPr="001F6441">
        <w:rPr>
          <w:rFonts w:hint="eastAsia"/>
          <w:color w:val="000000" w:themeColor="text1"/>
        </w:rPr>
        <w:t>意两个通信端点之间，根据其三维位置及</w:t>
      </w:r>
      <w:r w:rsidRPr="001F6441">
        <w:rPr>
          <w:rFonts w:hint="eastAsia"/>
          <w:color w:val="000000" w:themeColor="text1"/>
        </w:rPr>
        <w:t>30</w:t>
      </w:r>
      <w:r w:rsidRPr="001F6441">
        <w:rPr>
          <w:rFonts w:hint="eastAsia"/>
          <w:color w:val="000000" w:themeColor="text1"/>
        </w:rPr>
        <w:t>米</w:t>
      </w:r>
      <w:r w:rsidRPr="001F6441">
        <w:rPr>
          <w:rFonts w:hint="eastAsia"/>
          <w:color w:val="000000" w:themeColor="text1"/>
        </w:rPr>
        <w:t xml:space="preserve"> DEM </w:t>
      </w:r>
      <w:r w:rsidRPr="001F6441">
        <w:rPr>
          <w:rFonts w:hint="eastAsia"/>
          <w:color w:val="000000" w:themeColor="text1"/>
        </w:rPr>
        <w:t>判断视线连线是否受到地形遮挡。根据两端点视线连线与沿途地形是否发生遮挡，记地形遮挡变量为</w:t>
      </w:r>
    </w:p>
    <w:p w14:paraId="362D7FB2" w14:textId="77777777" w:rsidR="00AD7F71" w:rsidRDefault="00000000">
      <w:pPr>
        <w:pStyle w:val="Formula"/>
        <w:spacing w:before="0" w:after="0"/>
        <w:jc w:val="both"/>
      </w:pPr>
      <m:oMathPara>
        <m:oMathParaPr>
          <m:jc m:val="center"/>
        </m:oMathParaPr>
        <m:oMath>
          <m:sSub>
            <m:sSubPr>
              <m:ctrlPr>
                <w:rPr>
                  <w:color w:val="000000" w:themeColor="text1"/>
                </w:rPr>
              </m:ctrlPr>
            </m:sSubPr>
            <m:e>
              <m:r>
                <w:rPr>
                  <w:color w:val="000000" w:themeColor="text1"/>
                </w:rPr>
                <m:t>b</m:t>
              </m:r>
            </m:e>
            <m:sub>
              <m:r>
                <w:rPr>
                  <w:color w:val="000000" w:themeColor="text1"/>
                </w:rPr>
                <m:t>ij</m:t>
              </m:r>
            </m:sub>
          </m:sSub>
          <m:d>
            <m:dPr>
              <m:ctrlPr>
                <w:rPr>
                  <w:color w:val="000000" w:themeColor="text1"/>
                </w:rPr>
              </m:ctrlPr>
            </m:dPr>
            <m:e>
              <m:r>
                <w:rPr>
                  <w:color w:val="000000" w:themeColor="text1"/>
                </w:rPr>
                <m:t>t</m:t>
              </m:r>
            </m:e>
          </m:d>
          <m:r>
            <m:rPr>
              <m:sty m:val="p"/>
            </m:rPr>
            <w:rPr>
              <w:color w:val="000000" w:themeColor="text1"/>
            </w:rPr>
            <m:t>=</m:t>
          </m:r>
          <m:d>
            <m:dPr>
              <m:begChr m:val="{"/>
              <m:endChr m:val=""/>
              <m:ctrlPr>
                <w:rPr>
                  <w:color w:val="000000" w:themeColor="text1"/>
                </w:rPr>
              </m:ctrlPr>
            </m:dPr>
            <m:e>
              <m:m>
                <m:mPr>
                  <m:plcHide m:val="1"/>
                  <m:mcs>
                    <m:mc>
                      <m:mcPr>
                        <m:count m:val="2"/>
                        <m:mcJc m:val="left"/>
                      </m:mcPr>
                    </m:mc>
                  </m:mcs>
                  <m:ctrlPr>
                    <w:rPr>
                      <w:color w:val="000000" w:themeColor="text1"/>
                    </w:rPr>
                  </m:ctrlPr>
                </m:mPr>
                <m:mr>
                  <m:e>
                    <m:r>
                      <w:rPr>
                        <w:color w:val="000000" w:themeColor="text1"/>
                      </w:rPr>
                      <m:t>0</m:t>
                    </m:r>
                    <m:r>
                      <m:rPr>
                        <m:sty m:val="p"/>
                      </m:rPr>
                      <w:rPr>
                        <w:color w:val="000000" w:themeColor="text1"/>
                      </w:rPr>
                      <m:t>,</m:t>
                    </m:r>
                  </m:e>
                  <m:e>
                    <m:r>
                      <m:rPr>
                        <m:nor/>
                      </m:rPr>
                      <w:rPr>
                        <w:color w:val="000000" w:themeColor="text1"/>
                      </w:rPr>
                      <m:t>端点</m:t>
                    </m:r>
                    <m:r>
                      <w:rPr>
                        <w:color w:val="000000" w:themeColor="text1"/>
                      </w:rPr>
                      <m:t>i</m:t>
                    </m:r>
                    <m:r>
                      <m:rPr>
                        <m:nor/>
                      </m:rPr>
                      <w:rPr>
                        <w:color w:val="000000" w:themeColor="text1"/>
                      </w:rPr>
                      <m:t>与</m:t>
                    </m:r>
                    <m:r>
                      <w:rPr>
                        <w:color w:val="000000" w:themeColor="text1"/>
                      </w:rPr>
                      <m:t>j</m:t>
                    </m:r>
                    <m:r>
                      <m:rPr>
                        <m:nor/>
                      </m:rPr>
                      <w:rPr>
                        <w:color w:val="000000" w:themeColor="text1"/>
                      </w:rPr>
                      <m:t>之间不存在地形遮挡</m:t>
                    </m:r>
                    <m:r>
                      <m:rPr>
                        <m:sty m:val="p"/>
                      </m:rPr>
                      <w:rPr>
                        <w:color w:val="000000" w:themeColor="text1"/>
                      </w:rPr>
                      <m:t>,</m:t>
                    </m:r>
                  </m:e>
                </m:mr>
                <m:mr>
                  <m:e>
                    <m:r>
                      <w:rPr>
                        <w:color w:val="000000" w:themeColor="text1"/>
                      </w:rPr>
                      <m:t>1</m:t>
                    </m:r>
                    <m:r>
                      <m:rPr>
                        <m:sty m:val="p"/>
                      </m:rPr>
                      <w:rPr>
                        <w:color w:val="000000" w:themeColor="text1"/>
                      </w:rPr>
                      <m:t>,</m:t>
                    </m:r>
                  </m:e>
                  <m:e>
                    <m:r>
                      <m:rPr>
                        <m:nor/>
                      </m:rPr>
                      <w:rPr>
                        <w:color w:val="000000" w:themeColor="text1"/>
                      </w:rPr>
                      <m:t>端点</m:t>
                    </m:r>
                    <m:r>
                      <w:rPr>
                        <w:color w:val="000000" w:themeColor="text1"/>
                      </w:rPr>
                      <m:t>i</m:t>
                    </m:r>
                    <m:r>
                      <m:rPr>
                        <m:nor/>
                      </m:rPr>
                      <w:rPr>
                        <w:color w:val="000000" w:themeColor="text1"/>
                      </w:rPr>
                      <m:t>与</m:t>
                    </m:r>
                    <m:r>
                      <w:rPr>
                        <w:color w:val="000000" w:themeColor="text1"/>
                      </w:rPr>
                      <m:t>j</m:t>
                    </m:r>
                    <m:r>
                      <m:rPr>
                        <m:nor/>
                      </m:rPr>
                      <w:rPr>
                        <w:color w:val="000000" w:themeColor="text1"/>
                      </w:rPr>
                      <m:t>之间存在地形遮挡</m:t>
                    </m:r>
                  </m:e>
                </m:mr>
              </m:m>
            </m:e>
          </m:d>
        </m:oMath>
      </m:oMathPara>
    </w:p>
    <w:p w14:paraId="0A889833" w14:textId="77777777" w:rsidR="00AD7F71" w:rsidRDefault="00000000">
      <w:pPr>
        <w:pStyle w:val="a0"/>
        <w:keepNext/>
        <w:ind w:firstLine="0"/>
        <w:rPr>
          <w:rFonts w:ascii="宋体" w:hAnsi="宋体" w:cs="宋体" w:hint="eastAsia"/>
          <w:b/>
          <w:bCs/>
        </w:rPr>
      </w:pPr>
      <w:r>
        <w:rPr>
          <w:b/>
          <w:bCs/>
        </w:rPr>
        <w:t>（</w:t>
      </w:r>
      <w:r>
        <w:rPr>
          <w:b/>
          <w:bCs/>
        </w:rPr>
        <w:t>2</w:t>
      </w:r>
      <w:r>
        <w:rPr>
          <w:b/>
          <w:bCs/>
        </w:rPr>
        <w:t>）接收门限与双向链路预算</w:t>
      </w:r>
    </w:p>
    <w:p w14:paraId="35438969" w14:textId="77777777" w:rsidR="00AD7F71" w:rsidRDefault="00000000">
      <w:pPr>
        <w:pStyle w:val="aa"/>
        <w:spacing w:beforeAutospacing="0" w:afterAutospacing="0" w:line="284" w:lineRule="auto"/>
        <w:jc w:val="both"/>
      </w:pPr>
      <w:r>
        <w:t>有效接收门限由接收灵敏度和衰落裕量共同确定：</w:t>
      </w:r>
    </w:p>
    <w:p w14:paraId="7AFB536A" w14:textId="77777777" w:rsidR="00AD7F71" w:rsidRDefault="00000000">
      <w:pPr>
        <w:pStyle w:val="Formula"/>
        <w:spacing w:before="0" w:after="0"/>
        <w:jc w:val="both"/>
      </w:pPr>
      <m:oMathPara>
        <m:oMathParaPr>
          <m:jc m:val="center"/>
        </m:oMathParaPr>
        <m:oMath>
          <m:sSubSup>
            <m:sSubSupPr>
              <m:ctrlPr/>
            </m:sSubSupPr>
            <m:e>
              <m:r>
                <m:t>P</m:t>
              </m:r>
            </m:e>
            <m:sub>
              <m:r>
                <m:rPr>
                  <m:sty m:val="p"/>
                </m:rPr>
                <m:t>th</m:t>
              </m:r>
            </m:sub>
            <m:sup>
              <m:r>
                <m:t>b</m:t>
              </m:r>
            </m:sup>
          </m:sSubSup>
          <m:r>
            <m:rPr>
              <m:sty m:val="p"/>
            </m:rPr>
            <m:t>=</m:t>
          </m:r>
          <m:sSubSup>
            <m:sSubSupPr>
              <m:ctrlPr/>
            </m:sSubSupPr>
            <m:e>
              <m:r>
                <m:t>P</m:t>
              </m:r>
            </m:e>
            <m:sub>
              <m:r>
                <m:rPr>
                  <m:sty m:val="p"/>
                </m:rPr>
                <m:t>sens</m:t>
              </m:r>
            </m:sub>
            <m:sup>
              <m:r>
                <m:t>b</m:t>
              </m:r>
            </m:sup>
          </m:sSubSup>
          <m:r>
            <m:rPr>
              <m:sty m:val="p"/>
            </m:rPr>
            <m:t>+</m:t>
          </m:r>
          <m:sSup>
            <m:sSupPr>
              <m:ctrlPr/>
            </m:sSupPr>
            <m:e>
              <m:r>
                <m:t>M</m:t>
              </m:r>
            </m:e>
            <m:sup>
              <m:r>
                <m:t>b</m:t>
              </m:r>
            </m:sup>
          </m:sSup>
        </m:oMath>
      </m:oMathPara>
    </w:p>
    <w:p w14:paraId="16BBF449" w14:textId="77777777" w:rsidR="00AD7F71" w:rsidRDefault="00000000">
      <w:pPr>
        <w:pStyle w:val="aa"/>
        <w:spacing w:beforeAutospacing="0" w:afterAutospacing="0" w:line="284" w:lineRule="auto"/>
        <w:jc w:val="both"/>
      </w:pPr>
      <w:r>
        <w:t>其中，</w:t>
      </w:r>
      <m:oMath>
        <m:sSubSup>
          <m:sSubSupPr>
            <m:ctrlPr>
              <w:rPr>
                <w:rFonts w:ascii="Cambria Math" w:hAnsi="Cambria Math"/>
              </w:rPr>
            </m:ctrlPr>
          </m:sSubSupPr>
          <m:e>
            <m:r>
              <w:rPr>
                <w:rFonts w:ascii="Cambria Math" w:hAnsi="Cambria Math"/>
              </w:rPr>
              <m:t>P</m:t>
            </m:r>
          </m:e>
          <m:sub>
            <m:r>
              <m:rPr>
                <m:sty m:val="p"/>
              </m:rPr>
              <w:rPr>
                <w:rFonts w:ascii="Cambria Math" w:hAnsi="Cambria Math"/>
              </w:rPr>
              <m:t>sens</m:t>
            </m:r>
          </m:sub>
          <m:sup>
            <m:r>
              <w:rPr>
                <w:rFonts w:ascii="Cambria Math" w:hAnsi="Cambria Math"/>
              </w:rPr>
              <m:t>b</m:t>
            </m:r>
          </m:sup>
        </m:sSubSup>
      </m:oMath>
      <w:r>
        <w:t xml:space="preserve"> </w:t>
      </w:r>
      <w:r>
        <w:t>和</w:t>
      </w:r>
      <w:r>
        <w:t xml:space="preserve"> </w:t>
      </w:r>
      <m:oMath>
        <m:sSup>
          <m:sSupPr>
            <m:ctrlPr>
              <w:rPr>
                <w:rFonts w:ascii="Cambria Math" w:hAnsi="Cambria Math"/>
              </w:rPr>
            </m:ctrlPr>
          </m:sSupPr>
          <m:e>
            <m:r>
              <w:rPr>
                <w:rFonts w:ascii="Cambria Math" w:hAnsi="Cambria Math"/>
              </w:rPr>
              <m:t>M</m:t>
            </m:r>
          </m:e>
          <m:sup>
            <m:r>
              <w:rPr>
                <w:rFonts w:ascii="Cambria Math" w:hAnsi="Cambria Math"/>
              </w:rPr>
              <m:t>b</m:t>
            </m:r>
          </m:sup>
        </m:sSup>
      </m:oMath>
      <w:r>
        <w:t xml:space="preserve"> </w:t>
      </w:r>
      <w:r>
        <w:t>分别为接收端</w:t>
      </w:r>
      <w:r>
        <w:t xml:space="preserve"> </w:t>
      </w:r>
      <m:oMath>
        <m:r>
          <w:rPr>
            <w:rFonts w:ascii="Cambria Math" w:hAnsi="Cambria Math"/>
          </w:rPr>
          <m:t>b</m:t>
        </m:r>
      </m:oMath>
      <w:r>
        <w:t xml:space="preserve"> </w:t>
      </w:r>
      <w:r>
        <w:t>的接收灵敏度和衰落裕量，</w:t>
      </w:r>
      <w:r>
        <w:rPr>
          <w:rFonts w:ascii="Cambria Math" w:hAnsi="Cambria Math" w:cs="Cambria Math"/>
        </w:rPr>
        <w:t>具体取值见</w:t>
      </w:r>
      <w:r>
        <w:rPr>
          <w:rFonts w:ascii="Cambria Math" w:hAnsi="Cambria Math" w:cs="Cambria Math"/>
        </w:rPr>
        <w:t>“</w:t>
      </w:r>
      <w:r>
        <w:rPr>
          <w:rFonts w:ascii="Cambria Math" w:hAnsi="Cambria Math" w:cs="Cambria Math"/>
        </w:rPr>
        <w:t>通信链路参数</w:t>
      </w:r>
      <w:r>
        <w:rPr>
          <w:rFonts w:ascii="Cambria Math" w:hAnsi="Cambria Math" w:cs="Cambria Math"/>
        </w:rPr>
        <w:t>.xlsx”</w:t>
      </w:r>
      <w:r>
        <w:rPr>
          <w:rFonts w:ascii="Cambria Math" w:hAnsi="Cambria Math" w:cs="Cambria Math"/>
        </w:rPr>
        <w:t>。</w:t>
      </w:r>
    </w:p>
    <w:p w14:paraId="439741DA" w14:textId="77777777" w:rsidR="00AD7F71" w:rsidRDefault="00000000">
      <w:pPr>
        <w:pStyle w:val="aa"/>
        <w:spacing w:beforeAutospacing="0" w:afterAutospacing="0" w:line="284" w:lineRule="auto"/>
        <w:jc w:val="both"/>
      </w:pPr>
      <w:r>
        <w:t>对于通信方向</w:t>
      </w:r>
      <w:r>
        <w:t xml:space="preserve"> </w:t>
      </w:r>
      <m:oMath>
        <m:r>
          <w:rPr>
            <w:rFonts w:ascii="Cambria Math" w:hAnsi="Cambria Math"/>
          </w:rPr>
          <m:t>a</m:t>
        </m:r>
        <m:r>
          <m:rPr>
            <m:sty m:val="p"/>
          </m:rPr>
          <w:rPr>
            <w:rFonts w:ascii="Cambria Math" w:hAnsi="Cambria Math"/>
          </w:rPr>
          <m:t>→</m:t>
        </m:r>
        <m:r>
          <w:rPr>
            <w:rFonts w:ascii="Cambria Math" w:hAnsi="Cambria Math"/>
          </w:rPr>
          <m:t>b</m:t>
        </m:r>
      </m:oMath>
      <w:r>
        <w:t>，最大允许总传播损耗为</w:t>
      </w:r>
    </w:p>
    <w:p w14:paraId="1CC61DEA" w14:textId="77777777" w:rsidR="00AD7F71" w:rsidRDefault="00000000">
      <w:pPr>
        <w:pStyle w:val="Formula"/>
        <w:spacing w:before="0" w:after="0"/>
        <w:jc w:val="both"/>
      </w:pPr>
      <m:oMathPara>
        <m:oMathParaPr>
          <m:jc m:val="center"/>
        </m:oMathParaPr>
        <m:oMath>
          <m:sSubSup>
            <m:sSubSupPr>
              <m:ctrlPr/>
            </m:sSubSupPr>
            <m:e>
              <m:r>
                <m:t>L</m:t>
              </m:r>
            </m:e>
            <m:sub>
              <m:r>
                <m:rPr>
                  <m:sty m:val="p"/>
                </m:rPr>
                <m:t>max</m:t>
              </m:r>
            </m:sub>
            <m:sup>
              <m:r>
                <m:t>a</m:t>
              </m:r>
              <m:r>
                <m:rPr>
                  <m:sty m:val="p"/>
                </m:rPr>
                <m:t>→</m:t>
              </m:r>
              <m:r>
                <m:t>b</m:t>
              </m:r>
            </m:sup>
          </m:sSubSup>
          <m:r>
            <m:rPr>
              <m:sty m:val="p"/>
            </m:rPr>
            <m:t>=</m:t>
          </m:r>
          <m:sSubSup>
            <m:sSubSupPr>
              <m:ctrlPr/>
            </m:sSubSupPr>
            <m:e>
              <m:r>
                <m:t>P</m:t>
              </m:r>
            </m:e>
            <m:sub>
              <m:r>
                <m:t>t</m:t>
              </m:r>
            </m:sub>
            <m:sup>
              <m:r>
                <m:t>a</m:t>
              </m:r>
            </m:sup>
          </m:sSubSup>
          <m:r>
            <m:rPr>
              <m:sty m:val="p"/>
            </m:rPr>
            <m:t>+</m:t>
          </m:r>
          <m:sSubSup>
            <m:sSubSupPr>
              <m:ctrlPr/>
            </m:sSubSupPr>
            <m:e>
              <m:r>
                <m:t>G</m:t>
              </m:r>
            </m:e>
            <m:sub>
              <m:r>
                <m:t>t</m:t>
              </m:r>
            </m:sub>
            <m:sup>
              <m:r>
                <m:t>a</m:t>
              </m:r>
            </m:sup>
          </m:sSubSup>
          <m:r>
            <m:rPr>
              <m:sty m:val="p"/>
            </m:rPr>
            <m:t>+</m:t>
          </m:r>
          <m:sSubSup>
            <m:sSubSupPr>
              <m:ctrlPr/>
            </m:sSubSupPr>
            <m:e>
              <m:r>
                <m:t>G</m:t>
              </m:r>
            </m:e>
            <m:sub>
              <m:r>
                <m:t>r</m:t>
              </m:r>
            </m:sub>
            <m:sup>
              <m:r>
                <m:t>b</m:t>
              </m:r>
            </m:sup>
          </m:sSubSup>
          <m:r>
            <m:rPr>
              <m:sty m:val="p"/>
            </m:rPr>
            <m:t>-</m:t>
          </m:r>
          <m:sSub>
            <m:sSubPr>
              <m:ctrlPr/>
            </m:sSubPr>
            <m:e>
              <m:r>
                <m:t>L</m:t>
              </m:r>
            </m:e>
            <m:sub>
              <m:r>
                <m:rPr>
                  <m:sty m:val="p"/>
                </m:rPr>
                <m:t>sys</m:t>
              </m:r>
            </m:sub>
          </m:sSub>
          <m:r>
            <m:rPr>
              <m:sty m:val="p"/>
            </m:rPr>
            <m:t>-</m:t>
          </m:r>
          <m:sSubSup>
            <m:sSubSupPr>
              <m:ctrlPr/>
            </m:sSubSupPr>
            <m:e>
              <m:r>
                <m:t>P</m:t>
              </m:r>
            </m:e>
            <m:sub>
              <m:r>
                <m:rPr>
                  <m:sty m:val="p"/>
                </m:rPr>
                <m:t>th</m:t>
              </m:r>
            </m:sub>
            <m:sup>
              <m:r>
                <m:t>b</m:t>
              </m:r>
            </m:sup>
          </m:sSubSup>
        </m:oMath>
      </m:oMathPara>
    </w:p>
    <w:p w14:paraId="77766C0D" w14:textId="77777777" w:rsidR="00AD7F71" w:rsidRDefault="00000000">
      <w:pPr>
        <w:pStyle w:val="aa"/>
        <w:spacing w:beforeAutospacing="0" w:afterAutospacing="0" w:line="284" w:lineRule="auto"/>
        <w:jc w:val="both"/>
      </w:pPr>
      <w:r>
        <w:t>其中，</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a</m:t>
            </m:r>
          </m:sup>
        </m:sSubSup>
      </m:oMath>
      <w:r>
        <w:t xml:space="preserve"> </w:t>
      </w:r>
      <w:r>
        <w:t>和</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a</m:t>
            </m:r>
          </m:sup>
        </m:sSubSup>
      </m:oMath>
      <w:r>
        <w:t xml:space="preserve"> </w:t>
      </w:r>
      <w:r>
        <w:t>分别为发射端</w:t>
      </w:r>
      <w:r>
        <w:t xml:space="preserve"> </w:t>
      </w:r>
      <m:oMath>
        <m:r>
          <w:rPr>
            <w:rFonts w:ascii="Cambria Math" w:hAnsi="Cambria Math"/>
          </w:rPr>
          <m:t>a</m:t>
        </m:r>
      </m:oMath>
      <w:r>
        <w:t xml:space="preserve"> </w:t>
      </w:r>
      <w:r>
        <w:t>的发射功率和发射天线增益，</w:t>
      </w:r>
      <m:oMath>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b</m:t>
            </m:r>
          </m:sup>
        </m:sSubSup>
      </m:oMath>
      <w:r>
        <w:t xml:space="preserve"> </w:t>
      </w:r>
      <w:r>
        <w:t>为接收端</w:t>
      </w:r>
      <w:r>
        <w:t xml:space="preserve"> </w:t>
      </w:r>
      <m:oMath>
        <m:r>
          <w:rPr>
            <w:rFonts w:ascii="Cambria Math" w:hAnsi="Cambria Math"/>
          </w:rPr>
          <m:t>b</m:t>
        </m:r>
      </m:oMath>
      <w:r>
        <w:t xml:space="preserve"> </w:t>
      </w:r>
      <w:r>
        <w:t>的接收天线增益，</w:t>
      </w:r>
      <m:oMath>
        <m:sSub>
          <m:sSubPr>
            <m:ctrlPr>
              <w:rPr>
                <w:rFonts w:ascii="Cambria Math" w:hAnsi="Cambria Math"/>
              </w:rPr>
            </m:ctrlPr>
          </m:sSubPr>
          <m:e>
            <m:r>
              <w:rPr>
                <w:rFonts w:ascii="Cambria Math" w:hAnsi="Cambria Math"/>
              </w:rPr>
              <m:t>L</m:t>
            </m:r>
          </m:e>
          <m:sub>
            <m:r>
              <m:rPr>
                <m:sty m:val="p"/>
              </m:rPr>
              <w:rPr>
                <w:rFonts w:ascii="Cambria Math" w:hAnsi="Cambria Math"/>
              </w:rPr>
              <m:t>sys</m:t>
            </m:r>
          </m:sub>
        </m:sSub>
      </m:oMath>
      <w:r>
        <w:t xml:space="preserve"> </w:t>
      </w:r>
      <w:r>
        <w:t>为系统损耗。</w:t>
      </w:r>
    </w:p>
    <w:p w14:paraId="151C2AF5" w14:textId="77777777" w:rsidR="00AD7F71" w:rsidRDefault="00000000">
      <w:pPr>
        <w:pStyle w:val="aa"/>
        <w:spacing w:beforeAutospacing="0" w:afterAutospacing="0" w:line="284" w:lineRule="auto"/>
        <w:jc w:val="both"/>
      </w:pPr>
      <w:r>
        <w:t>由于运输控制与状态回传均需要通信保障，主体</w:t>
      </w:r>
      <w:r>
        <w:t xml:space="preserve"> </w:t>
      </w:r>
      <m:oMath>
        <m:r>
          <w:rPr>
            <w:rFonts w:ascii="Cambria Math" w:hAnsi="Cambria Math"/>
          </w:rPr>
          <m:t>a</m:t>
        </m:r>
      </m:oMath>
      <w:r>
        <w:t xml:space="preserve"> </w:t>
      </w:r>
      <w:r>
        <w:t>与</w:t>
      </w:r>
      <w:r>
        <w:t xml:space="preserve"> </w:t>
      </w:r>
      <m:oMath>
        <m:r>
          <w:rPr>
            <w:rFonts w:ascii="Cambria Math" w:hAnsi="Cambria Math"/>
          </w:rPr>
          <m:t>b</m:t>
        </m:r>
      </m:oMath>
      <w:r>
        <w:t xml:space="preserve"> </w:t>
      </w:r>
      <w:r>
        <w:t>之间按照双向链路进行判定，其链路门限取两个通信方向最大允许传播损耗中的较小值：</w:t>
      </w:r>
    </w:p>
    <w:p w14:paraId="74A8B2C5" w14:textId="77777777" w:rsidR="00AD7F71" w:rsidRDefault="00000000">
      <w:pPr>
        <w:pStyle w:val="Formula"/>
        <w:spacing w:before="0" w:after="0"/>
        <w:jc w:val="both"/>
      </w:pPr>
      <m:oMathPara>
        <m:oMathParaPr>
          <m:jc m:val="center"/>
        </m:oMathParaPr>
        <m:oMath>
          <m:sSubSup>
            <m:sSubSupPr>
              <m:ctrlPr/>
            </m:sSubSupPr>
            <m:e>
              <m:r>
                <m:t>L</m:t>
              </m:r>
            </m:e>
            <m:sub>
              <m:r>
                <m:rPr>
                  <m:sty m:val="p"/>
                </m:rPr>
                <m:t>max</m:t>
              </m:r>
            </m:sub>
            <m:sup>
              <m:r>
                <m:t>a</m:t>
              </m:r>
              <m:r>
                <m:rPr>
                  <m:sty m:val="p"/>
                </m:rPr>
                <m:t>↔</m:t>
              </m:r>
              <m:r>
                <m:t>b</m:t>
              </m:r>
            </m:sup>
          </m:sSubSup>
          <m:r>
            <m:rPr>
              <m:sty m:val="p"/>
            </m:rPr>
            <m:t>=min</m:t>
          </m:r>
          <m:d>
            <m:dPr>
              <m:begChr m:val="{"/>
              <m:endChr m:val="}"/>
              <m:ctrlPr/>
            </m:dPr>
            <m:e>
              <m:sSubSup>
                <m:sSubSupPr>
                  <m:ctrlPr/>
                </m:sSubSupPr>
                <m:e>
                  <m:r>
                    <m:t>L</m:t>
                  </m:r>
                </m:e>
                <m:sub>
                  <m:r>
                    <m:rPr>
                      <m:sty m:val="p"/>
                    </m:rPr>
                    <m:t>max</m:t>
                  </m:r>
                </m:sub>
                <m:sup>
                  <m:r>
                    <m:t>a</m:t>
                  </m:r>
                  <m:r>
                    <m:rPr>
                      <m:sty m:val="p"/>
                    </m:rPr>
                    <m:t>→</m:t>
                  </m:r>
                  <m:r>
                    <m:t>b</m:t>
                  </m:r>
                </m:sup>
              </m:sSubSup>
              <m:r>
                <m:rPr>
                  <m:sty m:val="p"/>
                </m:rPr>
                <m:t>,</m:t>
              </m:r>
              <m:sSubSup>
                <m:sSubSupPr>
                  <m:ctrlPr/>
                </m:sSubSupPr>
                <m:e>
                  <m:r>
                    <m:t>L</m:t>
                  </m:r>
                </m:e>
                <m:sub>
                  <m:r>
                    <m:rPr>
                      <m:sty m:val="p"/>
                    </m:rPr>
                    <m:t>max</m:t>
                  </m:r>
                </m:sub>
                <m:sup>
                  <m:r>
                    <m:t>b</m:t>
                  </m:r>
                  <m:r>
                    <m:rPr>
                      <m:sty m:val="p"/>
                    </m:rPr>
                    <m:t>→</m:t>
                  </m:r>
                  <m:r>
                    <m:t>a</m:t>
                  </m:r>
                </m:sup>
              </m:sSubSup>
            </m:e>
          </m:d>
        </m:oMath>
      </m:oMathPara>
    </w:p>
    <w:p w14:paraId="06DF317F" w14:textId="77777777" w:rsidR="00AD7F71" w:rsidRDefault="00000000">
      <w:pPr>
        <w:pStyle w:val="a0"/>
        <w:keepNext/>
        <w:ind w:firstLine="0"/>
        <w:rPr>
          <w:rFonts w:ascii="宋体" w:hAnsi="宋体" w:cs="宋体" w:hint="eastAsia"/>
          <w:b/>
          <w:bCs/>
        </w:rPr>
      </w:pPr>
      <w:r>
        <w:rPr>
          <w:b/>
          <w:bCs/>
        </w:rPr>
        <w:t>（</w:t>
      </w:r>
      <w:r>
        <w:rPr>
          <w:b/>
          <w:bCs/>
        </w:rPr>
        <w:t>3</w:t>
      </w:r>
      <w:r>
        <w:rPr>
          <w:b/>
          <w:bCs/>
        </w:rPr>
        <w:t>）传播损耗计算</w:t>
      </w:r>
    </w:p>
    <w:p w14:paraId="3B7A876A" w14:textId="77777777" w:rsidR="00AD7F71" w:rsidRDefault="00000000">
      <w:pPr>
        <w:pStyle w:val="aa"/>
        <w:spacing w:beforeAutospacing="0" w:afterAutospacing="0" w:line="284" w:lineRule="auto"/>
        <w:jc w:val="both"/>
      </w:pPr>
      <w:r>
        <w:t>端点</w:t>
      </w:r>
      <w:r>
        <w:t xml:space="preserve"> </w:t>
      </w:r>
      <m:oMath>
        <m:r>
          <w:rPr>
            <w:rFonts w:ascii="Cambria Math" w:hAnsi="Cambria Math"/>
          </w:rPr>
          <m:t>i</m:t>
        </m:r>
      </m:oMath>
      <w:r>
        <w:t xml:space="preserve"> </w:t>
      </w:r>
      <w:r>
        <w:t>与</w:t>
      </w:r>
      <w:r>
        <w:t xml:space="preserve"> </w:t>
      </w:r>
      <m:oMath>
        <m:r>
          <w:rPr>
            <w:rFonts w:ascii="Cambria Math" w:hAnsi="Cambria Math"/>
          </w:rPr>
          <m:t>j</m:t>
        </m:r>
      </m:oMath>
      <w:r>
        <w:t xml:space="preserve"> </w:t>
      </w:r>
      <w:r>
        <w:t>在时刻</w:t>
      </w:r>
      <w:r>
        <w:t xml:space="preserve"> </w:t>
      </w:r>
      <m:oMath>
        <m:r>
          <w:rPr>
            <w:rFonts w:ascii="Cambria Math" w:hAnsi="Cambria Math"/>
          </w:rPr>
          <m:t>t</m:t>
        </m:r>
      </m:oMath>
      <w:r>
        <w:t xml:space="preserve"> </w:t>
      </w:r>
      <w:r>
        <w:t>的自由空间传播损耗为</w:t>
      </w:r>
    </w:p>
    <w:p w14:paraId="66A9C2C6" w14:textId="77777777" w:rsidR="00AD7F71" w:rsidRDefault="00000000">
      <w:pPr>
        <w:pStyle w:val="Formula"/>
        <w:spacing w:before="0" w:after="0"/>
        <w:jc w:val="both"/>
      </w:pPr>
      <m:oMathPara>
        <m:oMathParaPr>
          <m:jc m:val="center"/>
        </m:oMathParaPr>
        <m:oMath>
          <m:sSub>
            <m:sSubPr>
              <m:ctrlPr/>
            </m:sSubPr>
            <m:e>
              <m:r>
                <m:t>L</m:t>
              </m:r>
            </m:e>
            <m:sub>
              <m:r>
                <m:rPr>
                  <m:sty m:val="p"/>
                </m:rPr>
                <m:t>FSPL,</m:t>
              </m:r>
              <m:r>
                <m:t>ij</m:t>
              </m:r>
            </m:sub>
          </m:sSub>
          <m:d>
            <m:dPr>
              <m:ctrlPr/>
            </m:dPr>
            <m:e>
              <m:r>
                <m:t>t</m:t>
              </m:r>
            </m:e>
          </m:d>
          <m:r>
            <m:rPr>
              <m:sty m:val="p"/>
            </m:rPr>
            <m:t>=</m:t>
          </m:r>
          <m:r>
            <m:t>32.45</m:t>
          </m:r>
          <m:r>
            <m:rPr>
              <m:sty m:val="p"/>
            </m:rPr>
            <m:t>+</m:t>
          </m:r>
          <m:r>
            <m:t>20</m:t>
          </m:r>
          <m:sSub>
            <m:sSubPr>
              <m:ctrlPr/>
            </m:sSubPr>
            <m:e>
              <m:r>
                <m:rPr>
                  <m:sty m:val="p"/>
                </m:rPr>
                <m:t>log</m:t>
              </m:r>
            </m:e>
            <m:sub>
              <m:r>
                <m:t>10</m:t>
              </m:r>
            </m:sub>
          </m:sSub>
          <m:r>
            <m:t>f</m:t>
          </m:r>
          <m:r>
            <m:rPr>
              <m:sty m:val="p"/>
            </m:rPr>
            <m:t>+</m:t>
          </m:r>
          <m:r>
            <m:t>20</m:t>
          </m:r>
          <m:sSub>
            <m:sSubPr>
              <m:ctrlPr/>
            </m:sSubPr>
            <m:e>
              <m:r>
                <m:rPr>
                  <m:sty m:val="p"/>
                </m:rPr>
                <m:t>log</m:t>
              </m:r>
            </m:e>
            <m:sub>
              <m:r>
                <m:t>10</m:t>
              </m:r>
            </m:sub>
          </m:sSub>
          <m:sSub>
            <m:sSubPr>
              <m:ctrlPr/>
            </m:sSubPr>
            <m:e>
              <m:r>
                <m:t>D</m:t>
              </m:r>
            </m:e>
            <m:sub>
              <m:r>
                <m:t>ij</m:t>
              </m:r>
            </m:sub>
          </m:sSub>
          <m:d>
            <m:dPr>
              <m:ctrlPr/>
            </m:dPr>
            <m:e>
              <m:r>
                <m:t>t</m:t>
              </m:r>
            </m:e>
          </m:d>
        </m:oMath>
      </m:oMathPara>
    </w:p>
    <w:p w14:paraId="19A21AE5" w14:textId="77777777" w:rsidR="00AD7F71" w:rsidRDefault="00000000">
      <w:pPr>
        <w:pStyle w:val="aa"/>
        <w:spacing w:beforeAutospacing="0" w:afterAutospacing="0" w:line="284" w:lineRule="auto"/>
        <w:jc w:val="both"/>
      </w:pPr>
      <w:r>
        <w:t>其中，载波频率</w:t>
      </w:r>
      <w:r>
        <w:t xml:space="preserve"> </w:t>
      </w:r>
      <m:oMath>
        <m:r>
          <w:rPr>
            <w:rFonts w:ascii="Cambria Math" w:hAnsi="Cambria Math"/>
          </w:rPr>
          <m:t>f</m:t>
        </m:r>
      </m:oMath>
      <w:r>
        <w:t xml:space="preserve"> </w:t>
      </w:r>
      <w:r>
        <w:t>以</w:t>
      </w:r>
      <w:r>
        <w:t xml:space="preserve"> MHz </w:t>
      </w:r>
      <w:r>
        <w:t>计，</w:t>
      </w:r>
      <m:oMath>
        <m:sSub>
          <m:sSubPr>
            <m:ctrlPr>
              <w:rPr>
                <w:rFonts w:ascii="Cambria Math" w:hAnsi="Cambria Math"/>
              </w:rPr>
            </m:ctrlPr>
          </m:sSubPr>
          <m:e>
            <m:r>
              <w:rPr>
                <w:rFonts w:ascii="Cambria Math" w:hAnsi="Cambria Math"/>
              </w:rPr>
              <m:t>D</m:t>
            </m:r>
          </m:e>
          <m:sub>
            <m:r>
              <w:rPr>
                <w:rFonts w:ascii="Cambria Math" w:hAnsi="Cambria Math"/>
              </w:rPr>
              <m:t>ij</m:t>
            </m:r>
          </m:sub>
        </m:sSub>
        <m:d>
          <m:dPr>
            <m:ctrlPr>
              <w:rPr>
                <w:rFonts w:ascii="Cambria Math" w:hAnsi="Cambria Math"/>
              </w:rPr>
            </m:ctrlPr>
          </m:dPr>
          <m:e>
            <m:r>
              <w:rPr>
                <w:rFonts w:ascii="Cambria Math" w:hAnsi="Cambria Math"/>
              </w:rPr>
              <m:t>t</m:t>
            </m:r>
          </m:e>
        </m:d>
      </m:oMath>
      <w:r>
        <w:t xml:space="preserve"> </w:t>
      </w:r>
      <w:r>
        <w:t>为两个通信端点之间的三维直线距离，以</w:t>
      </w:r>
      <w:r>
        <w:t xml:space="preserve"> km </w:t>
      </w:r>
      <w:r>
        <w:t>计。</w:t>
      </w:r>
    </w:p>
    <w:p w14:paraId="7AEE8B6B" w14:textId="77777777" w:rsidR="00AD7F71" w:rsidRDefault="00000000">
      <w:pPr>
        <w:pStyle w:val="aa"/>
        <w:spacing w:beforeAutospacing="0" w:afterAutospacing="0" w:line="284" w:lineRule="auto"/>
        <w:jc w:val="both"/>
      </w:pPr>
      <w:r>
        <w:t>考虑地形遮挡后的总传播损耗为</w:t>
      </w:r>
    </w:p>
    <w:p w14:paraId="2C678BF9" w14:textId="77777777" w:rsidR="00AD7F71" w:rsidRDefault="00000000">
      <w:pPr>
        <w:pStyle w:val="Formula"/>
        <w:spacing w:before="0" w:after="0"/>
        <w:jc w:val="both"/>
      </w:pPr>
      <m:oMathPara>
        <m:oMathParaPr>
          <m:jc m:val="center"/>
        </m:oMathParaPr>
        <m:oMath>
          <m:sSub>
            <m:sSubPr>
              <m:ctrlPr/>
            </m:sSubPr>
            <m:e>
              <m:r>
                <m:t>L</m:t>
              </m:r>
            </m:e>
            <m:sub>
              <m:r>
                <m:rPr>
                  <m:sty m:val="p"/>
                </m:rPr>
                <m:t>path,</m:t>
              </m:r>
              <m:r>
                <m:t>ij</m:t>
              </m:r>
            </m:sub>
          </m:sSub>
          <m:d>
            <m:dPr>
              <m:ctrlPr/>
            </m:dPr>
            <m:e>
              <m:r>
                <m:t>t</m:t>
              </m:r>
            </m:e>
          </m:d>
          <m:r>
            <m:rPr>
              <m:sty m:val="p"/>
            </m:rPr>
            <m:t>=</m:t>
          </m:r>
          <m:sSub>
            <m:sSubPr>
              <m:ctrlPr/>
            </m:sSubPr>
            <m:e>
              <m:r>
                <m:t>L</m:t>
              </m:r>
            </m:e>
            <m:sub>
              <m:r>
                <m:rPr>
                  <m:sty m:val="p"/>
                </m:rPr>
                <m:t>FSPL,</m:t>
              </m:r>
              <m:r>
                <m:t>ij</m:t>
              </m:r>
            </m:sub>
          </m:sSub>
          <m:d>
            <m:dPr>
              <m:ctrlPr/>
            </m:dPr>
            <m:e>
              <m:r>
                <m:t>t</m:t>
              </m:r>
            </m:e>
          </m:d>
          <m:r>
            <m:rPr>
              <m:sty m:val="p"/>
            </m:rPr>
            <m:t>+</m:t>
          </m:r>
          <m:sSub>
            <m:sSubPr>
              <m:ctrlPr/>
            </m:sSubPr>
            <m:e>
              <m:r>
                <m:t>L</m:t>
              </m:r>
            </m:e>
            <m:sub>
              <m:r>
                <m:rPr>
                  <m:sty m:val="p"/>
                </m:rPr>
                <m:t>obs</m:t>
              </m:r>
            </m:sub>
          </m:sSub>
          <m:sSub>
            <m:sSubPr>
              <m:ctrlPr/>
            </m:sSubPr>
            <m:e>
              <m:r>
                <m:t>b</m:t>
              </m:r>
            </m:e>
            <m:sub>
              <m:r>
                <m:t>ij</m:t>
              </m:r>
            </m:sub>
          </m:sSub>
          <m:d>
            <m:dPr>
              <m:ctrlPr/>
            </m:dPr>
            <m:e>
              <m:r>
                <m:t>t</m:t>
              </m:r>
            </m:e>
          </m:d>
        </m:oMath>
      </m:oMathPara>
    </w:p>
    <w:p w14:paraId="1B718BED" w14:textId="77777777" w:rsidR="00AD7F71" w:rsidRDefault="00000000">
      <w:pPr>
        <w:pStyle w:val="aa"/>
        <w:spacing w:beforeAutospacing="0" w:afterAutospacing="0" w:line="284" w:lineRule="auto"/>
        <w:jc w:val="both"/>
      </w:pPr>
      <w:r>
        <w:t>其中，</w:t>
      </w:r>
      <m:oMath>
        <m:sSub>
          <m:sSubPr>
            <m:ctrlPr>
              <w:rPr>
                <w:rFonts w:ascii="Cambria Math" w:hAnsi="Cambria Math"/>
              </w:rPr>
            </m:ctrlPr>
          </m:sSubPr>
          <m:e>
            <m:r>
              <w:rPr>
                <w:rFonts w:ascii="Cambria Math" w:hAnsi="Cambria Math"/>
              </w:rPr>
              <m:t>L</m:t>
            </m:r>
          </m:e>
          <m:sub>
            <m:r>
              <m:rPr>
                <m:sty m:val="p"/>
              </m:rPr>
              <w:rPr>
                <w:rFonts w:ascii="Cambria Math" w:hAnsi="Cambria Math"/>
              </w:rPr>
              <m:t>obs</m:t>
            </m:r>
          </m:sub>
        </m:sSub>
      </m:oMath>
      <w:r>
        <w:t xml:space="preserve"> </w:t>
      </w:r>
      <w:r>
        <w:t>为地形遮挡附加损耗，具体取值见</w:t>
      </w:r>
      <w:r>
        <w:rPr>
          <w:rFonts w:hint="eastAsia"/>
        </w:rPr>
        <w:t>“通信链路参数</w:t>
      </w:r>
      <w:r>
        <w:rPr>
          <w:rFonts w:hint="eastAsia"/>
        </w:rPr>
        <w:t>.xlsx</w:t>
      </w:r>
      <w:r>
        <w:rPr>
          <w:rFonts w:hint="eastAsia"/>
        </w:rPr>
        <w:t>”。</w:t>
      </w:r>
    </w:p>
    <w:p w14:paraId="6E11CCF9" w14:textId="77777777" w:rsidR="00AD7F71" w:rsidRDefault="00000000">
      <w:pPr>
        <w:pStyle w:val="a0"/>
        <w:keepNext/>
        <w:ind w:firstLine="0"/>
        <w:rPr>
          <w:rFonts w:ascii="宋体" w:hAnsi="宋体" w:cs="宋体" w:hint="eastAsia"/>
          <w:b/>
          <w:bCs/>
        </w:rPr>
      </w:pPr>
      <w:r>
        <w:rPr>
          <w:b/>
          <w:bCs/>
        </w:rPr>
        <w:t>（</w:t>
      </w:r>
      <w:r>
        <w:rPr>
          <w:b/>
          <w:bCs/>
        </w:rPr>
        <w:t>4</w:t>
      </w:r>
      <w:r>
        <w:rPr>
          <w:b/>
          <w:bCs/>
        </w:rPr>
        <w:t>）单链路可用性判定</w:t>
      </w:r>
    </w:p>
    <w:p w14:paraId="3BF17068" w14:textId="77777777" w:rsidR="00AD7F71" w:rsidRDefault="00000000">
      <w:pPr>
        <w:pStyle w:val="aa"/>
        <w:spacing w:beforeAutospacing="0" w:afterAutospacing="0" w:line="284" w:lineRule="auto"/>
        <w:jc w:val="both"/>
      </w:pPr>
      <w:r>
        <w:t>端点</w:t>
      </w:r>
      <w:r>
        <w:t xml:space="preserve"> </w:t>
      </w:r>
      <m:oMath>
        <m:r>
          <w:rPr>
            <w:rFonts w:ascii="Cambria Math" w:hAnsi="Cambria Math"/>
          </w:rPr>
          <m:t>i</m:t>
        </m:r>
      </m:oMath>
      <w:r>
        <w:t xml:space="preserve"> </w:t>
      </w:r>
      <w:r>
        <w:t>与</w:t>
      </w:r>
      <w:r>
        <w:t xml:space="preserve"> </w:t>
      </w:r>
      <m:oMath>
        <m:r>
          <w:rPr>
            <w:rFonts w:ascii="Cambria Math" w:hAnsi="Cambria Math"/>
          </w:rPr>
          <m:t>j</m:t>
        </m:r>
      </m:oMath>
      <w:r>
        <w:t xml:space="preserve"> </w:t>
      </w:r>
      <w:r>
        <w:t>之间的双向链路可用性定义为</w:t>
      </w:r>
    </w:p>
    <w:p w14:paraId="38721AAD" w14:textId="77777777" w:rsidR="00AD7F71" w:rsidRDefault="00000000">
      <w:pPr>
        <w:pStyle w:val="Formula"/>
        <w:spacing w:before="0" w:after="0"/>
        <w:jc w:val="both"/>
      </w:pPr>
      <m:oMathPara>
        <m:oMathParaPr>
          <m:jc m:val="center"/>
        </m:oMathParaPr>
        <m:oMath>
          <m:sSub>
            <m:sSubPr>
              <m:ctrlPr/>
            </m:sSubPr>
            <m:e>
              <m:r>
                <m:t>A</m:t>
              </m:r>
            </m:e>
            <m:sub>
              <m:r>
                <m:t>ij</m:t>
              </m:r>
            </m:sub>
          </m:sSub>
          <m:d>
            <m:dPr>
              <m:ctrlPr/>
            </m:dPr>
            <m:e>
              <m:r>
                <m:t>t</m:t>
              </m:r>
            </m:e>
          </m:d>
          <m:r>
            <m:rPr>
              <m:sty m:val="p"/>
            </m:rPr>
            <m:t>=</m:t>
          </m:r>
          <m:d>
            <m:dPr>
              <m:begChr m:val="{"/>
              <m:endChr m:val=""/>
              <m:ctrlPr/>
            </m:dPr>
            <m:e>
              <m:m>
                <m:mPr>
                  <m:plcHide m:val="1"/>
                  <m:mcs>
                    <m:mc>
                      <m:mcPr>
                        <m:count m:val="2"/>
                        <m:mcJc m:val="left"/>
                      </m:mcPr>
                    </m:mc>
                  </m:mcs>
                  <m:ctrlPr/>
                </m:mPr>
                <m:mr>
                  <m:e>
                    <m:r>
                      <m:t>1</m:t>
                    </m:r>
                    <m:r>
                      <m:rPr>
                        <m:sty m:val="p"/>
                      </m:rPr>
                      <m:t>,</m:t>
                    </m:r>
                  </m:e>
                  <m:e>
                    <m:sSub>
                      <m:sSubPr>
                        <m:ctrlPr/>
                      </m:sSubPr>
                      <m:e>
                        <m:r>
                          <m:t>L</m:t>
                        </m:r>
                      </m:e>
                      <m:sub>
                        <m:r>
                          <m:rPr>
                            <m:sty m:val="p"/>
                          </m:rPr>
                          <m:t>path,</m:t>
                        </m:r>
                        <m:r>
                          <m:t>ij</m:t>
                        </m:r>
                      </m:sub>
                    </m:sSub>
                    <m:d>
                      <m:dPr>
                        <m:ctrlPr/>
                      </m:dPr>
                      <m:e>
                        <m:r>
                          <m:t>t</m:t>
                        </m:r>
                      </m:e>
                    </m:d>
                    <m:r>
                      <m:rPr>
                        <m:sty m:val="p"/>
                      </m:rPr>
                      <m:t>≤</m:t>
                    </m:r>
                    <m:sSubSup>
                      <m:sSubSupPr>
                        <m:ctrlPr/>
                      </m:sSubSupPr>
                      <m:e>
                        <m:r>
                          <m:t>L</m:t>
                        </m:r>
                      </m:e>
                      <m:sub>
                        <m:r>
                          <m:rPr>
                            <m:sty m:val="p"/>
                          </m:rPr>
                          <m:t>max</m:t>
                        </m:r>
                      </m:sub>
                      <m:sup>
                        <m:r>
                          <m:t>i</m:t>
                        </m:r>
                        <m:r>
                          <m:rPr>
                            <m:sty m:val="p"/>
                          </m:rPr>
                          <m:t>↔</m:t>
                        </m:r>
                        <m:r>
                          <m:t>j</m:t>
                        </m:r>
                      </m:sup>
                    </m:sSubSup>
                    <m:r>
                      <m:rPr>
                        <m:sty m:val="p"/>
                      </m:rPr>
                      <m:t>,</m:t>
                    </m:r>
                  </m:e>
                </m:mr>
                <m:mr>
                  <m:e>
                    <m:r>
                      <m:t>0</m:t>
                    </m:r>
                    <m:r>
                      <m:rPr>
                        <m:sty m:val="p"/>
                      </m:rPr>
                      <m:t>,</m:t>
                    </m:r>
                  </m:e>
                  <m:e>
                    <m:sSub>
                      <m:sSubPr>
                        <m:ctrlPr/>
                      </m:sSubPr>
                      <m:e>
                        <m:r>
                          <m:t>L</m:t>
                        </m:r>
                      </m:e>
                      <m:sub>
                        <m:r>
                          <m:rPr>
                            <m:sty m:val="p"/>
                          </m:rPr>
                          <m:t>path,</m:t>
                        </m:r>
                        <m:r>
                          <m:t>ij</m:t>
                        </m:r>
                      </m:sub>
                    </m:sSub>
                    <m:d>
                      <m:dPr>
                        <m:ctrlPr/>
                      </m:dPr>
                      <m:e>
                        <m:r>
                          <m:t>t</m:t>
                        </m:r>
                      </m:e>
                    </m:d>
                    <m:r>
                      <m:rPr>
                        <m:sty m:val="p"/>
                      </m:rPr>
                      <m:t>&gt;</m:t>
                    </m:r>
                    <m:sSubSup>
                      <m:sSubSupPr>
                        <m:ctrlPr/>
                      </m:sSubSupPr>
                      <m:e>
                        <m:r>
                          <m:t>L</m:t>
                        </m:r>
                      </m:e>
                      <m:sub>
                        <m:r>
                          <m:rPr>
                            <m:sty m:val="p"/>
                          </m:rPr>
                          <m:t>max</m:t>
                        </m:r>
                      </m:sub>
                      <m:sup>
                        <m:r>
                          <m:t>i</m:t>
                        </m:r>
                        <m:r>
                          <m:rPr>
                            <m:sty m:val="p"/>
                          </m:rPr>
                          <m:t>↔</m:t>
                        </m:r>
                        <m:r>
                          <m:t>j</m:t>
                        </m:r>
                      </m:sup>
                    </m:sSubSup>
                  </m:e>
                </m:mr>
              </m:m>
            </m:e>
          </m:d>
        </m:oMath>
      </m:oMathPara>
    </w:p>
    <w:p w14:paraId="0C7630F9" w14:textId="77777777" w:rsidR="00AD7F71" w:rsidRDefault="00000000">
      <w:pPr>
        <w:pStyle w:val="aa"/>
        <w:spacing w:beforeAutospacing="0" w:afterAutospacing="0" w:line="284" w:lineRule="auto"/>
        <w:jc w:val="both"/>
      </w:pPr>
      <w:r>
        <w:t>其中，</w:t>
      </w:r>
      <m:oMath>
        <m:sSub>
          <m:sSubPr>
            <m:ctrlPr>
              <w:rPr>
                <w:rFonts w:ascii="Cambria Math" w:hAnsi="Cambria Math"/>
              </w:rPr>
            </m:ctrlPr>
          </m:sSubPr>
          <m:e>
            <m:r>
              <w:rPr>
                <w:rFonts w:ascii="Cambria Math" w:hAnsi="Cambria Math"/>
              </w:rPr>
              <m:t>A</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oMath>
      <w:r>
        <w:t xml:space="preserve"> </w:t>
      </w:r>
      <w:r>
        <w:t>表示相应链路可用，</w:t>
      </w:r>
      <m:oMath>
        <m:sSub>
          <m:sSubPr>
            <m:ctrlPr>
              <w:rPr>
                <w:rFonts w:ascii="Cambria Math" w:hAnsi="Cambria Math"/>
              </w:rPr>
            </m:ctrlPr>
          </m:sSubPr>
          <m:e>
            <m:r>
              <w:rPr>
                <w:rFonts w:ascii="Cambria Math" w:hAnsi="Cambria Math"/>
              </w:rPr>
              <m:t>A</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w:r>
        <w:t xml:space="preserve"> </w:t>
      </w:r>
      <w:r>
        <w:t>表示相应链路不可用。</w:t>
      </w:r>
    </w:p>
    <w:p w14:paraId="2D4176EE" w14:textId="77777777" w:rsidR="00AD7F71" w:rsidRDefault="00000000">
      <w:pPr>
        <w:pStyle w:val="a0"/>
        <w:keepNext/>
        <w:ind w:firstLine="0"/>
        <w:rPr>
          <w:rFonts w:ascii="宋体" w:hAnsi="宋体" w:cs="宋体" w:hint="eastAsia"/>
          <w:b/>
          <w:bCs/>
        </w:rPr>
      </w:pPr>
      <w:r>
        <w:rPr>
          <w:b/>
          <w:bCs/>
        </w:rPr>
        <w:lastRenderedPageBreak/>
        <w:t>（</w:t>
      </w:r>
      <w:r>
        <w:rPr>
          <w:b/>
          <w:bCs/>
        </w:rPr>
        <w:t>5</w:t>
      </w:r>
      <w:r>
        <w:rPr>
          <w:b/>
          <w:bCs/>
        </w:rPr>
        <w:t>）通信服务状态判定</w:t>
      </w:r>
    </w:p>
    <w:p w14:paraId="437C6453" w14:textId="77777777" w:rsidR="00AD7F71" w:rsidRDefault="00000000">
      <w:pPr>
        <w:pStyle w:val="aa"/>
        <w:spacing w:beforeAutospacing="0" w:afterAutospacing="0" w:line="284" w:lineRule="auto"/>
        <w:jc w:val="both"/>
      </w:pPr>
      <w:r>
        <w:rPr>
          <w:rFonts w:hint="eastAsia"/>
        </w:rPr>
        <w:t>运输无人机在任一时刻的通信状态按以下规则确定：</w:t>
      </w:r>
    </w:p>
    <w:p w14:paraId="16219228" w14:textId="77777777" w:rsidR="00AD7F71" w:rsidRDefault="00000000">
      <w:pPr>
        <w:pStyle w:val="aa"/>
        <w:spacing w:beforeAutospacing="0" w:afterAutospacing="0" w:line="284" w:lineRule="auto"/>
        <w:jc w:val="both"/>
      </w:pPr>
      <w:r>
        <w:t>•</w:t>
      </w:r>
      <w:r>
        <w:rPr>
          <w:rFonts w:hint="eastAsia"/>
        </w:rPr>
        <w:t>与固定网关</w:t>
      </w:r>
      <w:r>
        <w:rPr>
          <w:rFonts w:hint="eastAsia"/>
        </w:rPr>
        <w:t xml:space="preserve"> G01 </w:t>
      </w:r>
      <w:r>
        <w:rPr>
          <w:rFonts w:hint="eastAsia"/>
        </w:rPr>
        <w:t>的链路可用时，记为直连状态；</w:t>
      </w:r>
    </w:p>
    <w:p w14:paraId="20F0BF62" w14:textId="77777777" w:rsidR="00AD7F71" w:rsidRDefault="00000000">
      <w:pPr>
        <w:pStyle w:val="aa"/>
        <w:spacing w:beforeAutospacing="0" w:afterAutospacing="0" w:line="284" w:lineRule="auto"/>
        <w:jc w:val="both"/>
      </w:pPr>
      <w:r>
        <w:t>•</w:t>
      </w:r>
      <w:r>
        <w:rPr>
          <w:rFonts w:hint="eastAsia"/>
        </w:rPr>
        <w:t>直连不可用，但运输无人机—中继无人机接入链路和中继无人机—</w:t>
      </w:r>
      <w:r>
        <w:rPr>
          <w:rFonts w:hint="eastAsia"/>
        </w:rPr>
        <w:t>G01</w:t>
      </w:r>
      <w:r>
        <w:rPr>
          <w:rFonts w:hint="eastAsia"/>
        </w:rPr>
        <w:t>回传链路同时可用时，记为中继状态；</w:t>
      </w:r>
    </w:p>
    <w:p w14:paraId="4EEAC494" w14:textId="77777777" w:rsidR="00AD7F71" w:rsidRDefault="00000000">
      <w:pPr>
        <w:pStyle w:val="aa"/>
        <w:spacing w:beforeAutospacing="0" w:afterAutospacing="0" w:line="284" w:lineRule="auto"/>
        <w:jc w:val="both"/>
      </w:pPr>
      <w:r>
        <w:t>•</w:t>
      </w:r>
      <w:r>
        <w:rPr>
          <w:rFonts w:hint="eastAsia"/>
        </w:rPr>
        <w:t>其余情况记为通信中断状态。</w:t>
      </w:r>
    </w:p>
    <w:p w14:paraId="1F844187" w14:textId="77777777" w:rsidR="00AD7F71" w:rsidRDefault="00000000">
      <w:pPr>
        <w:pStyle w:val="aa"/>
        <w:spacing w:beforeAutospacing="0" w:afterAutospacing="0" w:line="284" w:lineRule="auto"/>
        <w:jc w:val="both"/>
      </w:pPr>
      <w:r>
        <w:rPr>
          <w:rFonts w:hint="eastAsia"/>
        </w:rPr>
        <w:t>采用中继服务时，接入链路和回传链路必须在同一时刻同时可用。每架运输无人机在任一时刻只能由</w:t>
      </w:r>
      <w:r>
        <w:rPr>
          <w:rFonts w:hint="eastAsia"/>
        </w:rPr>
        <w:t xml:space="preserve"> G01 </w:t>
      </w:r>
      <w:r>
        <w:rPr>
          <w:rFonts w:hint="eastAsia"/>
        </w:rPr>
        <w:t>或一架中继无人机提供通信保障。</w:t>
      </w:r>
    </w:p>
    <w:p w14:paraId="2FD290C4" w14:textId="77777777" w:rsidR="00AD7F71" w:rsidRDefault="00000000" w:rsidP="001B7529">
      <w:pPr>
        <w:pStyle w:val="1"/>
        <w:spacing w:before="160" w:after="60"/>
        <w:ind w:firstLine="0"/>
      </w:pPr>
      <w:r>
        <w:rPr>
          <w:rFonts w:ascii="Times New Roman" w:eastAsia="宋体" w:hAnsi="Times New Roman"/>
        </w:rPr>
        <w:t>参考文献</w:t>
      </w:r>
    </w:p>
    <w:p w14:paraId="3C0875F0" w14:textId="77777777" w:rsidR="00AD7F71" w:rsidRDefault="00000000">
      <w:r>
        <w:t>灾情背景、地理高程数据、无人机运输与能耗模型、通信传播模型、设备参数量级及电池充电规律参考下列公开资料，正式计算以配套数据文件和本题统一规则为准。</w:t>
      </w:r>
    </w:p>
    <w:p w14:paraId="2BA13DA6" w14:textId="77777777" w:rsidR="00AD7F71" w:rsidRDefault="00000000">
      <w:pPr>
        <w:spacing w:after="60"/>
        <w:ind w:left="480" w:hanging="480"/>
      </w:pPr>
      <w:r>
        <w:t xml:space="preserve">[1] </w:t>
      </w:r>
      <w:r>
        <w:t>新华社</w:t>
      </w:r>
      <w:r>
        <w:t xml:space="preserve">. </w:t>
      </w:r>
      <w:r>
        <w:t>记者手记：抵近广西横州镇龙乡</w:t>
      </w:r>
      <w:r>
        <w:t>[EB/OL]. 2026-07-09[2026-08-07]. https://www.xinhuanet.com/politics/20260709/acf8e4b353304bb78007d8224f1cd2ef/c.html.</w:t>
      </w:r>
    </w:p>
    <w:p w14:paraId="63C6CB64" w14:textId="77777777" w:rsidR="00AD7F71" w:rsidRDefault="00000000">
      <w:pPr>
        <w:spacing w:after="60"/>
        <w:ind w:left="480" w:hanging="480"/>
      </w:pPr>
      <w:r>
        <w:t xml:space="preserve">[2] </w:t>
      </w:r>
      <w:r>
        <w:t>新华每日电讯</w:t>
      </w:r>
      <w:r>
        <w:t xml:space="preserve">. </w:t>
      </w:r>
      <w:r>
        <w:t>三进</w:t>
      </w:r>
      <w:r>
        <w:t>“</w:t>
      </w:r>
      <w:r>
        <w:t>孤岛乡</w:t>
      </w:r>
      <w:r>
        <w:t>”[EB/OL]. 2026-07-12[2026-08-07]. https://www.news.cn/local/20260712/8bd1f64af3124569b5cf4415fc013acd/c.html.</w:t>
      </w:r>
    </w:p>
    <w:p w14:paraId="5C759D1C" w14:textId="77777777" w:rsidR="00AD7F71" w:rsidRDefault="00000000">
      <w:pPr>
        <w:spacing w:after="60"/>
        <w:ind w:left="480" w:hanging="480"/>
      </w:pPr>
      <w:r>
        <w:t xml:space="preserve">[3] Copernicus Data Space Ecosystem. Copernicus DEM—Global and European Digital Elevation </w:t>
      </w:r>
      <w:proofErr w:type="gramStart"/>
      <w:r>
        <w:t>Model[</w:t>
      </w:r>
      <w:proofErr w:type="gramEnd"/>
      <w:r>
        <w:t>DB/OL]. [2026-08-07]. DOI: 10.5270/ESA-c5d3d65. https://dataspace.copernicus.eu/explore-data/data-collections/copernicus-contributing-missions/collections-description/COP-DEM.</w:t>
      </w:r>
    </w:p>
    <w:p w14:paraId="27191696" w14:textId="77777777" w:rsidR="00AD7F71" w:rsidRDefault="00000000">
      <w:pPr>
        <w:spacing w:after="60"/>
        <w:ind w:left="480" w:hanging="480"/>
      </w:pPr>
      <w:r>
        <w:t xml:space="preserve">[4] Dorling K, Heinrichs J, Messier G </w:t>
      </w:r>
      <w:proofErr w:type="spellStart"/>
      <w:r>
        <w:t>G</w:t>
      </w:r>
      <w:proofErr w:type="spellEnd"/>
      <w:r>
        <w:t>, et al. Vehicle Routing Problems for Drone Delivery[J]. IEEE Transactions on Systems, Man, and Cybernetics: Systems, 2017, 47(1): 70-85. DOI: 10.1109/TSMC.2016.2582745.</w:t>
      </w:r>
    </w:p>
    <w:p w14:paraId="0884430D" w14:textId="77777777" w:rsidR="00AD7F71" w:rsidRDefault="00000000">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14:textId="77777777" w:rsidR="00AD7F71" w:rsidRDefault="00000000">
      <w:pPr>
        <w:spacing w:after="60"/>
        <w:ind w:left="480" w:hanging="480"/>
      </w:pPr>
      <w:r>
        <w:t xml:space="preserve">[6] International Telecommunication Union. Recommendation ITU-R P.525-5: Calculation of Free-Space Attenuation[S/OL]. 2024. </w:t>
      </w:r>
      <w:hyperlink r:id="rId9" w:history="1">
        <w:r w:rsidR="00AD7F71">
          <w:rPr>
            <w:rStyle w:val="ae"/>
            <w:color w:val="auto"/>
          </w:rPr>
          <w:t>https://www.itu.int/rec/R-REC-P.525-5-202411-I/en.</w:t>
        </w:r>
      </w:hyperlink>
    </w:p>
    <w:p w14:paraId="6CD090EA" w14:textId="77777777" w:rsidR="00AD7F71" w:rsidRDefault="00000000">
      <w:pPr>
        <w:spacing w:after="60"/>
        <w:ind w:left="480" w:hanging="480"/>
      </w:pPr>
      <w:r>
        <w:t>[</w:t>
      </w:r>
      <w:r>
        <w:rPr>
          <w:rFonts w:hint="eastAsia"/>
        </w:rPr>
        <w:t>7</w:t>
      </w:r>
      <w:r>
        <w:t>] Texas Instruments. Li-Ion Battery Charger Solution Using an MSP430 MCU[EB/OL]. https://www.ti.com/lit/an/slaa287b/slaa287b.pdf.</w:t>
      </w:r>
    </w:p>
    <w:p w14:paraId="185455E6" w14:textId="77777777" w:rsidR="00AD7F71" w:rsidRDefault="00000000">
      <w:pPr>
        <w:spacing w:after="60"/>
        <w:ind w:left="480" w:hanging="480"/>
      </w:pPr>
      <w:r>
        <w:t>[8] Zeng Y, Zhang R, Lim T J. Wireless Communications with Unmanned Aerial Vehicles: Opportunities and Challenges[J]. IEEE Communications Magazine, 2016, 54(5): 36-42. DOI: 10.1109/MCOM.2016.7470933.</w:t>
      </w:r>
    </w:p>
    <w:p w14:paraId="767019D0" w14:textId="77777777" w:rsidR="00AD7F71" w:rsidRDefault="00000000">
      <w:pPr>
        <w:spacing w:after="60"/>
        <w:ind w:left="480" w:hanging="480"/>
      </w:pPr>
      <w:r>
        <w:lastRenderedPageBreak/>
        <w:t xml:space="preserve">[9] DJI Enterprise. Matrice 350 RTK </w:t>
      </w:r>
      <w:proofErr w:type="gramStart"/>
      <w:r>
        <w:t>Specifications[</w:t>
      </w:r>
      <w:proofErr w:type="gramEnd"/>
      <w:r>
        <w:t>EB/OL]. https://enterprise.dji.com/matrice-350-rtk/specs.</w:t>
      </w:r>
    </w:p>
    <w:p w14:paraId="459B48C8" w14:textId="77777777" w:rsidR="00AD7F71" w:rsidRDefault="00000000">
      <w:pPr>
        <w:spacing w:after="60"/>
        <w:ind w:left="480" w:hanging="480"/>
      </w:pPr>
      <w:r>
        <w:t xml:space="preserve">[10] Doodle Labs. Sense: Interference </w:t>
      </w:r>
      <w:proofErr w:type="gramStart"/>
      <w:r>
        <w:t>Avoidance[</w:t>
      </w:r>
      <w:proofErr w:type="gramEnd"/>
      <w:r>
        <w:t>EB/OL]. https://doodlelabs.com/news/sense-interference-avoidance-release/.</w:t>
      </w:r>
    </w:p>
    <w:sectPr w:rsidR="00AD7F71">
      <w:footnotePr>
        <w:numRestart w:val="eachSect"/>
      </w:footnotePr>
      <w:pgSz w:w="11906" w:h="16838"/>
      <w:pgMar w:top="1440" w:right="1800" w:bottom="144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CEFED" w14:textId="77777777" w:rsidR="00BD255C" w:rsidRDefault="00BD255C">
      <w:pPr>
        <w:spacing w:line="240" w:lineRule="auto"/>
      </w:pPr>
      <w:r>
        <w:separator/>
      </w:r>
    </w:p>
  </w:endnote>
  <w:endnote w:type="continuationSeparator" w:id="0">
    <w:p w14:paraId="55822D6C" w14:textId="77777777" w:rsidR="00BD255C" w:rsidRDefault="00BD2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B704A" w14:textId="77777777" w:rsidR="00BD255C" w:rsidRDefault="00BD255C">
      <w:r>
        <w:separator/>
      </w:r>
    </w:p>
  </w:footnote>
  <w:footnote w:type="continuationSeparator" w:id="0">
    <w:p w14:paraId="44DA974C" w14:textId="77777777" w:rsidR="00BD255C" w:rsidRDefault="00BD2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A0825B5"/>
    <w:multiLevelType w:val="singleLevel"/>
    <w:tmpl w:val="FA0825B5"/>
    <w:lvl w:ilvl="0">
      <w:start w:val="2"/>
      <w:numFmt w:val="chineseCounting"/>
      <w:suff w:val="nothing"/>
      <w:lvlText w:val="%1、"/>
      <w:lvlJc w:val="left"/>
      <w:rPr>
        <w:rFonts w:hint="eastAsia"/>
      </w:rPr>
    </w:lvl>
  </w:abstractNum>
  <w:abstractNum w:abstractNumId="1" w15:restartNumberingAfterBreak="0">
    <w:nsid w:val="122F3EF9"/>
    <w:multiLevelType w:val="multilevel"/>
    <w:tmpl w:val="122F3EF9"/>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A37783F"/>
    <w:multiLevelType w:val="multilevel"/>
    <w:tmpl w:val="1A37783F"/>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 w15:restartNumberingAfterBreak="0">
    <w:nsid w:val="23BA3C56"/>
    <w:multiLevelType w:val="multilevel"/>
    <w:tmpl w:val="23BA3C56"/>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4" w15:restartNumberingAfterBreak="0">
    <w:nsid w:val="63131386"/>
    <w:multiLevelType w:val="multilevel"/>
    <w:tmpl w:val="63131386"/>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16cid:durableId="318774409">
    <w:abstractNumId w:val="0"/>
  </w:num>
  <w:num w:numId="2" w16cid:durableId="1693650697">
    <w:abstractNumId w:val="3"/>
  </w:num>
  <w:num w:numId="3" w16cid:durableId="169106074">
    <w:abstractNumId w:val="4"/>
  </w:num>
  <w:num w:numId="4" w16cid:durableId="712584846">
    <w:abstractNumId w:val="2"/>
  </w:num>
  <w:num w:numId="5" w16cid:durableId="913587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4B2697"/>
    <w:rsid w:val="00002757"/>
    <w:rsid w:val="001A0006"/>
    <w:rsid w:val="001B7529"/>
    <w:rsid w:val="001F6441"/>
    <w:rsid w:val="00364145"/>
    <w:rsid w:val="00372BF3"/>
    <w:rsid w:val="003F5ECF"/>
    <w:rsid w:val="004A0D0C"/>
    <w:rsid w:val="004C4C51"/>
    <w:rsid w:val="00570FE5"/>
    <w:rsid w:val="005F41D8"/>
    <w:rsid w:val="00624390"/>
    <w:rsid w:val="007F4C65"/>
    <w:rsid w:val="00831CDA"/>
    <w:rsid w:val="009779E6"/>
    <w:rsid w:val="009D1249"/>
    <w:rsid w:val="009E1D77"/>
    <w:rsid w:val="009F24CA"/>
    <w:rsid w:val="00A04B0A"/>
    <w:rsid w:val="00A1684B"/>
    <w:rsid w:val="00AB3EAC"/>
    <w:rsid w:val="00AD7F71"/>
    <w:rsid w:val="00B17881"/>
    <w:rsid w:val="00BD255C"/>
    <w:rsid w:val="00C57088"/>
    <w:rsid w:val="00C57891"/>
    <w:rsid w:val="00D83BE5"/>
    <w:rsid w:val="00D84A26"/>
    <w:rsid w:val="00E76220"/>
    <w:rsid w:val="00ED5D3B"/>
    <w:rsid w:val="02B316EC"/>
    <w:rsid w:val="0408069B"/>
    <w:rsid w:val="04446BC6"/>
    <w:rsid w:val="053960A1"/>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4BB06D3"/>
    <w:rsid w:val="464B2697"/>
    <w:rsid w:val="48D7140D"/>
    <w:rsid w:val="494F4FF5"/>
    <w:rsid w:val="4C9B5863"/>
    <w:rsid w:val="4E631FE3"/>
    <w:rsid w:val="526F073A"/>
    <w:rsid w:val="54817D6D"/>
    <w:rsid w:val="5FD23A51"/>
    <w:rsid w:val="605A2C37"/>
    <w:rsid w:val="61BA6246"/>
    <w:rsid w:val="6622332B"/>
    <w:rsid w:val="68034CDB"/>
    <w:rsid w:val="692A3A75"/>
    <w:rsid w:val="69936176"/>
    <w:rsid w:val="6AE71ACE"/>
    <w:rsid w:val="6BE8470A"/>
    <w:rsid w:val="6CA843E4"/>
    <w:rsid w:val="6DA51372"/>
    <w:rsid w:val="70B7060E"/>
    <w:rsid w:val="71947D39"/>
    <w:rsid w:val="734571ED"/>
    <w:rsid w:val="75734648"/>
    <w:rsid w:val="767254AB"/>
    <w:rsid w:val="77985290"/>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5D79D"/>
  <w15:docId w15:val="{928F144E-B745-44B7-8CA6-D5A5706AC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83" w:lineRule="auto"/>
      <w:ind w:firstLine="480"/>
      <w:jc w:val="both"/>
    </w:pPr>
    <w:rPr>
      <w:sz w:val="24"/>
      <w:szCs w:val="24"/>
    </w:rPr>
  </w:style>
  <w:style w:type="paragraph" w:styleId="1">
    <w:name w:val="heading 1"/>
    <w:basedOn w:val="a"/>
    <w:next w:val="a0"/>
    <w:uiPriority w:val="9"/>
    <w:qFormat/>
    <w:pPr>
      <w:keepNext/>
      <w:keepLines/>
      <w:spacing w:before="360" w:after="80"/>
      <w:outlineLvl w:val="0"/>
    </w:pPr>
    <w:rPr>
      <w:rFonts w:asciiTheme="majorHAnsi" w:eastAsiaTheme="majorEastAsia" w:hAnsiTheme="majorHAnsi" w:cstheme="majorBidi"/>
      <w:b/>
      <w:szCs w:val="40"/>
    </w:rPr>
  </w:style>
  <w:style w:type="paragraph" w:styleId="2">
    <w:name w:val="heading 2"/>
    <w:basedOn w:val="a"/>
    <w:next w:val="a0"/>
    <w:uiPriority w:val="9"/>
    <w:semiHidden/>
    <w:unhideWhenUsed/>
    <w:qFormat/>
    <w:pPr>
      <w:keepNext/>
      <w:keepLines/>
      <w:spacing w:before="160" w:after="80"/>
      <w:outlineLvl w:val="1"/>
    </w:pPr>
    <w:rPr>
      <w:rFonts w:asciiTheme="majorHAnsi" w:eastAsiaTheme="majorEastAsia" w:hAnsiTheme="majorHAnsi" w:cstheme="majorBidi"/>
      <w:b/>
      <w:szCs w:val="32"/>
    </w:rPr>
  </w:style>
  <w:style w:type="paragraph" w:styleId="3">
    <w:name w:val="heading 3"/>
    <w:basedOn w:val="a"/>
    <w:next w:val="a0"/>
    <w:uiPriority w:val="9"/>
    <w:unhideWhenUsed/>
    <w:qFormat/>
    <w:pPr>
      <w:keepNext/>
      <w:keepLines/>
      <w:spacing w:before="160" w:after="80"/>
      <w:outlineLvl w:val="2"/>
    </w:pPr>
    <w:rPr>
      <w:rFonts w:ascii="黑体" w:eastAsiaTheme="majorEastAsia" w:hAnsi="黑体" w:cstheme="majorBidi"/>
      <w:b/>
      <w:szCs w:val="28"/>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spacing w:line="240" w:lineRule="auto"/>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spacing w:line="240" w:lineRule="auto"/>
      <w:jc w:val="center"/>
    </w:pPr>
    <w:rPr>
      <w:sz w:val="18"/>
      <w:szCs w:val="18"/>
    </w:rPr>
  </w:style>
  <w:style w:type="paragraph" w:styleId="aa">
    <w:name w:val="Normal (Web)"/>
    <w:basedOn w:val="a"/>
    <w:qFormat/>
    <w:pPr>
      <w:spacing w:beforeAutospacing="1" w:afterAutospacing="1"/>
      <w:jc w:val="left"/>
    </w:pPr>
  </w:style>
  <w:style w:type="paragraph" w:styleId="ab">
    <w:name w:val="annotation subject"/>
    <w:basedOn w:val="a4"/>
    <w:next w:val="a4"/>
    <w:link w:val="ac"/>
    <w:qFormat/>
    <w:rPr>
      <w:b/>
      <w:bCs/>
    </w:rPr>
  </w:style>
  <w:style w:type="character" w:styleId="ad">
    <w:name w:val="Strong"/>
    <w:basedOn w:val="a1"/>
    <w:qFormat/>
    <w:rPr>
      <w:b/>
    </w:rPr>
  </w:style>
  <w:style w:type="character" w:styleId="ae">
    <w:name w:val="Hyperlink"/>
    <w:basedOn w:val="a1"/>
    <w:qFormat/>
    <w:rPr>
      <w:color w:val="0000FF"/>
      <w:u w:val="single"/>
    </w:rPr>
  </w:style>
  <w:style w:type="character" w:styleId="af">
    <w:name w:val="annotation reference"/>
    <w:basedOn w:val="a1"/>
    <w:qFormat/>
    <w:rPr>
      <w:sz w:val="21"/>
      <w:szCs w:val="21"/>
    </w:rPr>
  </w:style>
  <w:style w:type="paragraph" w:customStyle="1" w:styleId="CaptionedFigure">
    <w:name w:val="Captioned Figure"/>
    <w:basedOn w:val="Figure"/>
    <w:qFormat/>
    <w:pPr>
      <w:keepNext/>
    </w:pPr>
  </w:style>
  <w:style w:type="paragraph" w:customStyle="1" w:styleId="Figure">
    <w:name w:val="Figure"/>
    <w:basedOn w:val="a"/>
    <w:qFormat/>
  </w:style>
  <w:style w:type="paragraph" w:customStyle="1" w:styleId="FigureCaptionCN">
    <w:name w:val="Figure Caption CN"/>
    <w:qFormat/>
    <w:pPr>
      <w:keepLines/>
      <w:spacing w:before="60"/>
      <w:jc w:val="center"/>
    </w:pPr>
    <w:rPr>
      <w:sz w:val="21"/>
      <w:szCs w:val="24"/>
    </w:rPr>
  </w:style>
  <w:style w:type="paragraph" w:customStyle="1" w:styleId="Formula">
    <w:name w:val="Formula"/>
    <w:qFormat/>
    <w:pPr>
      <w:keepLines/>
      <w:spacing w:before="100" w:after="100"/>
      <w:jc w:val="center"/>
    </w:pPr>
    <w:rPr>
      <w:rFonts w:ascii="Cambria Math" w:hAnsi="Cambria Math" w:cs="Cambria Math"/>
      <w:sz w:val="24"/>
      <w:szCs w:val="24"/>
    </w:rPr>
  </w:style>
  <w:style w:type="character" w:customStyle="1" w:styleId="a5">
    <w:name w:val="批注文字 字符"/>
    <w:basedOn w:val="a1"/>
    <w:link w:val="a4"/>
    <w:qFormat/>
    <w:rPr>
      <w:sz w:val="24"/>
      <w:szCs w:val="24"/>
    </w:rPr>
  </w:style>
  <w:style w:type="character" w:customStyle="1" w:styleId="ac">
    <w:name w:val="批注主题 字符"/>
    <w:basedOn w:val="a5"/>
    <w:link w:val="ab"/>
    <w:qFormat/>
    <w:rPr>
      <w:b/>
      <w:bCs/>
      <w:sz w:val="24"/>
      <w:szCs w:val="24"/>
    </w:rPr>
  </w:style>
  <w:style w:type="character" w:customStyle="1" w:styleId="a9">
    <w:name w:val="页眉 字符"/>
    <w:basedOn w:val="a1"/>
    <w:link w:val="a8"/>
    <w:qFormat/>
    <w:rPr>
      <w:sz w:val="18"/>
      <w:szCs w:val="18"/>
    </w:rPr>
  </w:style>
  <w:style w:type="character" w:customStyle="1" w:styleId="a7">
    <w:name w:val="页脚 字符"/>
    <w:basedOn w:val="a1"/>
    <w:link w:val="a6"/>
    <w:qFormat/>
    <w:rPr>
      <w:sz w:val="18"/>
      <w:szCs w:val="18"/>
    </w:rPr>
  </w:style>
  <w:style w:type="character" w:styleId="af0">
    <w:name w:val="Placeholder Text"/>
    <w:basedOn w:val="a1"/>
    <w:uiPriority w:val="99"/>
    <w:unhideWhenUsed/>
    <w:rsid w:val="001F6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tu.int/rec/R-REC-P.525-5-202411-I/en."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1317</Words>
  <Characters>7507</Characters>
  <Application>Microsoft Office Word</Application>
  <DocSecurity>0</DocSecurity>
  <Lines>62</Lines>
  <Paragraphs>17</Paragraphs>
  <ScaleCrop>false</ScaleCrop>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陕久了溉</dc:creator>
  <cp:lastModifiedBy>Asus</cp:lastModifiedBy>
  <cp:revision>17</cp:revision>
  <dcterms:created xsi:type="dcterms:W3CDTF">2026-08-15T03:17:00Z</dcterms:created>
  <dcterms:modified xsi:type="dcterms:W3CDTF">2026-09-23T08:09:00Z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C61A873ED3414557BDF69F5E28EE36D1_13</vt:lpwstr>
  </property>
  <property fmtid="{D5CDD505-2E9C-101B-9397-08002B2CF9AE}" pid="4" name="KSOTemplateDocerSaveRecord">
    <vt:lpwstr>eyJoZGlkIjoiZTg1YTIwZDJhZDI0NTNiZjMwYjQ4YmE2ZDIxMzEyMGYiLCJ1c2VySWQiOiIyNjQyMDE1MzEifQ==</vt:lpwstr>
  </property>
</Properties>
</file>