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pPr>
    </w:p>
    <w:p>
      <w:r>
        <w:rPr>
          <w:rFonts w:ascii="Arial" w:hAnsi="Arial"/>
          <w:b/>
          <w:color w:val="0F0F1A"/>
          <w:sz w:val="72"/>
        </w:rPr>
        <w:t>YouTube Channel</w:t>
      </w:r>
    </w:p>
    <w:p>
      <w:r>
        <w:rPr>
          <w:rFonts w:ascii="Arial" w:hAnsi="Arial"/>
          <w:b/>
          <w:color w:val="E94560"/>
          <w:sz w:val="72"/>
        </w:rPr>
        <w:t>Behaviour Analysis</w:t>
      </w:r>
    </w:p>
    <w:p>
      <w:pPr>
        <w:spacing w:before="200" w:after="0"/>
      </w:pPr>
    </w:p>
    <w:p>
      <w:pPr>
        <w:pBdr>
          <w:top w:val="single" w:sz="8" w:space="1" w:color="E94560"/>
        </w:pBdr>
      </w:pPr>
    </w:p>
    <w:p>
      <w:pPr>
        <w:spacing w:before="120" w:after="0"/>
      </w:pPr>
    </w:p>
    <w:p>
      <w:r>
        <w:rPr>
          <w:rFonts w:ascii="Arial" w:hAnsi="Arial"/>
          <w:color w:val="333344"/>
          <w:sz w:val="24"/>
        </w:rPr>
        <w:t>Evidence-based patterns from 142 tracked artist channels</w:t>
      </w:r>
    </w:p>
    <w:p>
      <w:r>
        <w:rPr>
          <w:rFonts w:ascii="Arial" w:hAnsi="Arial"/>
          <w:color w:val="6B6B80"/>
          <w:sz w:val="22"/>
        </w:rPr>
        <w:t>YouTube Watcher + Campaign Coach data systems</w:t>
      </w:r>
    </w:p>
    <w:p>
      <w:pPr>
        <w:spacing w:before="1200" w:after="0"/>
      </w:pPr>
    </w:p>
    <w:p>
      <w:r>
        <w:rPr>
          <w:rFonts w:ascii="Arial" w:hAnsi="Arial"/>
          <w:color w:val="6B6B80"/>
          <w:sz w:val="20"/>
        </w:rPr>
        <w:t>Prepared: June 2026</w:t>
      </w:r>
    </w:p>
    <w:p>
      <w:r>
        <w:rPr>
          <w:rFonts w:ascii="Arial" w:hAnsi="Arial"/>
          <w:color w:val="6B6B80"/>
          <w:sz w:val="20"/>
        </w:rPr>
        <w:t>Data source: Week of 15 June 2026 (W25) — 86 managed + 56 market channels</w:t>
      </w:r>
    </w:p>
    <w:p>
      <w:r>
        <w:rPr>
          <w:rFonts w:ascii="Arial" w:hAnsi="Arial"/>
          <w:color w:val="6B6B80"/>
          <w:sz w:val="20"/>
        </w:rPr>
        <w:t>Classification: GROWING / WEAK CONVERSION / UNDERFED / COLD</w:t>
      </w:r>
    </w:p>
    <w:p>
      <w:pPr>
        <w:spacing w:before="600" w:after="0"/>
      </w:pPr>
    </w:p>
    <w:p>
      <w:pPr>
        <w:pBdr>
          <w:top w:val="single" w:sz="4" w:space="4" w:color="F7B731"/>
        </w:pBdr>
      </w:pPr>
      <w:r>
        <w:rPr>
          <w:rFonts w:ascii="Arial" w:hAnsi="Arial"/>
          <w:i/>
          <w:color w:val="333344"/>
          <w:sz w:val="18"/>
        </w:rPr>
        <w:t>IMPORTANT: This document presents observations from tracked data. It does not estimate revenue, assume causation, or state that any strategy “works” unless there is direct evidence. Where evidence is weak or ambiguous, that is stated explicitly.</w:t>
      </w:r>
    </w:p>
    <w:p>
      <w:r>
        <w:br w:type="page"/>
      </w:r>
    </w:p>
    <w:p>
      <w:pPr>
        <w:pStyle w:val="Heading1"/>
      </w:pPr>
      <w:r>
        <w:t>Section 1: The 5 Most Interesting Findings</w:t>
      </w:r>
    </w:p>
    <w:p>
      <w:pPr>
        <w:spacing w:before="60" w:after="60"/>
      </w:pPr>
      <w:r>
        <w:rPr>
          <w:rFonts w:ascii="Arial" w:hAnsi="Arial"/>
          <w:b w:val="0"/>
          <w:i w:val="0"/>
          <w:sz w:val="21"/>
        </w:rPr>
        <w:t>These findings are ranked by how surprising or actionable they are, based on evidence from the current dataset. Each is explored in depth in Section 2.</w:t>
      </w:r>
    </w:p>
    <w:p>
      <w:pPr>
        <w:spacing w:before="160" w:after="0"/>
      </w:pPr>
    </w:p>
    <w:p>
      <w:pPr>
        <w:pStyle w:val="Heading2"/>
      </w:pPr>
      <w:r>
        <w:t>1. Moderate upload cadence outperforms heavy upload cadence for growth</w:t>
      </w:r>
    </w:p>
    <w:p>
      <w:pPr>
        <w:spacing w:before="60" w:after="60"/>
      </w:pPr>
      <w:r>
        <w:rPr>
          <w:rFonts w:ascii="Arial" w:hAnsi="Arial"/>
          <w:b w:val="0"/>
          <w:i w:val="0"/>
          <w:sz w:val="21"/>
        </w:rPr>
        <w:t>86% of channels with moderate cadence (3–9 uploads/month) are classified GROWING. Only 56% of channels with strong cadence (10+ uploads/month) achieve the same. Strong-cadence channels are disproportionately WEAK_CONVERSION — uploading frequently but failing to convert viewers into subscribers.</w:t>
      </w:r>
    </w:p>
    <w:p>
      <w:pPr>
        <w:spacing w:before="80" w:after="80"/>
        <w:ind w:left="360"/>
        <w:pBdr>
          <w:left w:val="single" w:sz="12" w:space="8" w:color="16C79A"/>
        </w:pBdr>
      </w:pPr>
      <w:r>
        <w:rPr>
          <w:rFonts w:ascii="Arial" w:hAnsi="Arial"/>
          <w:i/>
          <w:color w:val="333344"/>
          <w:sz w:val="20"/>
        </w:rPr>
        <w:t>Moderate cadence: 19 of 22 channels GROWING (86%). Strong cadence: 9 of 16 channels GROWING (56%), 7 WEAK_CONVERSION (44%).</w:t>
      </w:r>
    </w:p>
    <w:p>
      <w:pPr>
        <w:spacing w:before="160" w:after="0"/>
      </w:pPr>
    </w:p>
    <w:p>
      <w:pPr>
        <w:pStyle w:val="Heading2"/>
      </w:pPr>
      <w:r>
        <w:t>2. Upload activity is an almost perfect predictor of classification — and no subscriber count protects against inactivity</w:t>
      </w:r>
    </w:p>
    <w:p>
      <w:pPr>
        <w:spacing w:before="60" w:after="60"/>
      </w:pPr>
      <w:r>
        <w:rPr>
          <w:rFonts w:ascii="Arial" w:hAnsi="Arial"/>
          <w:b w:val="0"/>
          <w:i w:val="0"/>
          <w:sz w:val="21"/>
        </w:rPr>
        <w:t>Every single light-cadence channel (1–2 uploads/month) is classified UNDERFED. Every zero-cadence channel is COLD. This holds regardless of subscriber count. Plan B (6.44M subs), XXXTENTACION (43.2M subs), and Tom Odell (2.68M subs) are all COLD. Historical audience size provides no insulation from the algorithm.</w:t>
      </w:r>
    </w:p>
    <w:p>
      <w:pPr>
        <w:spacing w:before="80" w:after="80"/>
        <w:ind w:left="360"/>
        <w:pBdr>
          <w:left w:val="single" w:sz="12" w:space="8" w:color="16C79A"/>
        </w:pBdr>
      </w:pPr>
      <w:r>
        <w:rPr>
          <w:rFonts w:ascii="Arial" w:hAnsi="Arial"/>
          <w:i/>
          <w:color w:val="333344"/>
          <w:sz w:val="20"/>
        </w:rPr>
        <w:t>Light cadence: 12 of 12 channels UNDERFED (100%). No cadence: 29 of 29 channels COLD (100%). Largest COLD channel by subs: XXXTENTACION at 43.2M.</w:t>
      </w:r>
    </w:p>
    <w:p>
      <w:pPr>
        <w:spacing w:before="160" w:after="0"/>
      </w:pPr>
    </w:p>
    <w:p>
      <w:pPr>
        <w:pStyle w:val="Heading2"/>
      </w:pPr>
      <w:r>
        <w:t>3. Shorts-only, longform-only, and multiformat strategies all produce growth — format mix is not the differentiator</w:t>
      </w:r>
    </w:p>
    <w:p>
      <w:pPr>
        <w:spacing w:before="60" w:after="60"/>
      </w:pPr>
      <w:r>
        <w:rPr>
          <w:rFonts w:ascii="Arial" w:hAnsi="Arial"/>
          <w:b w:val="0"/>
          <w:i w:val="0"/>
          <w:sz w:val="21"/>
        </w:rPr>
        <w:t>The data does not support a single “correct” format strategy. Precious Pepala is GROWING with 18 Shorts and zero longform. RUEL is GROWING with 11 longform uploads and zero Shorts. Lukas Graham is GROWING with a 4:7 Shorts-to-longform mix. Meanwhile, Nickelback uploaded 13 Shorts with zero longform and is WEAK_CONVERSION. Format choice matters less than whether the content connects with the audience.</w:t>
      </w:r>
    </w:p>
    <w:p>
      <w:pPr>
        <w:spacing w:before="80" w:after="80"/>
        <w:ind w:left="360"/>
        <w:pBdr>
          <w:left w:val="single" w:sz="12" w:space="8" w:color="16C79A"/>
        </w:pBdr>
      </w:pPr>
      <w:r>
        <w:rPr>
          <w:rFonts w:ascii="Arial" w:hAnsi="Arial"/>
          <w:i/>
          <w:color w:val="333344"/>
          <w:sz w:val="20"/>
        </w:rPr>
        <w:t>Three contradictory success cases: Precious Pepala (Shorts-only, GROWING, 3.7 subs/1kViews), RUEL (longform-only, GROWING), Lukas Graham (multiformat, GROWING, 2.0 subs/1kViews). Counterexample: Nickelback (Shorts-only, WEAK_CONVERSION, views −48%).</w:t>
      </w:r>
    </w:p>
    <w:p>
      <w:pPr>
        <w:spacing w:before="160" w:after="0"/>
      </w:pPr>
    </w:p>
    <w:p>
      <w:pPr>
        <w:pStyle w:val="Heading2"/>
      </w:pPr>
      <w:r>
        <w:t>4. Several COLD channels still generate significant views from catalogue — indicating latent audience demand</w:t>
      </w:r>
    </w:p>
    <w:p>
      <w:pPr>
        <w:spacing w:before="60" w:after="60"/>
      </w:pPr>
      <w:r>
        <w:rPr>
          <w:rFonts w:ascii="Arial" w:hAnsi="Arial"/>
          <w:b w:val="0"/>
          <w:i w:val="0"/>
          <w:sz w:val="21"/>
        </w:rPr>
        <w:t>Bad Omens has not uploaded in 118 days but generates 3.54M views per week from catalogue content alone. Declan McKenna has not uploaded in 36 days and still draws 1.45M weekly views. The Itch, classified COLD with zero recent uploads, saw views spike 125% week-over-week — likely driven by an external trigger. These channels demonstrate that audience demand persists even when the channel stops publishing.</w:t>
      </w:r>
    </w:p>
    <w:p>
      <w:pPr>
        <w:spacing w:before="80" w:after="80"/>
        <w:ind w:left="360"/>
        <w:pBdr>
          <w:left w:val="single" w:sz="12" w:space="8" w:color="16C79A"/>
        </w:pBdr>
      </w:pPr>
      <w:r>
        <w:rPr>
          <w:rFonts w:ascii="Arial" w:hAnsi="Arial"/>
          <w:i/>
          <w:color w:val="333344"/>
          <w:sz w:val="20"/>
        </w:rPr>
        <w:t>Bad Omens: 3.54M views/week, 0 uploads, 118 days dormant, still gaining ~2,100 subs/week. The Itch: views +125% WoW with 0 uploads. Declan McKenna: 1.45M views/week from catalogue.</w:t>
      </w:r>
    </w:p>
    <w:p>
      <w:pPr>
        <w:spacing w:before="160" w:after="0"/>
      </w:pPr>
    </w:p>
    <w:p>
      <w:pPr>
        <w:pStyle w:val="Heading2"/>
      </w:pPr>
      <w:r>
        <w:t>5. The smallest channels have the highest subscriber conversion rates — suggesting an early-stage growth window</w:t>
      </w:r>
    </w:p>
    <w:p>
      <w:pPr>
        <w:spacing w:before="60" w:after="60"/>
      </w:pPr>
      <w:r>
        <w:rPr>
          <w:rFonts w:ascii="Arial" w:hAnsi="Arial"/>
          <w:b w:val="0"/>
          <w:i w:val="0"/>
          <w:sz w:val="21"/>
        </w:rPr>
        <w:t>jo from school (513 subs) converts at 30.3 subscribers per 1,000 views. Aifric (40 subs) converts at 11.6. Man Woman Chainsaw (2,230 subs) converts at 4.2. At scale, even strong performers like BANGTANTV (84.8M subs) convert at 3.5. The pattern is consistent: conversion efficiency appears to diminish as channels grow. This suggests new or very small managed channels represent the highest-ROI investment for subscriber acquisition.</w:t>
      </w:r>
    </w:p>
    <w:p>
      <w:pPr>
        <w:spacing w:before="80" w:after="80"/>
        <w:ind w:left="360"/>
        <w:pBdr>
          <w:left w:val="single" w:sz="12" w:space="8" w:color="16C79A"/>
        </w:pBdr>
      </w:pPr>
      <w:r>
        <w:rPr>
          <w:rFonts w:ascii="Arial" w:hAnsi="Arial"/>
          <w:i/>
          <w:color w:val="333344"/>
          <w:sz w:val="20"/>
        </w:rPr>
        <w:t>Conversion rate by channel size: jo from school (513 subs) 30.3, Aifric (40 subs) 11.6, Man Woman Chainsaw (2,230 subs) 4.2, Catch (5,130 subs) 2.8, BANGTANTV (84.8M subs) 3.5.</w:t>
      </w:r>
    </w:p>
    <w:p>
      <w:pPr>
        <w:spacing w:before="80" w:after="80"/>
        <w:ind w:left="360"/>
        <w:pBdr>
          <w:left w:val="single" w:sz="12" w:space="8" w:color="F7B731"/>
        </w:pBdr>
      </w:pPr>
      <w:r>
        <w:rPr>
          <w:rFonts w:ascii="Arial" w:hAnsi="Arial"/>
          <w:i/>
          <w:color w:val="333344"/>
          <w:sz w:val="20"/>
        </w:rPr>
        <w:t>Caveat: Small-channel conversion rates are measured from very low absolute numbers (e.g. 87 new subs for jo from school). These rates are inherently noisy and may not be sustainable. The pattern is directionally consistent but should be monitored over time.</w:t>
      </w:r>
    </w:p>
    <w:p>
      <w:r>
        <w:br w:type="page"/>
      </w:r>
    </w:p>
    <w:p>
      <w:pPr>
        <w:pStyle w:val="Heading1"/>
      </w:pPr>
      <w:r>
        <w:t>Section 2: Evidence for Each Finding</w:t>
      </w:r>
    </w:p>
    <w:p>
      <w:pPr>
        <w:pStyle w:val="Heading2"/>
      </w:pPr>
      <w:r>
        <w:t>Evidence: Cadence vs Classification</w:t>
      </w:r>
    </w:p>
    <w:p>
      <w:pPr>
        <w:spacing w:before="60" w:after="60"/>
      </w:pPr>
      <w:r>
        <w:rPr>
          <w:rFonts w:ascii="Arial" w:hAnsi="Arial"/>
          <w:b w:val="0"/>
          <w:i w:val="0"/>
          <w:sz w:val="21"/>
        </w:rPr>
        <w:t>The relationship between cadence label and signal classification is strikingly clean across all 86 managed channels:</w:t>
      </w: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584"/>
            <w:shd w:fill="0F0F1A" w:val="clear"/>
          </w:tcPr>
          <w:p>
            <w:r/>
            <w:r>
              <w:rPr>
                <w:rFonts w:ascii="Arial" w:hAnsi="Arial"/>
                <w:b/>
                <w:color w:val="FFFFFF"/>
                <w:sz w:val="18"/>
              </w:rPr>
              <w:t>Cadence</w:t>
            </w:r>
          </w:p>
        </w:tc>
        <w:tc>
          <w:tcPr>
            <w:tcW w:type="dxa" w:w="1008"/>
            <w:shd w:fill="0F0F1A" w:val="clear"/>
          </w:tcPr>
          <w:p>
            <w:r/>
            <w:r>
              <w:rPr>
                <w:rFonts w:ascii="Arial" w:hAnsi="Arial"/>
                <w:b/>
                <w:color w:val="FFFFFF"/>
                <w:sz w:val="18"/>
              </w:rPr>
              <w:t>Count</w:t>
            </w:r>
          </w:p>
        </w:tc>
        <w:tc>
          <w:tcPr>
            <w:tcW w:type="dxa" w:w="1440"/>
            <w:shd w:fill="0F0F1A" w:val="clear"/>
          </w:tcPr>
          <w:p>
            <w:r/>
            <w:r>
              <w:rPr>
                <w:rFonts w:ascii="Arial" w:hAnsi="Arial"/>
                <w:b/>
                <w:color w:val="FFFFFF"/>
                <w:sz w:val="18"/>
              </w:rPr>
              <w:t>GROWING</w:t>
            </w:r>
          </w:p>
        </w:tc>
        <w:tc>
          <w:tcPr>
            <w:tcW w:type="dxa" w:w="1584"/>
            <w:shd w:fill="0F0F1A" w:val="clear"/>
          </w:tcPr>
          <w:p>
            <w:r/>
            <w:r>
              <w:rPr>
                <w:rFonts w:ascii="Arial" w:hAnsi="Arial"/>
                <w:b/>
                <w:color w:val="FFFFFF"/>
                <w:sz w:val="18"/>
              </w:rPr>
              <w:t>WEAK CONV</w:t>
            </w:r>
          </w:p>
        </w:tc>
        <w:tc>
          <w:tcPr>
            <w:tcW w:type="dxa" w:w="1440"/>
            <w:shd w:fill="0F0F1A" w:val="clear"/>
          </w:tcPr>
          <w:p>
            <w:r/>
            <w:r>
              <w:rPr>
                <w:rFonts w:ascii="Arial" w:hAnsi="Arial"/>
                <w:b/>
                <w:color w:val="FFFFFF"/>
                <w:sz w:val="18"/>
              </w:rPr>
              <w:t>UNDERFED</w:t>
            </w:r>
          </w:p>
        </w:tc>
        <w:tc>
          <w:tcPr>
            <w:tcW w:type="dxa" w:w="1008"/>
            <w:shd w:fill="0F0F1A" w:val="clear"/>
          </w:tcPr>
          <w:p>
            <w:r/>
            <w:r>
              <w:rPr>
                <w:rFonts w:ascii="Arial" w:hAnsi="Arial"/>
                <w:b/>
                <w:color w:val="FFFFFF"/>
                <w:sz w:val="18"/>
              </w:rPr>
              <w:t>COLD</w:t>
            </w:r>
          </w:p>
        </w:tc>
        <w:tc>
          <w:tcPr>
            <w:tcW w:type="dxa" w:w="1368"/>
            <w:shd w:fill="0F0F1A" w:val="clear"/>
          </w:tcPr>
          <w:p>
            <w:r/>
            <w:r>
              <w:rPr>
                <w:rFonts w:ascii="Arial" w:hAnsi="Arial"/>
                <w:b/>
                <w:color w:val="FFFFFF"/>
                <w:sz w:val="18"/>
              </w:rPr>
              <w:t>% GROWING</w:t>
            </w:r>
          </w:p>
        </w:tc>
      </w:tr>
      <w:tr>
        <w:tc>
          <w:tcPr>
            <w:tcW w:type="dxa" w:w="1584"/>
            <w:shd w:fill="F5F5FA" w:val="clear"/>
          </w:tcPr>
          <w:p>
            <w:r/>
            <w:r>
              <w:rPr>
                <w:rFonts w:ascii="Arial" w:hAnsi="Arial"/>
                <w:color w:val="111111"/>
                <w:sz w:val="18"/>
              </w:rPr>
              <w:t>None</w:t>
            </w:r>
          </w:p>
        </w:tc>
        <w:tc>
          <w:tcPr>
            <w:tcW w:type="dxa" w:w="1008"/>
            <w:shd w:fill="F5F5FA" w:val="clear"/>
          </w:tcPr>
          <w:p>
            <w:r/>
            <w:r>
              <w:rPr>
                <w:rFonts w:ascii="Arial" w:hAnsi="Arial"/>
                <w:color w:val="111111"/>
                <w:sz w:val="18"/>
              </w:rPr>
              <w:t>29</w:t>
            </w:r>
          </w:p>
        </w:tc>
        <w:tc>
          <w:tcPr>
            <w:tcW w:type="dxa" w:w="1440"/>
            <w:shd w:fill="F5F5FA" w:val="clear"/>
          </w:tcPr>
          <w:p>
            <w:r/>
            <w:r>
              <w:rPr>
                <w:rFonts w:ascii="Arial" w:hAnsi="Arial"/>
                <w:color w:val="111111"/>
                <w:sz w:val="18"/>
              </w:rPr>
              <w:t>0</w:t>
            </w:r>
          </w:p>
        </w:tc>
        <w:tc>
          <w:tcPr>
            <w:tcW w:type="dxa" w:w="1584"/>
            <w:shd w:fill="F5F5FA" w:val="clear"/>
          </w:tcPr>
          <w:p>
            <w:r/>
            <w:r>
              <w:rPr>
                <w:rFonts w:ascii="Arial" w:hAnsi="Arial"/>
                <w:color w:val="111111"/>
                <w:sz w:val="18"/>
              </w:rPr>
              <w:t>0</w:t>
            </w:r>
          </w:p>
        </w:tc>
        <w:tc>
          <w:tcPr>
            <w:tcW w:type="dxa" w:w="1440"/>
            <w:shd w:fill="F5F5FA" w:val="clear"/>
          </w:tcPr>
          <w:p>
            <w:r/>
            <w:r>
              <w:rPr>
                <w:rFonts w:ascii="Arial" w:hAnsi="Arial"/>
                <w:color w:val="111111"/>
                <w:sz w:val="18"/>
              </w:rPr>
              <w:t>0</w:t>
            </w:r>
          </w:p>
        </w:tc>
        <w:tc>
          <w:tcPr>
            <w:tcW w:type="dxa" w:w="1008"/>
            <w:shd w:fill="F5F5FA" w:val="clear"/>
          </w:tcPr>
          <w:p>
            <w:r/>
            <w:r>
              <w:rPr>
                <w:rFonts w:ascii="Arial" w:hAnsi="Arial"/>
                <w:color w:val="111111"/>
                <w:sz w:val="18"/>
              </w:rPr>
              <w:t>29</w:t>
            </w:r>
          </w:p>
        </w:tc>
        <w:tc>
          <w:tcPr>
            <w:tcW w:type="dxa" w:w="1368"/>
            <w:shd w:fill="F5F5FA" w:val="clear"/>
          </w:tcPr>
          <w:p>
            <w:r/>
            <w:r>
              <w:rPr>
                <w:rFonts w:ascii="Arial" w:hAnsi="Arial"/>
                <w:color w:val="111111"/>
                <w:sz w:val="18"/>
              </w:rPr>
              <w:t>0%</w:t>
            </w:r>
          </w:p>
        </w:tc>
      </w:tr>
      <w:tr>
        <w:tc>
          <w:tcPr>
            <w:tcW w:type="dxa" w:w="1584"/>
          </w:tcPr>
          <w:p>
            <w:r/>
            <w:r>
              <w:rPr>
                <w:rFonts w:ascii="Arial" w:hAnsi="Arial"/>
                <w:color w:val="111111"/>
                <w:sz w:val="18"/>
              </w:rPr>
              <w:t>Light</w:t>
            </w:r>
          </w:p>
        </w:tc>
        <w:tc>
          <w:tcPr>
            <w:tcW w:type="dxa" w:w="1008"/>
          </w:tcPr>
          <w:p>
            <w:r/>
            <w:r>
              <w:rPr>
                <w:rFonts w:ascii="Arial" w:hAnsi="Arial"/>
                <w:color w:val="111111"/>
                <w:sz w:val="18"/>
              </w:rPr>
              <w:t>12</w:t>
            </w:r>
          </w:p>
        </w:tc>
        <w:tc>
          <w:tcPr>
            <w:tcW w:type="dxa" w:w="1440"/>
          </w:tcPr>
          <w:p>
            <w:r/>
            <w:r>
              <w:rPr>
                <w:rFonts w:ascii="Arial" w:hAnsi="Arial"/>
                <w:color w:val="111111"/>
                <w:sz w:val="18"/>
              </w:rPr>
              <w:t>0</w:t>
            </w:r>
          </w:p>
        </w:tc>
        <w:tc>
          <w:tcPr>
            <w:tcW w:type="dxa" w:w="1584"/>
          </w:tcPr>
          <w:p>
            <w:r/>
            <w:r>
              <w:rPr>
                <w:rFonts w:ascii="Arial" w:hAnsi="Arial"/>
                <w:color w:val="111111"/>
                <w:sz w:val="18"/>
              </w:rPr>
              <w:t>0</w:t>
            </w:r>
          </w:p>
        </w:tc>
        <w:tc>
          <w:tcPr>
            <w:tcW w:type="dxa" w:w="1440"/>
          </w:tcPr>
          <w:p>
            <w:r/>
            <w:r>
              <w:rPr>
                <w:rFonts w:ascii="Arial" w:hAnsi="Arial"/>
                <w:color w:val="111111"/>
                <w:sz w:val="18"/>
              </w:rPr>
              <w:t>12</w:t>
            </w:r>
          </w:p>
        </w:tc>
        <w:tc>
          <w:tcPr>
            <w:tcW w:type="dxa" w:w="1008"/>
          </w:tcPr>
          <w:p>
            <w:r/>
            <w:r>
              <w:rPr>
                <w:rFonts w:ascii="Arial" w:hAnsi="Arial"/>
                <w:color w:val="111111"/>
                <w:sz w:val="18"/>
              </w:rPr>
              <w:t>0</w:t>
            </w:r>
          </w:p>
        </w:tc>
        <w:tc>
          <w:tcPr>
            <w:tcW w:type="dxa" w:w="1368"/>
          </w:tcPr>
          <w:p>
            <w:r/>
            <w:r>
              <w:rPr>
                <w:rFonts w:ascii="Arial" w:hAnsi="Arial"/>
                <w:color w:val="111111"/>
                <w:sz w:val="18"/>
              </w:rPr>
              <w:t>0%</w:t>
            </w:r>
          </w:p>
        </w:tc>
      </w:tr>
      <w:tr>
        <w:tc>
          <w:tcPr>
            <w:tcW w:type="dxa" w:w="1584"/>
            <w:shd w:fill="F5F5FA" w:val="clear"/>
          </w:tcPr>
          <w:p>
            <w:r/>
            <w:r>
              <w:rPr>
                <w:rFonts w:ascii="Arial" w:hAnsi="Arial"/>
                <w:color w:val="111111"/>
                <w:sz w:val="18"/>
              </w:rPr>
              <w:t>Moderate</w:t>
            </w:r>
          </w:p>
        </w:tc>
        <w:tc>
          <w:tcPr>
            <w:tcW w:type="dxa" w:w="1008"/>
            <w:shd w:fill="F5F5FA" w:val="clear"/>
          </w:tcPr>
          <w:p>
            <w:r/>
            <w:r>
              <w:rPr>
                <w:rFonts w:ascii="Arial" w:hAnsi="Arial"/>
                <w:color w:val="111111"/>
                <w:sz w:val="18"/>
              </w:rPr>
              <w:t>22</w:t>
            </w:r>
          </w:p>
        </w:tc>
        <w:tc>
          <w:tcPr>
            <w:tcW w:type="dxa" w:w="1440"/>
            <w:shd w:fill="F5F5FA" w:val="clear"/>
          </w:tcPr>
          <w:p>
            <w:r/>
            <w:r>
              <w:rPr>
                <w:rFonts w:ascii="Arial" w:hAnsi="Arial"/>
                <w:color w:val="111111"/>
                <w:sz w:val="18"/>
              </w:rPr>
              <w:t>19</w:t>
            </w:r>
          </w:p>
        </w:tc>
        <w:tc>
          <w:tcPr>
            <w:tcW w:type="dxa" w:w="1584"/>
            <w:shd w:fill="F5F5FA" w:val="clear"/>
          </w:tcPr>
          <w:p>
            <w:r/>
            <w:r>
              <w:rPr>
                <w:rFonts w:ascii="Arial" w:hAnsi="Arial"/>
                <w:color w:val="111111"/>
                <w:sz w:val="18"/>
              </w:rPr>
              <w:t>3</w:t>
            </w:r>
          </w:p>
        </w:tc>
        <w:tc>
          <w:tcPr>
            <w:tcW w:type="dxa" w:w="1440"/>
            <w:shd w:fill="F5F5FA" w:val="clear"/>
          </w:tcPr>
          <w:p>
            <w:r/>
            <w:r>
              <w:rPr>
                <w:rFonts w:ascii="Arial" w:hAnsi="Arial"/>
                <w:color w:val="111111"/>
                <w:sz w:val="18"/>
              </w:rPr>
              <w:t>0</w:t>
            </w:r>
          </w:p>
        </w:tc>
        <w:tc>
          <w:tcPr>
            <w:tcW w:type="dxa" w:w="1008"/>
            <w:shd w:fill="F5F5FA" w:val="clear"/>
          </w:tcPr>
          <w:p>
            <w:r/>
            <w:r>
              <w:rPr>
                <w:rFonts w:ascii="Arial" w:hAnsi="Arial"/>
                <w:color w:val="111111"/>
                <w:sz w:val="18"/>
              </w:rPr>
              <w:t>0</w:t>
            </w:r>
          </w:p>
        </w:tc>
        <w:tc>
          <w:tcPr>
            <w:tcW w:type="dxa" w:w="1368"/>
            <w:shd w:fill="F5F5FA" w:val="clear"/>
          </w:tcPr>
          <w:p>
            <w:r/>
            <w:r>
              <w:rPr>
                <w:rFonts w:ascii="Arial" w:hAnsi="Arial"/>
                <w:color w:val="111111"/>
                <w:sz w:val="18"/>
              </w:rPr>
              <w:t>86%</w:t>
            </w:r>
          </w:p>
        </w:tc>
      </w:tr>
      <w:tr>
        <w:tc>
          <w:tcPr>
            <w:tcW w:type="dxa" w:w="1584"/>
          </w:tcPr>
          <w:p>
            <w:r/>
            <w:r>
              <w:rPr>
                <w:rFonts w:ascii="Arial" w:hAnsi="Arial"/>
                <w:color w:val="111111"/>
                <w:sz w:val="18"/>
              </w:rPr>
              <w:t>Strong</w:t>
            </w:r>
          </w:p>
        </w:tc>
        <w:tc>
          <w:tcPr>
            <w:tcW w:type="dxa" w:w="1008"/>
          </w:tcPr>
          <w:p>
            <w:r/>
            <w:r>
              <w:rPr>
                <w:rFonts w:ascii="Arial" w:hAnsi="Arial"/>
                <w:color w:val="111111"/>
                <w:sz w:val="18"/>
              </w:rPr>
              <w:t>16</w:t>
            </w:r>
          </w:p>
        </w:tc>
        <w:tc>
          <w:tcPr>
            <w:tcW w:type="dxa" w:w="1440"/>
          </w:tcPr>
          <w:p>
            <w:r/>
            <w:r>
              <w:rPr>
                <w:rFonts w:ascii="Arial" w:hAnsi="Arial"/>
                <w:color w:val="111111"/>
                <w:sz w:val="18"/>
              </w:rPr>
              <w:t>9</w:t>
            </w:r>
          </w:p>
        </w:tc>
        <w:tc>
          <w:tcPr>
            <w:tcW w:type="dxa" w:w="1584"/>
          </w:tcPr>
          <w:p>
            <w:r/>
            <w:r>
              <w:rPr>
                <w:rFonts w:ascii="Arial" w:hAnsi="Arial"/>
                <w:color w:val="111111"/>
                <w:sz w:val="18"/>
              </w:rPr>
              <w:t>7</w:t>
            </w:r>
          </w:p>
        </w:tc>
        <w:tc>
          <w:tcPr>
            <w:tcW w:type="dxa" w:w="1440"/>
          </w:tcPr>
          <w:p>
            <w:r/>
            <w:r>
              <w:rPr>
                <w:rFonts w:ascii="Arial" w:hAnsi="Arial"/>
                <w:color w:val="111111"/>
                <w:sz w:val="18"/>
              </w:rPr>
              <w:t>0</w:t>
            </w:r>
          </w:p>
        </w:tc>
        <w:tc>
          <w:tcPr>
            <w:tcW w:type="dxa" w:w="1008"/>
          </w:tcPr>
          <w:p>
            <w:r/>
            <w:r>
              <w:rPr>
                <w:rFonts w:ascii="Arial" w:hAnsi="Arial"/>
                <w:color w:val="111111"/>
                <w:sz w:val="18"/>
              </w:rPr>
              <w:t>0</w:t>
            </w:r>
          </w:p>
        </w:tc>
        <w:tc>
          <w:tcPr>
            <w:tcW w:type="dxa" w:w="1368"/>
          </w:tcPr>
          <w:p>
            <w:r/>
            <w:r>
              <w:rPr>
                <w:rFonts w:ascii="Arial" w:hAnsi="Arial"/>
                <w:color w:val="111111"/>
                <w:sz w:val="18"/>
              </w:rPr>
              <w:t>56%</w:t>
            </w:r>
          </w:p>
        </w:tc>
      </w:tr>
    </w:tbl>
    <w:p>
      <w:pPr>
        <w:spacing w:before="120" w:after="0"/>
      </w:pPr>
    </w:p>
    <w:p>
      <w:pPr>
        <w:spacing w:before="60" w:after="60"/>
      </w:pPr>
      <w:r>
        <w:rPr>
          <w:rFonts w:ascii="Arial" w:hAnsi="Arial"/>
          <w:b w:val="0"/>
          <w:i w:val="0"/>
          <w:sz w:val="21"/>
        </w:rPr>
        <w:t>The step function is clear: no cadence means COLD, light cadence means UNDERFED, and moderate or strong cadence is required for growth. But the surprising result is that moderate cadence produces a higher rate of GROWING classification than strong cadence.</w:t>
      </w:r>
    </w:p>
    <w:p>
      <w:pPr>
        <w:spacing w:before="80" w:after="0"/>
      </w:pPr>
    </w:p>
    <w:p>
      <w:pPr>
        <w:spacing w:before="60" w:after="60"/>
      </w:pPr>
      <w:r>
        <w:rPr>
          <w:rFonts w:ascii="Arial" w:hAnsi="Arial"/>
          <w:b/>
          <w:i w:val="0"/>
          <w:sz w:val="21"/>
        </w:rPr>
        <w:t xml:space="preserve">Strong-cadence WEAK_CONVERSION channels: </w:t>
      </w:r>
      <w:r>
        <w:rPr>
          <w:rFonts w:ascii="Arial" w:hAnsi="Arial"/>
          <w:b w:val="0"/>
          <w:i w:val="0"/>
          <w:sz w:val="21"/>
        </w:rPr>
        <w:t>Nickelback (13 uploads, all Shorts, views −48%), PlaqueBoyMax (100 uploads, views down), Tove Lo (19 uploads, 0 subs gained), larissa lambert (11 uploads, views −76%), The Snuts (19 uploads), Joji (10 uploads, views −74%), Peter Gabriel (17 uploads, views −56%).</w:t>
      </w:r>
    </w:p>
    <w:p>
      <w:pPr>
        <w:spacing w:before="80" w:after="0"/>
      </w:pPr>
    </w:p>
    <w:p>
      <w:pPr>
        <w:spacing w:before="60" w:after="60"/>
      </w:pPr>
      <w:r>
        <w:rPr>
          <w:rFonts w:ascii="Arial" w:hAnsi="Arial"/>
          <w:b/>
          <w:i w:val="0"/>
          <w:sz w:val="21"/>
        </w:rPr>
        <w:t xml:space="preserve">What these channels have in common: </w:t>
      </w:r>
      <w:r>
        <w:rPr>
          <w:rFonts w:ascii="Arial" w:hAnsi="Arial"/>
          <w:b w:val="0"/>
          <w:i w:val="0"/>
          <w:sz w:val="21"/>
        </w:rPr>
        <w:t>High upload volume but either zero subscriber conversion or declining views. In several cases (Nickelback, larissa lambert), the Shorts-heavy approach is generating views that do not translate to audience growth. In others (Joji, PlaqueBoyMax), the sheer volume may be causing audience fatigue.</w:t>
      </w:r>
    </w:p>
    <w:p>
      <w:pPr>
        <w:spacing w:before="80" w:after="80"/>
        <w:ind w:left="360"/>
        <w:pBdr>
          <w:left w:val="single" w:sz="12" w:space="8" w:color="F7B731"/>
        </w:pBdr>
      </w:pPr>
      <w:r>
        <w:rPr>
          <w:rFonts w:ascii="Arial" w:hAnsi="Arial"/>
          <w:i/>
          <w:color w:val="333344"/>
          <w:sz w:val="20"/>
        </w:rPr>
        <w:t>Caveat: The cadence labels are assigned by our system and may partially reflect the same metrics used for classification. Some circularity is possible. The finding is most useful as a prompt to investigate WHY strong-cadence channels underperform — not as proof that reducing uploads would help.</w:t>
      </w:r>
    </w:p>
    <w:p>
      <w:pPr>
        <w:spacing w:before="200" w:after="0"/>
      </w:pPr>
    </w:p>
    <w:p>
      <w:pPr>
        <w:pStyle w:val="Heading2"/>
      </w:pPr>
      <w:r>
        <w:t>Evidence: Inactivity and Classification</w:t>
      </w:r>
    </w:p>
    <w:p>
      <w:pPr>
        <w:spacing w:before="60" w:after="60"/>
      </w:pPr>
      <w:r>
        <w:rPr>
          <w:rFonts w:ascii="Arial" w:hAnsi="Arial"/>
          <w:b w:val="0"/>
          <w:i w:val="0"/>
          <w:sz w:val="21"/>
        </w:rPr>
        <w:t>The 29 COLD channels share one characteristic: zero uploads in the last 30 days. Median days since last upload for COLD channels is approximately 118 days. The range spans from 36 days (Declan McKenna, KeepVibesNear) to 1,008 days (The Big Moon).</w:t>
      </w:r>
    </w:p>
    <w:tbl>
      <w:tblPr>
        <w:tblW w:type="auto" w:w="0"/>
        <w:jc w:val="left"/>
        <w:tblLook w:firstColumn="1" w:firstRow="1" w:lastColumn="0" w:lastRow="0" w:noHBand="0" w:noVBand="1" w:val="04A0"/>
      </w:tblPr>
      <w:tblGrid>
        <w:gridCol w:w="1872"/>
        <w:gridCol w:w="1872"/>
        <w:gridCol w:w="1872"/>
        <w:gridCol w:w="1872"/>
        <w:gridCol w:w="1872"/>
      </w:tblGrid>
      <w:tr>
        <w:tc>
          <w:tcPr>
            <w:tcW w:type="dxa" w:w="2592"/>
            <w:shd w:fill="0F0F1A" w:val="clear"/>
          </w:tcPr>
          <w:p>
            <w:r/>
            <w:r>
              <w:rPr>
                <w:rFonts w:ascii="Arial" w:hAnsi="Arial"/>
                <w:b/>
                <w:color w:val="FFFFFF"/>
                <w:sz w:val="18"/>
              </w:rPr>
              <w:t>Channel</w:t>
            </w:r>
          </w:p>
        </w:tc>
        <w:tc>
          <w:tcPr>
            <w:tcW w:type="dxa" w:w="1728"/>
            <w:shd w:fill="0F0F1A" w:val="clear"/>
          </w:tcPr>
          <w:p>
            <w:r/>
            <w:r>
              <w:rPr>
                <w:rFonts w:ascii="Arial" w:hAnsi="Arial"/>
                <w:b/>
                <w:color w:val="FFFFFF"/>
                <w:sz w:val="18"/>
              </w:rPr>
              <w:t>Subscribers</w:t>
            </w:r>
          </w:p>
        </w:tc>
        <w:tc>
          <w:tcPr>
            <w:tcW w:type="dxa" w:w="1728"/>
            <w:shd w:fill="0F0F1A" w:val="clear"/>
          </w:tcPr>
          <w:p>
            <w:r/>
            <w:r>
              <w:rPr>
                <w:rFonts w:ascii="Arial" w:hAnsi="Arial"/>
                <w:b/>
                <w:color w:val="FFFFFF"/>
                <w:sz w:val="18"/>
              </w:rPr>
              <w:t>Days Dormant</w:t>
            </w:r>
          </w:p>
        </w:tc>
        <w:tc>
          <w:tcPr>
            <w:tcW w:type="dxa" w:w="1728"/>
            <w:shd w:fill="0F0F1A" w:val="clear"/>
          </w:tcPr>
          <w:p>
            <w:r/>
            <w:r>
              <w:rPr>
                <w:rFonts w:ascii="Arial" w:hAnsi="Arial"/>
                <w:b/>
                <w:color w:val="FFFFFF"/>
                <w:sz w:val="18"/>
              </w:rPr>
              <w:t>Views/Week</w:t>
            </w:r>
          </w:p>
        </w:tc>
        <w:tc>
          <w:tcPr>
            <w:tcW w:type="dxa" w:w="1512"/>
            <w:shd w:fill="0F0F1A" w:val="clear"/>
          </w:tcPr>
          <w:p>
            <w:r/>
            <w:r>
              <w:rPr>
                <w:rFonts w:ascii="Arial" w:hAnsi="Arial"/>
                <w:b/>
                <w:color w:val="FFFFFF"/>
                <w:sz w:val="18"/>
              </w:rPr>
              <w:t>Signal</w:t>
            </w:r>
          </w:p>
        </w:tc>
      </w:tr>
      <w:tr>
        <w:tc>
          <w:tcPr>
            <w:tcW w:type="dxa" w:w="2592"/>
            <w:shd w:fill="F5F5FA" w:val="clear"/>
          </w:tcPr>
          <w:p>
            <w:r/>
            <w:r>
              <w:rPr>
                <w:rFonts w:ascii="Arial" w:hAnsi="Arial"/>
                <w:color w:val="111111"/>
                <w:sz w:val="18"/>
              </w:rPr>
              <w:t>XXXTENTACION</w:t>
            </w:r>
          </w:p>
        </w:tc>
        <w:tc>
          <w:tcPr>
            <w:tcW w:type="dxa" w:w="1728"/>
            <w:shd w:fill="F5F5FA" w:val="clear"/>
          </w:tcPr>
          <w:p>
            <w:r/>
            <w:r>
              <w:rPr>
                <w:rFonts w:ascii="Arial" w:hAnsi="Arial"/>
                <w:color w:val="111111"/>
                <w:sz w:val="18"/>
              </w:rPr>
              <w:t>43.2M</w:t>
            </w:r>
          </w:p>
        </w:tc>
        <w:tc>
          <w:tcPr>
            <w:tcW w:type="dxa" w:w="1728"/>
            <w:shd w:fill="F5F5FA" w:val="clear"/>
          </w:tcPr>
          <w:p>
            <w:r/>
            <w:r>
              <w:rPr>
                <w:rFonts w:ascii="Arial" w:hAnsi="Arial"/>
                <w:color w:val="111111"/>
                <w:sz w:val="18"/>
              </w:rPr>
              <w:t>384</w:t>
            </w:r>
          </w:p>
        </w:tc>
        <w:tc>
          <w:tcPr>
            <w:tcW w:type="dxa" w:w="1728"/>
            <w:shd w:fill="F5F5FA" w:val="clear"/>
          </w:tcPr>
          <w:p>
            <w:r/>
            <w:r>
              <w:rPr>
                <w:rFonts w:ascii="Arial" w:hAnsi="Arial"/>
                <w:color w:val="111111"/>
                <w:sz w:val="18"/>
              </w:rPr>
              <w:t>0</w:t>
            </w:r>
          </w:p>
        </w:tc>
        <w:tc>
          <w:tcPr>
            <w:tcW w:type="dxa" w:w="1512"/>
            <w:shd w:fill="F5F5FA" w:val="clear"/>
          </w:tcPr>
          <w:p>
            <w:r/>
            <w:r>
              <w:rPr>
                <w:rFonts w:ascii="Arial" w:hAnsi="Arial"/>
                <w:color w:val="111111"/>
                <w:sz w:val="18"/>
              </w:rPr>
              <w:t>COLD</w:t>
            </w:r>
          </w:p>
        </w:tc>
      </w:tr>
      <w:tr>
        <w:tc>
          <w:tcPr>
            <w:tcW w:type="dxa" w:w="2592"/>
          </w:tcPr>
          <w:p>
            <w:r/>
            <w:r>
              <w:rPr>
                <w:rFonts w:ascii="Arial" w:hAnsi="Arial"/>
                <w:color w:val="111111"/>
                <w:sz w:val="18"/>
              </w:rPr>
              <w:t>Plan B</w:t>
            </w:r>
          </w:p>
        </w:tc>
        <w:tc>
          <w:tcPr>
            <w:tcW w:type="dxa" w:w="1728"/>
          </w:tcPr>
          <w:p>
            <w:r/>
            <w:r>
              <w:rPr>
                <w:rFonts w:ascii="Arial" w:hAnsi="Arial"/>
                <w:color w:val="111111"/>
                <w:sz w:val="18"/>
              </w:rPr>
              <w:t>6.44M</w:t>
            </w:r>
          </w:p>
        </w:tc>
        <w:tc>
          <w:tcPr>
            <w:tcW w:type="dxa" w:w="1728"/>
          </w:tcPr>
          <w:p>
            <w:r/>
            <w:r>
              <w:rPr>
                <w:rFonts w:ascii="Arial" w:hAnsi="Arial"/>
                <w:color w:val="111111"/>
                <w:sz w:val="18"/>
              </w:rPr>
              <w:t>825</w:t>
            </w:r>
          </w:p>
        </w:tc>
        <w:tc>
          <w:tcPr>
            <w:tcW w:type="dxa" w:w="1728"/>
          </w:tcPr>
          <w:p>
            <w:r/>
            <w:r>
              <w:rPr>
                <w:rFonts w:ascii="Arial" w:hAnsi="Arial"/>
                <w:color w:val="111111"/>
                <w:sz w:val="18"/>
              </w:rPr>
              <w:t>0</w:t>
            </w:r>
          </w:p>
        </w:tc>
        <w:tc>
          <w:tcPr>
            <w:tcW w:type="dxa" w:w="1512"/>
          </w:tcPr>
          <w:p>
            <w:r/>
            <w:r>
              <w:rPr>
                <w:rFonts w:ascii="Arial" w:hAnsi="Arial"/>
                <w:color w:val="111111"/>
                <w:sz w:val="18"/>
              </w:rPr>
              <w:t>COLD</w:t>
            </w:r>
          </w:p>
        </w:tc>
      </w:tr>
      <w:tr>
        <w:tc>
          <w:tcPr>
            <w:tcW w:type="dxa" w:w="2592"/>
            <w:shd w:fill="F5F5FA" w:val="clear"/>
          </w:tcPr>
          <w:p>
            <w:r/>
            <w:r>
              <w:rPr>
                <w:rFonts w:ascii="Arial" w:hAnsi="Arial"/>
                <w:color w:val="111111"/>
                <w:sz w:val="18"/>
              </w:rPr>
              <w:t>Tom Odell</w:t>
            </w:r>
          </w:p>
        </w:tc>
        <w:tc>
          <w:tcPr>
            <w:tcW w:type="dxa" w:w="1728"/>
            <w:shd w:fill="F5F5FA" w:val="clear"/>
          </w:tcPr>
          <w:p>
            <w:r/>
            <w:r>
              <w:rPr>
                <w:rFonts w:ascii="Arial" w:hAnsi="Arial"/>
                <w:color w:val="111111"/>
                <w:sz w:val="18"/>
              </w:rPr>
              <w:t>2.68M</w:t>
            </w:r>
          </w:p>
        </w:tc>
        <w:tc>
          <w:tcPr>
            <w:tcW w:type="dxa" w:w="1728"/>
            <w:shd w:fill="F5F5FA" w:val="clear"/>
          </w:tcPr>
          <w:p>
            <w:r/>
            <w:r>
              <w:rPr>
                <w:rFonts w:ascii="Arial" w:hAnsi="Arial"/>
                <w:color w:val="111111"/>
                <w:sz w:val="18"/>
              </w:rPr>
              <w:t>136</w:t>
            </w:r>
          </w:p>
        </w:tc>
        <w:tc>
          <w:tcPr>
            <w:tcW w:type="dxa" w:w="1728"/>
            <w:shd w:fill="F5F5FA" w:val="clear"/>
          </w:tcPr>
          <w:p>
            <w:r/>
            <w:r>
              <w:rPr>
                <w:rFonts w:ascii="Arial" w:hAnsi="Arial"/>
                <w:color w:val="111111"/>
                <w:sz w:val="18"/>
              </w:rPr>
              <w:t>0</w:t>
            </w:r>
          </w:p>
        </w:tc>
        <w:tc>
          <w:tcPr>
            <w:tcW w:type="dxa" w:w="1512"/>
            <w:shd w:fill="F5F5FA" w:val="clear"/>
          </w:tcPr>
          <w:p>
            <w:r/>
            <w:r>
              <w:rPr>
                <w:rFonts w:ascii="Arial" w:hAnsi="Arial"/>
                <w:color w:val="111111"/>
                <w:sz w:val="18"/>
              </w:rPr>
              <w:t>COLD</w:t>
            </w:r>
          </w:p>
        </w:tc>
      </w:tr>
      <w:tr>
        <w:tc>
          <w:tcPr>
            <w:tcW w:type="dxa" w:w="2592"/>
          </w:tcPr>
          <w:p>
            <w:r/>
            <w:r>
              <w:rPr>
                <w:rFonts w:ascii="Arial" w:hAnsi="Arial"/>
                <w:color w:val="111111"/>
                <w:sz w:val="18"/>
              </w:rPr>
              <w:t>David Kushner</w:t>
            </w:r>
          </w:p>
        </w:tc>
        <w:tc>
          <w:tcPr>
            <w:tcW w:type="dxa" w:w="1728"/>
          </w:tcPr>
          <w:p>
            <w:r/>
            <w:r>
              <w:rPr>
                <w:rFonts w:ascii="Arial" w:hAnsi="Arial"/>
                <w:color w:val="111111"/>
                <w:sz w:val="18"/>
              </w:rPr>
              <w:t>2.1M</w:t>
            </w:r>
          </w:p>
        </w:tc>
        <w:tc>
          <w:tcPr>
            <w:tcW w:type="dxa" w:w="1728"/>
          </w:tcPr>
          <w:p>
            <w:r/>
            <w:r>
              <w:rPr>
                <w:rFonts w:ascii="Arial" w:hAnsi="Arial"/>
                <w:color w:val="111111"/>
                <w:sz w:val="18"/>
              </w:rPr>
              <w:t>315</w:t>
            </w:r>
          </w:p>
        </w:tc>
        <w:tc>
          <w:tcPr>
            <w:tcW w:type="dxa" w:w="1728"/>
          </w:tcPr>
          <w:p>
            <w:r/>
            <w:r>
              <w:rPr>
                <w:rFonts w:ascii="Arial" w:hAnsi="Arial"/>
                <w:color w:val="111111"/>
                <w:sz w:val="18"/>
              </w:rPr>
              <w:t>0</w:t>
            </w:r>
          </w:p>
        </w:tc>
        <w:tc>
          <w:tcPr>
            <w:tcW w:type="dxa" w:w="1512"/>
          </w:tcPr>
          <w:p>
            <w:r/>
            <w:r>
              <w:rPr>
                <w:rFonts w:ascii="Arial" w:hAnsi="Arial"/>
                <w:color w:val="111111"/>
                <w:sz w:val="18"/>
              </w:rPr>
              <w:t>COLD</w:t>
            </w:r>
          </w:p>
        </w:tc>
      </w:tr>
      <w:tr>
        <w:tc>
          <w:tcPr>
            <w:tcW w:type="dxa" w:w="2592"/>
            <w:shd w:fill="F5F5FA" w:val="clear"/>
          </w:tcPr>
          <w:p>
            <w:r/>
            <w:r>
              <w:rPr>
                <w:rFonts w:ascii="Arial" w:hAnsi="Arial"/>
                <w:color w:val="111111"/>
                <w:sz w:val="18"/>
              </w:rPr>
              <w:t>Rudimental</w:t>
            </w:r>
          </w:p>
        </w:tc>
        <w:tc>
          <w:tcPr>
            <w:tcW w:type="dxa" w:w="1728"/>
            <w:shd w:fill="F5F5FA" w:val="clear"/>
          </w:tcPr>
          <w:p>
            <w:r/>
            <w:r>
              <w:rPr>
                <w:rFonts w:ascii="Arial" w:hAnsi="Arial"/>
                <w:color w:val="111111"/>
                <w:sz w:val="18"/>
              </w:rPr>
              <w:t>1.7M</w:t>
            </w:r>
          </w:p>
        </w:tc>
        <w:tc>
          <w:tcPr>
            <w:tcW w:type="dxa" w:w="1728"/>
            <w:shd w:fill="F5F5FA" w:val="clear"/>
          </w:tcPr>
          <w:p>
            <w:r/>
            <w:r>
              <w:rPr>
                <w:rFonts w:ascii="Arial" w:hAnsi="Arial"/>
                <w:color w:val="111111"/>
                <w:sz w:val="18"/>
              </w:rPr>
              <w:t>231</w:t>
            </w:r>
          </w:p>
        </w:tc>
        <w:tc>
          <w:tcPr>
            <w:tcW w:type="dxa" w:w="1728"/>
            <w:shd w:fill="F5F5FA" w:val="clear"/>
          </w:tcPr>
          <w:p>
            <w:r/>
            <w:r>
              <w:rPr>
                <w:rFonts w:ascii="Arial" w:hAnsi="Arial"/>
                <w:color w:val="111111"/>
                <w:sz w:val="18"/>
              </w:rPr>
              <w:t>0</w:t>
            </w:r>
          </w:p>
        </w:tc>
        <w:tc>
          <w:tcPr>
            <w:tcW w:type="dxa" w:w="1512"/>
            <w:shd w:fill="F5F5FA" w:val="clear"/>
          </w:tcPr>
          <w:p>
            <w:r/>
            <w:r>
              <w:rPr>
                <w:rFonts w:ascii="Arial" w:hAnsi="Arial"/>
                <w:color w:val="111111"/>
                <w:sz w:val="18"/>
              </w:rPr>
              <w:t>COLD</w:t>
            </w:r>
          </w:p>
        </w:tc>
      </w:tr>
      <w:tr>
        <w:tc>
          <w:tcPr>
            <w:tcW w:type="dxa" w:w="2592"/>
          </w:tcPr>
          <w:p>
            <w:r/>
            <w:r>
              <w:rPr>
                <w:rFonts w:ascii="Arial" w:hAnsi="Arial"/>
                <w:color w:val="111111"/>
                <w:sz w:val="18"/>
              </w:rPr>
              <w:t>A Day To Remember</w:t>
            </w:r>
          </w:p>
        </w:tc>
        <w:tc>
          <w:tcPr>
            <w:tcW w:type="dxa" w:w="1728"/>
          </w:tcPr>
          <w:p>
            <w:r/>
            <w:r>
              <w:rPr>
                <w:rFonts w:ascii="Arial" w:hAnsi="Arial"/>
                <w:color w:val="111111"/>
                <w:sz w:val="18"/>
              </w:rPr>
              <w:t>1.08M</w:t>
            </w:r>
          </w:p>
        </w:tc>
        <w:tc>
          <w:tcPr>
            <w:tcW w:type="dxa" w:w="1728"/>
          </w:tcPr>
          <w:p>
            <w:r/>
            <w:r>
              <w:rPr>
                <w:rFonts w:ascii="Arial" w:hAnsi="Arial"/>
                <w:color w:val="111111"/>
                <w:sz w:val="18"/>
              </w:rPr>
              <w:t>57</w:t>
            </w:r>
          </w:p>
        </w:tc>
        <w:tc>
          <w:tcPr>
            <w:tcW w:type="dxa" w:w="1728"/>
          </w:tcPr>
          <w:p>
            <w:r/>
            <w:r>
              <w:rPr>
                <w:rFonts w:ascii="Arial" w:hAnsi="Arial"/>
                <w:color w:val="111111"/>
                <w:sz w:val="18"/>
              </w:rPr>
              <w:t>0</w:t>
            </w:r>
          </w:p>
        </w:tc>
        <w:tc>
          <w:tcPr>
            <w:tcW w:type="dxa" w:w="1512"/>
          </w:tcPr>
          <w:p>
            <w:r/>
            <w:r>
              <w:rPr>
                <w:rFonts w:ascii="Arial" w:hAnsi="Arial"/>
                <w:color w:val="111111"/>
                <w:sz w:val="18"/>
              </w:rPr>
              <w:t>COLD</w:t>
            </w:r>
          </w:p>
        </w:tc>
      </w:tr>
      <w:tr>
        <w:tc>
          <w:tcPr>
            <w:tcW w:type="dxa" w:w="2592"/>
            <w:shd w:fill="F5F5FA" w:val="clear"/>
          </w:tcPr>
          <w:p>
            <w:r/>
            <w:r>
              <w:rPr>
                <w:rFonts w:ascii="Arial" w:hAnsi="Arial"/>
                <w:color w:val="111111"/>
                <w:sz w:val="18"/>
              </w:rPr>
              <w:t>Bad Omens</w:t>
            </w:r>
          </w:p>
        </w:tc>
        <w:tc>
          <w:tcPr>
            <w:tcW w:type="dxa" w:w="1728"/>
            <w:shd w:fill="F5F5FA" w:val="clear"/>
          </w:tcPr>
          <w:p>
            <w:r/>
            <w:r>
              <w:rPr>
                <w:rFonts w:ascii="Arial" w:hAnsi="Arial"/>
                <w:color w:val="111111"/>
                <w:sz w:val="18"/>
              </w:rPr>
              <w:t>487K</w:t>
            </w:r>
          </w:p>
        </w:tc>
        <w:tc>
          <w:tcPr>
            <w:tcW w:type="dxa" w:w="1728"/>
            <w:shd w:fill="F5F5FA" w:val="clear"/>
          </w:tcPr>
          <w:p>
            <w:r/>
            <w:r>
              <w:rPr>
                <w:rFonts w:ascii="Arial" w:hAnsi="Arial"/>
                <w:color w:val="111111"/>
                <w:sz w:val="18"/>
              </w:rPr>
              <w:t>118</w:t>
            </w:r>
          </w:p>
        </w:tc>
        <w:tc>
          <w:tcPr>
            <w:tcW w:type="dxa" w:w="1728"/>
            <w:shd w:fill="F5F5FA" w:val="clear"/>
          </w:tcPr>
          <w:p>
            <w:r/>
            <w:r>
              <w:rPr>
                <w:rFonts w:ascii="Arial" w:hAnsi="Arial"/>
                <w:color w:val="111111"/>
                <w:sz w:val="18"/>
              </w:rPr>
              <w:t>3.54M</w:t>
            </w:r>
          </w:p>
        </w:tc>
        <w:tc>
          <w:tcPr>
            <w:tcW w:type="dxa" w:w="1512"/>
            <w:shd w:fill="F5F5FA" w:val="clear"/>
          </w:tcPr>
          <w:p>
            <w:r/>
            <w:r>
              <w:rPr>
                <w:rFonts w:ascii="Arial" w:hAnsi="Arial"/>
                <w:color w:val="111111"/>
                <w:sz w:val="18"/>
              </w:rPr>
              <w:t>COLD</w:t>
            </w:r>
          </w:p>
        </w:tc>
      </w:tr>
      <w:tr>
        <w:tc>
          <w:tcPr>
            <w:tcW w:type="dxa" w:w="2592"/>
          </w:tcPr>
          <w:p>
            <w:r/>
            <w:r>
              <w:rPr>
                <w:rFonts w:ascii="Arial" w:hAnsi="Arial"/>
                <w:color w:val="111111"/>
                <w:sz w:val="18"/>
              </w:rPr>
              <w:t>CHVRCHES</w:t>
            </w:r>
          </w:p>
        </w:tc>
        <w:tc>
          <w:tcPr>
            <w:tcW w:type="dxa" w:w="1728"/>
          </w:tcPr>
          <w:p>
            <w:r/>
            <w:r>
              <w:rPr>
                <w:rFonts w:ascii="Arial" w:hAnsi="Arial"/>
                <w:color w:val="111111"/>
                <w:sz w:val="18"/>
              </w:rPr>
              <w:t>548K</w:t>
            </w:r>
          </w:p>
        </w:tc>
        <w:tc>
          <w:tcPr>
            <w:tcW w:type="dxa" w:w="1728"/>
          </w:tcPr>
          <w:p>
            <w:r/>
            <w:r>
              <w:rPr>
                <w:rFonts w:ascii="Arial" w:hAnsi="Arial"/>
                <w:color w:val="111111"/>
                <w:sz w:val="18"/>
              </w:rPr>
              <w:t>271</w:t>
            </w:r>
          </w:p>
        </w:tc>
        <w:tc>
          <w:tcPr>
            <w:tcW w:type="dxa" w:w="1728"/>
          </w:tcPr>
          <w:p>
            <w:r/>
            <w:r>
              <w:rPr>
                <w:rFonts w:ascii="Arial" w:hAnsi="Arial"/>
                <w:color w:val="111111"/>
                <w:sz w:val="18"/>
              </w:rPr>
              <w:t>0</w:t>
            </w:r>
          </w:p>
        </w:tc>
        <w:tc>
          <w:tcPr>
            <w:tcW w:type="dxa" w:w="1512"/>
          </w:tcPr>
          <w:p>
            <w:r/>
            <w:r>
              <w:rPr>
                <w:rFonts w:ascii="Arial" w:hAnsi="Arial"/>
                <w:color w:val="111111"/>
                <w:sz w:val="18"/>
              </w:rPr>
              <w:t>COLD</w:t>
            </w:r>
          </w:p>
        </w:tc>
      </w:tr>
      <w:tr>
        <w:tc>
          <w:tcPr>
            <w:tcW w:type="dxa" w:w="2592"/>
            <w:shd w:fill="F5F5FA" w:val="clear"/>
          </w:tcPr>
          <w:p>
            <w:r/>
            <w:r>
              <w:rPr>
                <w:rFonts w:ascii="Arial" w:hAnsi="Arial"/>
                <w:color w:val="111111"/>
                <w:sz w:val="18"/>
              </w:rPr>
              <w:t>Declan McKenna</w:t>
            </w:r>
          </w:p>
        </w:tc>
        <w:tc>
          <w:tcPr>
            <w:tcW w:type="dxa" w:w="1728"/>
            <w:shd w:fill="F5F5FA" w:val="clear"/>
          </w:tcPr>
          <w:p>
            <w:r/>
            <w:r>
              <w:rPr>
                <w:rFonts w:ascii="Arial" w:hAnsi="Arial"/>
                <w:color w:val="111111"/>
                <w:sz w:val="18"/>
              </w:rPr>
              <w:t>433K</w:t>
            </w:r>
          </w:p>
        </w:tc>
        <w:tc>
          <w:tcPr>
            <w:tcW w:type="dxa" w:w="1728"/>
            <w:shd w:fill="F5F5FA" w:val="clear"/>
          </w:tcPr>
          <w:p>
            <w:r/>
            <w:r>
              <w:rPr>
                <w:rFonts w:ascii="Arial" w:hAnsi="Arial"/>
                <w:color w:val="111111"/>
                <w:sz w:val="18"/>
              </w:rPr>
              <w:t>36</w:t>
            </w:r>
          </w:p>
        </w:tc>
        <w:tc>
          <w:tcPr>
            <w:tcW w:type="dxa" w:w="1728"/>
            <w:shd w:fill="F5F5FA" w:val="clear"/>
          </w:tcPr>
          <w:p>
            <w:r/>
            <w:r>
              <w:rPr>
                <w:rFonts w:ascii="Arial" w:hAnsi="Arial"/>
                <w:color w:val="111111"/>
                <w:sz w:val="18"/>
              </w:rPr>
              <w:t>1.45M</w:t>
            </w:r>
          </w:p>
        </w:tc>
        <w:tc>
          <w:tcPr>
            <w:tcW w:type="dxa" w:w="1512"/>
            <w:shd w:fill="F5F5FA" w:val="clear"/>
          </w:tcPr>
          <w:p>
            <w:r/>
            <w:r>
              <w:rPr>
                <w:rFonts w:ascii="Arial" w:hAnsi="Arial"/>
                <w:color w:val="111111"/>
                <w:sz w:val="18"/>
              </w:rPr>
              <w:t>COLD</w:t>
            </w:r>
          </w:p>
        </w:tc>
      </w:tr>
      <w:tr>
        <w:tc>
          <w:tcPr>
            <w:tcW w:type="dxa" w:w="2592"/>
          </w:tcPr>
          <w:p>
            <w:r/>
            <w:r>
              <w:rPr>
                <w:rFonts w:ascii="Arial" w:hAnsi="Arial"/>
                <w:color w:val="111111"/>
                <w:sz w:val="18"/>
              </w:rPr>
              <w:t>liana flores</w:t>
            </w:r>
          </w:p>
        </w:tc>
        <w:tc>
          <w:tcPr>
            <w:tcW w:type="dxa" w:w="1728"/>
          </w:tcPr>
          <w:p>
            <w:r/>
            <w:r>
              <w:rPr>
                <w:rFonts w:ascii="Arial" w:hAnsi="Arial"/>
                <w:color w:val="111111"/>
                <w:sz w:val="18"/>
              </w:rPr>
              <w:t>417K</w:t>
            </w:r>
          </w:p>
        </w:tc>
        <w:tc>
          <w:tcPr>
            <w:tcW w:type="dxa" w:w="1728"/>
          </w:tcPr>
          <w:p>
            <w:r/>
            <w:r>
              <w:rPr>
                <w:rFonts w:ascii="Arial" w:hAnsi="Arial"/>
                <w:color w:val="111111"/>
                <w:sz w:val="18"/>
              </w:rPr>
              <w:t>333</w:t>
            </w:r>
          </w:p>
        </w:tc>
        <w:tc>
          <w:tcPr>
            <w:tcW w:type="dxa" w:w="1728"/>
          </w:tcPr>
          <w:p>
            <w:r/>
            <w:r>
              <w:rPr>
                <w:rFonts w:ascii="Arial" w:hAnsi="Arial"/>
                <w:color w:val="111111"/>
                <w:sz w:val="18"/>
              </w:rPr>
              <w:t>0</w:t>
            </w:r>
          </w:p>
        </w:tc>
        <w:tc>
          <w:tcPr>
            <w:tcW w:type="dxa" w:w="1512"/>
          </w:tcPr>
          <w:p>
            <w:r/>
            <w:r>
              <w:rPr>
                <w:rFonts w:ascii="Arial" w:hAnsi="Arial"/>
                <w:color w:val="111111"/>
                <w:sz w:val="18"/>
              </w:rPr>
              <w:t>COLD</w:t>
            </w:r>
          </w:p>
        </w:tc>
      </w:tr>
    </w:tbl>
    <w:p>
      <w:pPr>
        <w:spacing w:before="120" w:after="0"/>
      </w:pPr>
    </w:p>
    <w:p>
      <w:pPr>
        <w:spacing w:before="60" w:after="60"/>
      </w:pPr>
      <w:r>
        <w:rPr>
          <w:rFonts w:ascii="Arial" w:hAnsi="Arial"/>
          <w:b w:val="0"/>
          <w:i w:val="0"/>
          <w:sz w:val="21"/>
        </w:rPr>
        <w:t>These are not obscure channels. They represent millions of subscribers accumulated over years of activity. Yet in YouTube’s current algorithmic environment, subscriber count without upload activity has limited value for channel distribution. The system treats an inactive 6M-subscriber channel with the same signal weight as an inactive 2K-subscriber channel.</w:t>
      </w:r>
    </w:p>
    <w:p>
      <w:pPr>
        <w:spacing w:before="200" w:after="0"/>
      </w:pPr>
    </w:p>
    <w:p>
      <w:pPr>
        <w:pStyle w:val="Heading2"/>
      </w:pPr>
      <w:r>
        <w:t>Evidence: Format Strategy Divergence</w:t>
      </w:r>
    </w:p>
    <w:p>
      <w:pPr>
        <w:spacing w:before="60" w:after="60"/>
      </w:pPr>
      <w:r>
        <w:rPr>
          <w:rFonts w:ascii="Arial" w:hAnsi="Arial"/>
          <w:b w:val="0"/>
          <w:i w:val="0"/>
          <w:sz w:val="21"/>
        </w:rPr>
        <w:t>To test the “Shorts drive discovery, longform drives conversion” narrative, we can examine channels using different format strategies:</w:t>
      </w:r>
    </w:p>
    <w:p>
      <w:pPr>
        <w:pStyle w:val="Heading3"/>
      </w:pPr>
      <w:r>
        <w:t>Shorts-Only Channels (zero longform in 30 days)</w:t>
      </w:r>
    </w:p>
    <w:tbl>
      <w:tblPr>
        <w:tblW w:type="auto" w:w="0"/>
        <w:jc w:val="left"/>
        <w:tblLook w:firstColumn="1" w:firstRow="1" w:lastColumn="0" w:lastRow="0" w:noHBand="0" w:noVBand="1" w:val="04A0"/>
      </w:tblPr>
      <w:tblGrid>
        <w:gridCol w:w="1872"/>
        <w:gridCol w:w="1872"/>
        <w:gridCol w:w="1872"/>
        <w:gridCol w:w="1872"/>
        <w:gridCol w:w="1872"/>
      </w:tblGrid>
      <w:tr>
        <w:tc>
          <w:tcPr>
            <w:tcW w:type="dxa" w:w="2592"/>
            <w:shd w:fill="0F0F1A" w:val="clear"/>
          </w:tcPr>
          <w:p>
            <w:r/>
            <w:r>
              <w:rPr>
                <w:rFonts w:ascii="Arial" w:hAnsi="Arial"/>
                <w:b/>
                <w:color w:val="FFFFFF"/>
                <w:sz w:val="18"/>
              </w:rPr>
              <w:t>Channel</w:t>
            </w:r>
          </w:p>
        </w:tc>
        <w:tc>
          <w:tcPr>
            <w:tcW w:type="dxa" w:w="1152"/>
            <w:shd w:fill="0F0F1A" w:val="clear"/>
          </w:tcPr>
          <w:p>
            <w:r/>
            <w:r>
              <w:rPr>
                <w:rFonts w:ascii="Arial" w:hAnsi="Arial"/>
                <w:b/>
                <w:color w:val="FFFFFF"/>
                <w:sz w:val="18"/>
              </w:rPr>
              <w:t>Shorts</w:t>
            </w:r>
          </w:p>
        </w:tc>
        <w:tc>
          <w:tcPr>
            <w:tcW w:type="dxa" w:w="2016"/>
            <w:shd w:fill="0F0F1A" w:val="clear"/>
          </w:tcPr>
          <w:p>
            <w:r/>
            <w:r>
              <w:rPr>
                <w:rFonts w:ascii="Arial" w:hAnsi="Arial"/>
                <w:b/>
                <w:color w:val="FFFFFF"/>
                <w:sz w:val="18"/>
              </w:rPr>
              <w:t>Signal</w:t>
            </w:r>
          </w:p>
        </w:tc>
        <w:tc>
          <w:tcPr>
            <w:tcW w:type="dxa" w:w="1872"/>
            <w:shd w:fill="0F0F1A" w:val="clear"/>
          </w:tcPr>
          <w:p>
            <w:r/>
            <w:r>
              <w:rPr>
                <w:rFonts w:ascii="Arial" w:hAnsi="Arial"/>
                <w:b/>
                <w:color w:val="FFFFFF"/>
                <w:sz w:val="18"/>
              </w:rPr>
              <w:t>Subs/1kViews</w:t>
            </w:r>
          </w:p>
        </w:tc>
        <w:tc>
          <w:tcPr>
            <w:tcW w:type="dxa" w:w="1656"/>
            <w:shd w:fill="0F0F1A" w:val="clear"/>
          </w:tcPr>
          <w:p>
            <w:r/>
            <w:r>
              <w:rPr>
                <w:rFonts w:ascii="Arial" w:hAnsi="Arial"/>
                <w:b/>
                <w:color w:val="FFFFFF"/>
                <w:sz w:val="18"/>
              </w:rPr>
              <w:t>Views WoW</w:t>
            </w:r>
          </w:p>
        </w:tc>
      </w:tr>
      <w:tr>
        <w:tc>
          <w:tcPr>
            <w:tcW w:type="dxa" w:w="2592"/>
            <w:shd w:fill="F5F5FA" w:val="clear"/>
          </w:tcPr>
          <w:p>
            <w:r/>
            <w:r>
              <w:rPr>
                <w:rFonts w:ascii="Arial" w:hAnsi="Arial"/>
                <w:color w:val="111111"/>
                <w:sz w:val="18"/>
              </w:rPr>
              <w:t>Precious Pepala</w:t>
            </w:r>
          </w:p>
        </w:tc>
        <w:tc>
          <w:tcPr>
            <w:tcW w:type="dxa" w:w="1152"/>
            <w:shd w:fill="F5F5FA" w:val="clear"/>
          </w:tcPr>
          <w:p>
            <w:r/>
            <w:r>
              <w:rPr>
                <w:rFonts w:ascii="Arial" w:hAnsi="Arial"/>
                <w:color w:val="111111"/>
                <w:sz w:val="18"/>
              </w:rPr>
              <w:t>18</w:t>
            </w:r>
          </w:p>
        </w:tc>
        <w:tc>
          <w:tcPr>
            <w:tcW w:type="dxa" w:w="2016"/>
            <w:shd w:fill="F5F5FA" w:val="clear"/>
          </w:tcPr>
          <w:p>
            <w:r/>
            <w:r>
              <w:rPr>
                <w:rFonts w:ascii="Arial" w:hAnsi="Arial"/>
                <w:color w:val="111111"/>
                <w:sz w:val="18"/>
              </w:rPr>
              <w:t>GROWING</w:t>
            </w:r>
          </w:p>
        </w:tc>
        <w:tc>
          <w:tcPr>
            <w:tcW w:type="dxa" w:w="1872"/>
            <w:shd w:fill="F5F5FA" w:val="clear"/>
          </w:tcPr>
          <w:p>
            <w:r/>
            <w:r>
              <w:rPr>
                <w:rFonts w:ascii="Arial" w:hAnsi="Arial"/>
                <w:color w:val="111111"/>
                <w:sz w:val="18"/>
              </w:rPr>
              <w:t>3.7</w:t>
            </w:r>
          </w:p>
        </w:tc>
        <w:tc>
          <w:tcPr>
            <w:tcW w:type="dxa" w:w="1656"/>
            <w:shd w:fill="F5F5FA" w:val="clear"/>
          </w:tcPr>
          <w:p>
            <w:r/>
            <w:r>
              <w:rPr>
                <w:rFonts w:ascii="Arial" w:hAnsi="Arial"/>
                <w:color w:val="111111"/>
                <w:sz w:val="18"/>
              </w:rPr>
              <w:t>−42%</w:t>
            </w:r>
          </w:p>
        </w:tc>
      </w:tr>
      <w:tr>
        <w:tc>
          <w:tcPr>
            <w:tcW w:type="dxa" w:w="2592"/>
          </w:tcPr>
          <w:p>
            <w:r/>
            <w:r>
              <w:rPr>
                <w:rFonts w:ascii="Arial" w:hAnsi="Arial"/>
                <w:color w:val="111111"/>
                <w:sz w:val="18"/>
              </w:rPr>
              <w:t>Nickelback</w:t>
            </w:r>
          </w:p>
        </w:tc>
        <w:tc>
          <w:tcPr>
            <w:tcW w:type="dxa" w:w="1152"/>
          </w:tcPr>
          <w:p>
            <w:r/>
            <w:r>
              <w:rPr>
                <w:rFonts w:ascii="Arial" w:hAnsi="Arial"/>
                <w:color w:val="111111"/>
                <w:sz w:val="18"/>
              </w:rPr>
              <w:t>13</w:t>
            </w:r>
          </w:p>
        </w:tc>
        <w:tc>
          <w:tcPr>
            <w:tcW w:type="dxa" w:w="2016"/>
          </w:tcPr>
          <w:p>
            <w:r/>
            <w:r>
              <w:rPr>
                <w:rFonts w:ascii="Arial" w:hAnsi="Arial"/>
                <w:color w:val="111111"/>
                <w:sz w:val="18"/>
              </w:rPr>
              <w:t>WEAK_CONV</w:t>
            </w:r>
          </w:p>
        </w:tc>
        <w:tc>
          <w:tcPr>
            <w:tcW w:type="dxa" w:w="1872"/>
          </w:tcPr>
          <w:p>
            <w:r/>
            <w:r>
              <w:rPr>
                <w:rFonts w:ascii="Arial" w:hAnsi="Arial"/>
                <w:color w:val="111111"/>
                <w:sz w:val="18"/>
              </w:rPr>
              <w:t>0</w:t>
            </w:r>
          </w:p>
        </w:tc>
        <w:tc>
          <w:tcPr>
            <w:tcW w:type="dxa" w:w="1656"/>
          </w:tcPr>
          <w:p>
            <w:r/>
            <w:r>
              <w:rPr>
                <w:rFonts w:ascii="Arial" w:hAnsi="Arial"/>
                <w:color w:val="111111"/>
                <w:sz w:val="18"/>
              </w:rPr>
              <w:t>−48%</w:t>
            </w:r>
          </w:p>
        </w:tc>
      </w:tr>
      <w:tr>
        <w:tc>
          <w:tcPr>
            <w:tcW w:type="dxa" w:w="2592"/>
            <w:shd w:fill="F5F5FA" w:val="clear"/>
          </w:tcPr>
          <w:p>
            <w:r/>
            <w:r>
              <w:rPr>
                <w:rFonts w:ascii="Arial" w:hAnsi="Arial"/>
                <w:color w:val="111111"/>
                <w:sz w:val="18"/>
              </w:rPr>
              <w:t>larissa lambert</w:t>
            </w:r>
          </w:p>
        </w:tc>
        <w:tc>
          <w:tcPr>
            <w:tcW w:type="dxa" w:w="1152"/>
            <w:shd w:fill="F5F5FA" w:val="clear"/>
          </w:tcPr>
          <w:p>
            <w:r/>
            <w:r>
              <w:rPr>
                <w:rFonts w:ascii="Arial" w:hAnsi="Arial"/>
                <w:color w:val="111111"/>
                <w:sz w:val="18"/>
              </w:rPr>
              <w:t>11</w:t>
            </w:r>
          </w:p>
        </w:tc>
        <w:tc>
          <w:tcPr>
            <w:tcW w:type="dxa" w:w="2016"/>
            <w:shd w:fill="F5F5FA" w:val="clear"/>
          </w:tcPr>
          <w:p>
            <w:r/>
            <w:r>
              <w:rPr>
                <w:rFonts w:ascii="Arial" w:hAnsi="Arial"/>
                <w:color w:val="111111"/>
                <w:sz w:val="18"/>
              </w:rPr>
              <w:t>WEAK_CONV</w:t>
            </w:r>
          </w:p>
        </w:tc>
        <w:tc>
          <w:tcPr>
            <w:tcW w:type="dxa" w:w="1872"/>
            <w:shd w:fill="F5F5FA" w:val="clear"/>
          </w:tcPr>
          <w:p>
            <w:r/>
            <w:r>
              <w:rPr>
                <w:rFonts w:ascii="Arial" w:hAnsi="Arial"/>
                <w:color w:val="111111"/>
                <w:sz w:val="18"/>
              </w:rPr>
              <w:t>0</w:t>
            </w:r>
          </w:p>
        </w:tc>
        <w:tc>
          <w:tcPr>
            <w:tcW w:type="dxa" w:w="1656"/>
            <w:shd w:fill="F5F5FA" w:val="clear"/>
          </w:tcPr>
          <w:p>
            <w:r/>
            <w:r>
              <w:rPr>
                <w:rFonts w:ascii="Arial" w:hAnsi="Arial"/>
                <w:color w:val="111111"/>
                <w:sz w:val="18"/>
              </w:rPr>
              <w:t>−76%</w:t>
            </w:r>
          </w:p>
        </w:tc>
      </w:tr>
      <w:tr>
        <w:tc>
          <w:tcPr>
            <w:tcW w:type="dxa" w:w="2592"/>
          </w:tcPr>
          <w:p>
            <w:r/>
            <w:r>
              <w:rPr>
                <w:rFonts w:ascii="Arial" w:hAnsi="Arial"/>
                <w:color w:val="111111"/>
                <w:sz w:val="18"/>
              </w:rPr>
              <w:t>Arkayla</w:t>
            </w:r>
          </w:p>
        </w:tc>
        <w:tc>
          <w:tcPr>
            <w:tcW w:type="dxa" w:w="1152"/>
          </w:tcPr>
          <w:p>
            <w:r/>
            <w:r>
              <w:rPr>
                <w:rFonts w:ascii="Arial" w:hAnsi="Arial"/>
                <w:color w:val="111111"/>
                <w:sz w:val="18"/>
              </w:rPr>
              <w:t>4</w:t>
            </w:r>
          </w:p>
        </w:tc>
        <w:tc>
          <w:tcPr>
            <w:tcW w:type="dxa" w:w="2016"/>
          </w:tcPr>
          <w:p>
            <w:r/>
            <w:r>
              <w:rPr>
                <w:rFonts w:ascii="Arial" w:hAnsi="Arial"/>
                <w:color w:val="111111"/>
                <w:sz w:val="18"/>
              </w:rPr>
              <w:t>GROWING</w:t>
            </w:r>
          </w:p>
        </w:tc>
        <w:tc>
          <w:tcPr>
            <w:tcW w:type="dxa" w:w="1872"/>
          </w:tcPr>
          <w:p>
            <w:r/>
            <w:r>
              <w:rPr>
                <w:rFonts w:ascii="Arial" w:hAnsi="Arial"/>
                <w:color w:val="111111"/>
                <w:sz w:val="18"/>
              </w:rPr>
              <w:t>0.3</w:t>
            </w:r>
          </w:p>
        </w:tc>
        <w:tc>
          <w:tcPr>
            <w:tcW w:type="dxa" w:w="1656"/>
          </w:tcPr>
          <w:p>
            <w:r/>
            <w:r>
              <w:rPr>
                <w:rFonts w:ascii="Arial" w:hAnsi="Arial"/>
                <w:color w:val="111111"/>
                <w:sz w:val="18"/>
              </w:rPr>
              <w:t>+31%</w:t>
            </w:r>
          </w:p>
        </w:tc>
      </w:tr>
    </w:tbl>
    <w:p>
      <w:pPr>
        <w:spacing w:before="120" w:after="0"/>
      </w:pPr>
    </w:p>
    <w:p>
      <w:pPr>
        <w:pStyle w:val="Heading3"/>
      </w:pPr>
      <w:r>
        <w:t>Longform-Only Channels (zero Shorts in 30 days)</w:t>
      </w:r>
    </w:p>
    <w:tbl>
      <w:tblPr>
        <w:tblW w:type="auto" w:w="0"/>
        <w:jc w:val="left"/>
        <w:tblLook w:firstColumn="1" w:firstRow="1" w:lastColumn="0" w:lastRow="0" w:noHBand="0" w:noVBand="1" w:val="04A0"/>
      </w:tblPr>
      <w:tblGrid>
        <w:gridCol w:w="1872"/>
        <w:gridCol w:w="1872"/>
        <w:gridCol w:w="1872"/>
        <w:gridCol w:w="1872"/>
        <w:gridCol w:w="1872"/>
      </w:tblGrid>
      <w:tr>
        <w:tc>
          <w:tcPr>
            <w:tcW w:type="dxa" w:w="2592"/>
            <w:shd w:fill="0F0F1A" w:val="clear"/>
          </w:tcPr>
          <w:p>
            <w:r/>
            <w:r>
              <w:rPr>
                <w:rFonts w:ascii="Arial" w:hAnsi="Arial"/>
                <w:b/>
                <w:color w:val="FFFFFF"/>
                <w:sz w:val="18"/>
              </w:rPr>
              <w:t>Channel</w:t>
            </w:r>
          </w:p>
        </w:tc>
        <w:tc>
          <w:tcPr>
            <w:tcW w:type="dxa" w:w="1440"/>
            <w:shd w:fill="0F0F1A" w:val="clear"/>
          </w:tcPr>
          <w:p>
            <w:r/>
            <w:r>
              <w:rPr>
                <w:rFonts w:ascii="Arial" w:hAnsi="Arial"/>
                <w:b/>
                <w:color w:val="FFFFFF"/>
                <w:sz w:val="18"/>
              </w:rPr>
              <w:t>Longform</w:t>
            </w:r>
          </w:p>
        </w:tc>
        <w:tc>
          <w:tcPr>
            <w:tcW w:type="dxa" w:w="2016"/>
            <w:shd w:fill="0F0F1A" w:val="clear"/>
          </w:tcPr>
          <w:p>
            <w:r/>
            <w:r>
              <w:rPr>
                <w:rFonts w:ascii="Arial" w:hAnsi="Arial"/>
                <w:b/>
                <w:color w:val="FFFFFF"/>
                <w:sz w:val="18"/>
              </w:rPr>
              <w:t>Signal</w:t>
            </w:r>
          </w:p>
        </w:tc>
        <w:tc>
          <w:tcPr>
            <w:tcW w:type="dxa" w:w="1872"/>
            <w:shd w:fill="0F0F1A" w:val="clear"/>
          </w:tcPr>
          <w:p>
            <w:r/>
            <w:r>
              <w:rPr>
                <w:rFonts w:ascii="Arial" w:hAnsi="Arial"/>
                <w:b/>
                <w:color w:val="FFFFFF"/>
                <w:sz w:val="18"/>
              </w:rPr>
              <w:t>Subs/1kViews</w:t>
            </w:r>
          </w:p>
        </w:tc>
        <w:tc>
          <w:tcPr>
            <w:tcW w:type="dxa" w:w="1368"/>
            <w:shd w:fill="0F0F1A" w:val="clear"/>
          </w:tcPr>
          <w:p>
            <w:r/>
            <w:r>
              <w:rPr>
                <w:rFonts w:ascii="Arial" w:hAnsi="Arial"/>
                <w:b/>
                <w:color w:val="FFFFFF"/>
                <w:sz w:val="18"/>
              </w:rPr>
              <w:t>Views WoW</w:t>
            </w:r>
          </w:p>
        </w:tc>
      </w:tr>
      <w:tr>
        <w:tc>
          <w:tcPr>
            <w:tcW w:type="dxa" w:w="2592"/>
            <w:shd w:fill="F5F5FA" w:val="clear"/>
          </w:tcPr>
          <w:p>
            <w:r/>
            <w:r>
              <w:rPr>
                <w:rFonts w:ascii="Arial" w:hAnsi="Arial"/>
                <w:color w:val="111111"/>
                <w:sz w:val="18"/>
              </w:rPr>
              <w:t>RUEL</w:t>
            </w:r>
          </w:p>
        </w:tc>
        <w:tc>
          <w:tcPr>
            <w:tcW w:type="dxa" w:w="1440"/>
            <w:shd w:fill="F5F5FA" w:val="clear"/>
          </w:tcPr>
          <w:p>
            <w:r/>
            <w:r>
              <w:rPr>
                <w:rFonts w:ascii="Arial" w:hAnsi="Arial"/>
                <w:color w:val="111111"/>
                <w:sz w:val="18"/>
              </w:rPr>
              <w:t>11</w:t>
            </w:r>
          </w:p>
        </w:tc>
        <w:tc>
          <w:tcPr>
            <w:tcW w:type="dxa" w:w="2016"/>
            <w:shd w:fill="F5F5FA" w:val="clear"/>
          </w:tcPr>
          <w:p>
            <w:r/>
            <w:r>
              <w:rPr>
                <w:rFonts w:ascii="Arial" w:hAnsi="Arial"/>
                <w:color w:val="111111"/>
                <w:sz w:val="18"/>
              </w:rPr>
              <w:t>GROWING</w:t>
            </w:r>
          </w:p>
        </w:tc>
        <w:tc>
          <w:tcPr>
            <w:tcW w:type="dxa" w:w="1872"/>
            <w:shd w:fill="F5F5FA" w:val="clear"/>
          </w:tcPr>
          <w:p>
            <w:r/>
            <w:r>
              <w:rPr>
                <w:rFonts w:ascii="Arial" w:hAnsi="Arial"/>
                <w:color w:val="111111"/>
                <w:sz w:val="18"/>
              </w:rPr>
              <w:t>0</w:t>
            </w:r>
          </w:p>
        </w:tc>
        <w:tc>
          <w:tcPr>
            <w:tcW w:type="dxa" w:w="1368"/>
            <w:shd w:fill="F5F5FA" w:val="clear"/>
          </w:tcPr>
          <w:p>
            <w:r/>
            <w:r>
              <w:rPr>
                <w:rFonts w:ascii="Arial" w:hAnsi="Arial"/>
                <w:color w:val="111111"/>
                <w:sz w:val="18"/>
              </w:rPr>
              <w:t>N/A</w:t>
            </w:r>
          </w:p>
        </w:tc>
      </w:tr>
      <w:tr>
        <w:tc>
          <w:tcPr>
            <w:tcW w:type="dxa" w:w="2592"/>
          </w:tcPr>
          <w:p>
            <w:r/>
            <w:r>
              <w:rPr>
                <w:rFonts w:ascii="Arial" w:hAnsi="Arial"/>
                <w:color w:val="111111"/>
                <w:sz w:val="18"/>
              </w:rPr>
              <w:t>Eric Prydz</w:t>
            </w:r>
          </w:p>
        </w:tc>
        <w:tc>
          <w:tcPr>
            <w:tcW w:type="dxa" w:w="1440"/>
          </w:tcPr>
          <w:p>
            <w:r/>
            <w:r>
              <w:rPr>
                <w:rFonts w:ascii="Arial" w:hAnsi="Arial"/>
                <w:color w:val="111111"/>
                <w:sz w:val="18"/>
              </w:rPr>
              <w:t>2</w:t>
            </w:r>
          </w:p>
        </w:tc>
        <w:tc>
          <w:tcPr>
            <w:tcW w:type="dxa" w:w="2016"/>
          </w:tcPr>
          <w:p>
            <w:r/>
            <w:r>
              <w:rPr>
                <w:rFonts w:ascii="Arial" w:hAnsi="Arial"/>
                <w:color w:val="111111"/>
                <w:sz w:val="18"/>
              </w:rPr>
              <w:t>UNDERFED</w:t>
            </w:r>
          </w:p>
        </w:tc>
        <w:tc>
          <w:tcPr>
            <w:tcW w:type="dxa" w:w="1872"/>
          </w:tcPr>
          <w:p>
            <w:r/>
            <w:r>
              <w:rPr>
                <w:rFonts w:ascii="Arial" w:hAnsi="Arial"/>
                <w:color w:val="111111"/>
                <w:sz w:val="18"/>
              </w:rPr>
              <w:t>0</w:t>
            </w:r>
          </w:p>
        </w:tc>
        <w:tc>
          <w:tcPr>
            <w:tcW w:type="dxa" w:w="1368"/>
          </w:tcPr>
          <w:p>
            <w:r/>
            <w:r>
              <w:rPr>
                <w:rFonts w:ascii="Arial" w:hAnsi="Arial"/>
                <w:color w:val="111111"/>
                <w:sz w:val="18"/>
              </w:rPr>
              <w:t>N/A</w:t>
            </w:r>
          </w:p>
        </w:tc>
      </w:tr>
      <w:tr>
        <w:tc>
          <w:tcPr>
            <w:tcW w:type="dxa" w:w="2592"/>
            <w:shd w:fill="F5F5FA" w:val="clear"/>
          </w:tcPr>
          <w:p>
            <w:r/>
            <w:r>
              <w:rPr>
                <w:rFonts w:ascii="Arial" w:hAnsi="Arial"/>
                <w:color w:val="111111"/>
                <w:sz w:val="18"/>
              </w:rPr>
              <w:t>C.O.F.F.I.N</w:t>
            </w:r>
          </w:p>
        </w:tc>
        <w:tc>
          <w:tcPr>
            <w:tcW w:type="dxa" w:w="1440"/>
            <w:shd w:fill="F5F5FA" w:val="clear"/>
          </w:tcPr>
          <w:p>
            <w:r/>
            <w:r>
              <w:rPr>
                <w:rFonts w:ascii="Arial" w:hAnsi="Arial"/>
                <w:color w:val="111111"/>
                <w:sz w:val="18"/>
              </w:rPr>
              <w:t>1</w:t>
            </w:r>
          </w:p>
        </w:tc>
        <w:tc>
          <w:tcPr>
            <w:tcW w:type="dxa" w:w="2016"/>
            <w:shd w:fill="F5F5FA" w:val="clear"/>
          </w:tcPr>
          <w:p>
            <w:r/>
            <w:r>
              <w:rPr>
                <w:rFonts w:ascii="Arial" w:hAnsi="Arial"/>
                <w:color w:val="111111"/>
                <w:sz w:val="18"/>
              </w:rPr>
              <w:t>UNDERFED</w:t>
            </w:r>
          </w:p>
        </w:tc>
        <w:tc>
          <w:tcPr>
            <w:tcW w:type="dxa" w:w="1872"/>
            <w:shd w:fill="F5F5FA" w:val="clear"/>
          </w:tcPr>
          <w:p>
            <w:r/>
            <w:r>
              <w:rPr>
                <w:rFonts w:ascii="Arial" w:hAnsi="Arial"/>
                <w:color w:val="111111"/>
                <w:sz w:val="18"/>
              </w:rPr>
              <w:t>0.9</w:t>
            </w:r>
          </w:p>
        </w:tc>
        <w:tc>
          <w:tcPr>
            <w:tcW w:type="dxa" w:w="1368"/>
            <w:shd w:fill="F5F5FA" w:val="clear"/>
          </w:tcPr>
          <w:p>
            <w:r/>
            <w:r>
              <w:rPr>
                <w:rFonts w:ascii="Arial" w:hAnsi="Arial"/>
                <w:color w:val="111111"/>
                <w:sz w:val="18"/>
              </w:rPr>
              <w:t>N/A</w:t>
            </w:r>
          </w:p>
        </w:tc>
      </w:tr>
    </w:tbl>
    <w:p>
      <w:pPr>
        <w:spacing w:before="120" w:after="0"/>
      </w:pPr>
    </w:p>
    <w:p>
      <w:pPr>
        <w:pStyle w:val="Heading3"/>
      </w:pPr>
      <w:r>
        <w:t>Multiformat Channels (both Shorts and longform)</w:t>
      </w:r>
    </w:p>
    <w:tbl>
      <w:tblPr>
        <w:tblW w:type="auto" w:w="0"/>
        <w:jc w:val="left"/>
        <w:tblLook w:firstColumn="1" w:firstRow="1" w:lastColumn="0" w:lastRow="0" w:noHBand="0" w:noVBand="1" w:val="04A0"/>
      </w:tblPr>
      <w:tblGrid>
        <w:gridCol w:w="1872"/>
        <w:gridCol w:w="1872"/>
        <w:gridCol w:w="1872"/>
        <w:gridCol w:w="1872"/>
        <w:gridCol w:w="1872"/>
      </w:tblGrid>
      <w:tr>
        <w:tc>
          <w:tcPr>
            <w:tcW w:type="dxa" w:w="2592"/>
            <w:shd w:fill="0F0F1A" w:val="clear"/>
          </w:tcPr>
          <w:p>
            <w:r/>
            <w:r>
              <w:rPr>
                <w:rFonts w:ascii="Arial" w:hAnsi="Arial"/>
                <w:b/>
                <w:color w:val="FFFFFF"/>
                <w:sz w:val="18"/>
              </w:rPr>
              <w:t>Channel</w:t>
            </w:r>
          </w:p>
        </w:tc>
        <w:tc>
          <w:tcPr>
            <w:tcW w:type="dxa" w:w="1440"/>
            <w:shd w:fill="0F0F1A" w:val="clear"/>
          </w:tcPr>
          <w:p>
            <w:r/>
            <w:r>
              <w:rPr>
                <w:rFonts w:ascii="Arial" w:hAnsi="Arial"/>
                <w:b/>
                <w:color w:val="FFFFFF"/>
                <w:sz w:val="18"/>
              </w:rPr>
              <w:t>Shorts:Long</w:t>
            </w:r>
          </w:p>
        </w:tc>
        <w:tc>
          <w:tcPr>
            <w:tcW w:type="dxa" w:w="2016"/>
            <w:shd w:fill="0F0F1A" w:val="clear"/>
          </w:tcPr>
          <w:p>
            <w:r/>
            <w:r>
              <w:rPr>
                <w:rFonts w:ascii="Arial" w:hAnsi="Arial"/>
                <w:b/>
                <w:color w:val="FFFFFF"/>
                <w:sz w:val="18"/>
              </w:rPr>
              <w:t>Signal</w:t>
            </w:r>
          </w:p>
        </w:tc>
        <w:tc>
          <w:tcPr>
            <w:tcW w:type="dxa" w:w="1872"/>
            <w:shd w:fill="0F0F1A" w:val="clear"/>
          </w:tcPr>
          <w:p>
            <w:r/>
            <w:r>
              <w:rPr>
                <w:rFonts w:ascii="Arial" w:hAnsi="Arial"/>
                <w:b/>
                <w:color w:val="FFFFFF"/>
                <w:sz w:val="18"/>
              </w:rPr>
              <w:t>Subs/1kViews</w:t>
            </w:r>
          </w:p>
        </w:tc>
        <w:tc>
          <w:tcPr>
            <w:tcW w:type="dxa" w:w="1368"/>
            <w:shd w:fill="0F0F1A" w:val="clear"/>
          </w:tcPr>
          <w:p>
            <w:r/>
            <w:r>
              <w:rPr>
                <w:rFonts w:ascii="Arial" w:hAnsi="Arial"/>
                <w:b/>
                <w:color w:val="FFFFFF"/>
                <w:sz w:val="18"/>
              </w:rPr>
              <w:t>Views WoW</w:t>
            </w:r>
          </w:p>
        </w:tc>
      </w:tr>
      <w:tr>
        <w:tc>
          <w:tcPr>
            <w:tcW w:type="dxa" w:w="2592"/>
            <w:shd w:fill="F5F5FA" w:val="clear"/>
          </w:tcPr>
          <w:p>
            <w:r/>
            <w:r>
              <w:rPr>
                <w:rFonts w:ascii="Arial" w:hAnsi="Arial"/>
                <w:color w:val="111111"/>
                <w:sz w:val="18"/>
              </w:rPr>
              <w:t>BANGTANTV</w:t>
            </w:r>
          </w:p>
        </w:tc>
        <w:tc>
          <w:tcPr>
            <w:tcW w:type="dxa" w:w="1440"/>
            <w:shd w:fill="F5F5FA" w:val="clear"/>
          </w:tcPr>
          <w:p>
            <w:r/>
            <w:r>
              <w:rPr>
                <w:rFonts w:ascii="Arial" w:hAnsi="Arial"/>
                <w:color w:val="111111"/>
                <w:sz w:val="18"/>
              </w:rPr>
              <w:t>11:16</w:t>
            </w:r>
          </w:p>
        </w:tc>
        <w:tc>
          <w:tcPr>
            <w:tcW w:type="dxa" w:w="2016"/>
            <w:shd w:fill="F5F5FA" w:val="clear"/>
          </w:tcPr>
          <w:p>
            <w:r/>
            <w:r>
              <w:rPr>
                <w:rFonts w:ascii="Arial" w:hAnsi="Arial"/>
                <w:color w:val="111111"/>
                <w:sz w:val="18"/>
              </w:rPr>
              <w:t>GROWING</w:t>
            </w:r>
          </w:p>
        </w:tc>
        <w:tc>
          <w:tcPr>
            <w:tcW w:type="dxa" w:w="1872"/>
            <w:shd w:fill="F5F5FA" w:val="clear"/>
          </w:tcPr>
          <w:p>
            <w:r/>
            <w:r>
              <w:rPr>
                <w:rFonts w:ascii="Arial" w:hAnsi="Arial"/>
                <w:color w:val="111111"/>
                <w:sz w:val="18"/>
              </w:rPr>
              <w:t>3.5</w:t>
            </w:r>
          </w:p>
        </w:tc>
        <w:tc>
          <w:tcPr>
            <w:tcW w:type="dxa" w:w="1368"/>
            <w:shd w:fill="F5F5FA" w:val="clear"/>
          </w:tcPr>
          <w:p>
            <w:r/>
            <w:r>
              <w:rPr>
                <w:rFonts w:ascii="Arial" w:hAnsi="Arial"/>
                <w:color w:val="111111"/>
                <w:sz w:val="18"/>
              </w:rPr>
              <w:t>−74%</w:t>
            </w:r>
          </w:p>
        </w:tc>
      </w:tr>
      <w:tr>
        <w:tc>
          <w:tcPr>
            <w:tcW w:type="dxa" w:w="2592"/>
          </w:tcPr>
          <w:p>
            <w:r/>
            <w:r>
              <w:rPr>
                <w:rFonts w:ascii="Arial" w:hAnsi="Arial"/>
                <w:color w:val="111111"/>
                <w:sz w:val="18"/>
              </w:rPr>
              <w:t>Lukas Graham</w:t>
            </w:r>
          </w:p>
        </w:tc>
        <w:tc>
          <w:tcPr>
            <w:tcW w:type="dxa" w:w="1440"/>
          </w:tcPr>
          <w:p>
            <w:r/>
            <w:r>
              <w:rPr>
                <w:rFonts w:ascii="Arial" w:hAnsi="Arial"/>
                <w:color w:val="111111"/>
                <w:sz w:val="18"/>
              </w:rPr>
              <w:t>4:7</w:t>
            </w:r>
          </w:p>
        </w:tc>
        <w:tc>
          <w:tcPr>
            <w:tcW w:type="dxa" w:w="2016"/>
          </w:tcPr>
          <w:p>
            <w:r/>
            <w:r>
              <w:rPr>
                <w:rFonts w:ascii="Arial" w:hAnsi="Arial"/>
                <w:color w:val="111111"/>
                <w:sz w:val="18"/>
              </w:rPr>
              <w:t>GROWING</w:t>
            </w:r>
          </w:p>
        </w:tc>
        <w:tc>
          <w:tcPr>
            <w:tcW w:type="dxa" w:w="1872"/>
          </w:tcPr>
          <w:p>
            <w:r/>
            <w:r>
              <w:rPr>
                <w:rFonts w:ascii="Arial" w:hAnsi="Arial"/>
                <w:color w:val="111111"/>
                <w:sz w:val="18"/>
              </w:rPr>
              <w:t>2.0</w:t>
            </w:r>
          </w:p>
        </w:tc>
        <w:tc>
          <w:tcPr>
            <w:tcW w:type="dxa" w:w="1368"/>
          </w:tcPr>
          <w:p>
            <w:r/>
            <w:r>
              <w:rPr>
                <w:rFonts w:ascii="Arial" w:hAnsi="Arial"/>
                <w:color w:val="111111"/>
                <w:sz w:val="18"/>
              </w:rPr>
              <w:t>+6%</w:t>
            </w:r>
          </w:p>
        </w:tc>
      </w:tr>
      <w:tr>
        <w:tc>
          <w:tcPr>
            <w:tcW w:type="dxa" w:w="2592"/>
            <w:shd w:fill="F5F5FA" w:val="clear"/>
          </w:tcPr>
          <w:p>
            <w:r/>
            <w:r>
              <w:rPr>
                <w:rFonts w:ascii="Arial" w:hAnsi="Arial"/>
                <w:color w:val="111111"/>
                <w:sz w:val="18"/>
              </w:rPr>
              <w:t>mary in the junkyard</w:t>
            </w:r>
          </w:p>
        </w:tc>
        <w:tc>
          <w:tcPr>
            <w:tcW w:type="dxa" w:w="1440"/>
            <w:shd w:fill="F5F5FA" w:val="clear"/>
          </w:tcPr>
          <w:p>
            <w:r/>
            <w:r>
              <w:rPr>
                <w:rFonts w:ascii="Arial" w:hAnsi="Arial"/>
                <w:color w:val="111111"/>
                <w:sz w:val="18"/>
              </w:rPr>
              <w:t>7:3</w:t>
            </w:r>
          </w:p>
        </w:tc>
        <w:tc>
          <w:tcPr>
            <w:tcW w:type="dxa" w:w="2016"/>
            <w:shd w:fill="F5F5FA" w:val="clear"/>
          </w:tcPr>
          <w:p>
            <w:r/>
            <w:r>
              <w:rPr>
                <w:rFonts w:ascii="Arial" w:hAnsi="Arial"/>
                <w:color w:val="111111"/>
                <w:sz w:val="18"/>
              </w:rPr>
              <w:t>GROWING</w:t>
            </w:r>
          </w:p>
        </w:tc>
        <w:tc>
          <w:tcPr>
            <w:tcW w:type="dxa" w:w="1872"/>
            <w:shd w:fill="F5F5FA" w:val="clear"/>
          </w:tcPr>
          <w:p>
            <w:r/>
            <w:r>
              <w:rPr>
                <w:rFonts w:ascii="Arial" w:hAnsi="Arial"/>
                <w:color w:val="111111"/>
                <w:sz w:val="18"/>
              </w:rPr>
              <w:t>3.6</w:t>
            </w:r>
          </w:p>
        </w:tc>
        <w:tc>
          <w:tcPr>
            <w:tcW w:type="dxa" w:w="1368"/>
            <w:shd w:fill="F5F5FA" w:val="clear"/>
          </w:tcPr>
          <w:p>
            <w:r/>
            <w:r>
              <w:rPr>
                <w:rFonts w:ascii="Arial" w:hAnsi="Arial"/>
                <w:color w:val="111111"/>
                <w:sz w:val="18"/>
              </w:rPr>
              <w:t>+163%</w:t>
            </w:r>
          </w:p>
        </w:tc>
      </w:tr>
      <w:tr>
        <w:tc>
          <w:tcPr>
            <w:tcW w:type="dxa" w:w="2592"/>
          </w:tcPr>
          <w:p>
            <w:r/>
            <w:r>
              <w:rPr>
                <w:rFonts w:ascii="Arial" w:hAnsi="Arial"/>
                <w:color w:val="111111"/>
                <w:sz w:val="18"/>
              </w:rPr>
              <w:t>Jutes</w:t>
            </w:r>
          </w:p>
        </w:tc>
        <w:tc>
          <w:tcPr>
            <w:tcW w:type="dxa" w:w="1440"/>
          </w:tcPr>
          <w:p>
            <w:r/>
            <w:r>
              <w:rPr>
                <w:rFonts w:ascii="Arial" w:hAnsi="Arial"/>
                <w:color w:val="111111"/>
                <w:sz w:val="18"/>
              </w:rPr>
              <w:t>8:5</w:t>
            </w:r>
          </w:p>
        </w:tc>
        <w:tc>
          <w:tcPr>
            <w:tcW w:type="dxa" w:w="2016"/>
          </w:tcPr>
          <w:p>
            <w:r/>
            <w:r>
              <w:rPr>
                <w:rFonts w:ascii="Arial" w:hAnsi="Arial"/>
                <w:color w:val="111111"/>
                <w:sz w:val="18"/>
              </w:rPr>
              <w:t>GROWING</w:t>
            </w:r>
          </w:p>
        </w:tc>
        <w:tc>
          <w:tcPr>
            <w:tcW w:type="dxa" w:w="1872"/>
          </w:tcPr>
          <w:p>
            <w:r/>
            <w:r>
              <w:rPr>
                <w:rFonts w:ascii="Arial" w:hAnsi="Arial"/>
                <w:color w:val="111111"/>
                <w:sz w:val="18"/>
              </w:rPr>
              <w:t>1.5</w:t>
            </w:r>
          </w:p>
        </w:tc>
        <w:tc>
          <w:tcPr>
            <w:tcW w:type="dxa" w:w="1368"/>
          </w:tcPr>
          <w:p>
            <w:r/>
            <w:r>
              <w:rPr>
                <w:rFonts w:ascii="Arial" w:hAnsi="Arial"/>
                <w:color w:val="111111"/>
                <w:sz w:val="18"/>
              </w:rPr>
              <w:t>−38%</w:t>
            </w:r>
          </w:p>
        </w:tc>
      </w:tr>
      <w:tr>
        <w:tc>
          <w:tcPr>
            <w:tcW w:type="dxa" w:w="2592"/>
            <w:shd w:fill="F5F5FA" w:val="clear"/>
          </w:tcPr>
          <w:p>
            <w:r/>
            <w:r>
              <w:rPr>
                <w:rFonts w:ascii="Arial" w:hAnsi="Arial"/>
                <w:color w:val="111111"/>
                <w:sz w:val="18"/>
              </w:rPr>
              <w:t>Sofiane Pamart</w:t>
            </w:r>
          </w:p>
        </w:tc>
        <w:tc>
          <w:tcPr>
            <w:tcW w:type="dxa" w:w="1440"/>
            <w:shd w:fill="F5F5FA" w:val="clear"/>
          </w:tcPr>
          <w:p>
            <w:r/>
            <w:r>
              <w:rPr>
                <w:rFonts w:ascii="Arial" w:hAnsi="Arial"/>
                <w:color w:val="111111"/>
                <w:sz w:val="18"/>
              </w:rPr>
              <w:t>17:3</w:t>
            </w:r>
          </w:p>
        </w:tc>
        <w:tc>
          <w:tcPr>
            <w:tcW w:type="dxa" w:w="2016"/>
            <w:shd w:fill="F5F5FA" w:val="clear"/>
          </w:tcPr>
          <w:p>
            <w:r/>
            <w:r>
              <w:rPr>
                <w:rFonts w:ascii="Arial" w:hAnsi="Arial"/>
                <w:color w:val="111111"/>
                <w:sz w:val="18"/>
              </w:rPr>
              <w:t>GROWING</w:t>
            </w:r>
          </w:p>
        </w:tc>
        <w:tc>
          <w:tcPr>
            <w:tcW w:type="dxa" w:w="1872"/>
            <w:shd w:fill="F5F5FA" w:val="clear"/>
          </w:tcPr>
          <w:p>
            <w:r/>
            <w:r>
              <w:rPr>
                <w:rFonts w:ascii="Arial" w:hAnsi="Arial"/>
                <w:color w:val="111111"/>
                <w:sz w:val="18"/>
              </w:rPr>
              <w:t>1.4</w:t>
            </w:r>
          </w:p>
        </w:tc>
        <w:tc>
          <w:tcPr>
            <w:tcW w:type="dxa" w:w="1368"/>
            <w:shd w:fill="F5F5FA" w:val="clear"/>
          </w:tcPr>
          <w:p>
            <w:r/>
            <w:r>
              <w:rPr>
                <w:rFonts w:ascii="Arial" w:hAnsi="Arial"/>
                <w:color w:val="111111"/>
                <w:sz w:val="18"/>
              </w:rPr>
              <w:t>N/A</w:t>
            </w:r>
          </w:p>
        </w:tc>
      </w:tr>
      <w:tr>
        <w:tc>
          <w:tcPr>
            <w:tcW w:type="dxa" w:w="2592"/>
          </w:tcPr>
          <w:p>
            <w:r/>
            <w:r>
              <w:rPr>
                <w:rFonts w:ascii="Arial" w:hAnsi="Arial"/>
                <w:color w:val="111111"/>
                <w:sz w:val="18"/>
              </w:rPr>
              <w:t>aespa</w:t>
            </w:r>
          </w:p>
        </w:tc>
        <w:tc>
          <w:tcPr>
            <w:tcW w:type="dxa" w:w="1440"/>
          </w:tcPr>
          <w:p>
            <w:r/>
            <w:r>
              <w:rPr>
                <w:rFonts w:ascii="Arial" w:hAnsi="Arial"/>
                <w:color w:val="111111"/>
                <w:sz w:val="18"/>
              </w:rPr>
              <w:t>87:13</w:t>
            </w:r>
          </w:p>
        </w:tc>
        <w:tc>
          <w:tcPr>
            <w:tcW w:type="dxa" w:w="2016"/>
          </w:tcPr>
          <w:p>
            <w:r/>
            <w:r>
              <w:rPr>
                <w:rFonts w:ascii="Arial" w:hAnsi="Arial"/>
                <w:color w:val="111111"/>
                <w:sz w:val="18"/>
              </w:rPr>
              <w:t>GROWING</w:t>
            </w:r>
          </w:p>
        </w:tc>
        <w:tc>
          <w:tcPr>
            <w:tcW w:type="dxa" w:w="1872"/>
          </w:tcPr>
          <w:p>
            <w:r/>
            <w:r>
              <w:rPr>
                <w:rFonts w:ascii="Arial" w:hAnsi="Arial"/>
                <w:color w:val="111111"/>
                <w:sz w:val="18"/>
              </w:rPr>
              <w:t>0.8</w:t>
            </w:r>
          </w:p>
        </w:tc>
        <w:tc>
          <w:tcPr>
            <w:tcW w:type="dxa" w:w="1368"/>
          </w:tcPr>
          <w:p>
            <w:r/>
            <w:r>
              <w:rPr>
                <w:rFonts w:ascii="Arial" w:hAnsi="Arial"/>
                <w:color w:val="111111"/>
                <w:sz w:val="18"/>
              </w:rPr>
              <w:t>−54%</w:t>
            </w:r>
          </w:p>
        </w:tc>
      </w:tr>
      <w:tr>
        <w:tc>
          <w:tcPr>
            <w:tcW w:type="dxa" w:w="2592"/>
            <w:shd w:fill="F5F5FA" w:val="clear"/>
          </w:tcPr>
          <w:p>
            <w:r/>
            <w:r>
              <w:rPr>
                <w:rFonts w:ascii="Arial" w:hAnsi="Arial"/>
                <w:color w:val="111111"/>
                <w:sz w:val="18"/>
              </w:rPr>
              <w:t>Tove Lo</w:t>
            </w:r>
          </w:p>
        </w:tc>
        <w:tc>
          <w:tcPr>
            <w:tcW w:type="dxa" w:w="1440"/>
            <w:shd w:fill="F5F5FA" w:val="clear"/>
          </w:tcPr>
          <w:p>
            <w:r/>
            <w:r>
              <w:rPr>
                <w:rFonts w:ascii="Arial" w:hAnsi="Arial"/>
                <w:color w:val="111111"/>
                <w:sz w:val="18"/>
              </w:rPr>
              <w:t>14:5</w:t>
            </w:r>
          </w:p>
        </w:tc>
        <w:tc>
          <w:tcPr>
            <w:tcW w:type="dxa" w:w="2016"/>
            <w:shd w:fill="F5F5FA" w:val="clear"/>
          </w:tcPr>
          <w:p>
            <w:r/>
            <w:r>
              <w:rPr>
                <w:rFonts w:ascii="Arial" w:hAnsi="Arial"/>
                <w:color w:val="111111"/>
                <w:sz w:val="18"/>
              </w:rPr>
              <w:t>WEAK_CONV</w:t>
            </w:r>
          </w:p>
        </w:tc>
        <w:tc>
          <w:tcPr>
            <w:tcW w:type="dxa" w:w="1872"/>
            <w:shd w:fill="F5F5FA" w:val="clear"/>
          </w:tcPr>
          <w:p>
            <w:r/>
            <w:r>
              <w:rPr>
                <w:rFonts w:ascii="Arial" w:hAnsi="Arial"/>
                <w:color w:val="111111"/>
                <w:sz w:val="18"/>
              </w:rPr>
              <w:t>0</w:t>
            </w:r>
          </w:p>
        </w:tc>
        <w:tc>
          <w:tcPr>
            <w:tcW w:type="dxa" w:w="1368"/>
            <w:shd w:fill="F5F5FA" w:val="clear"/>
          </w:tcPr>
          <w:p>
            <w:r/>
            <w:r>
              <w:rPr>
                <w:rFonts w:ascii="Arial" w:hAnsi="Arial"/>
                <w:color w:val="111111"/>
                <w:sz w:val="18"/>
              </w:rPr>
              <w:t>N/A</w:t>
            </w:r>
          </w:p>
        </w:tc>
      </w:tr>
      <w:tr>
        <w:tc>
          <w:tcPr>
            <w:tcW w:type="dxa" w:w="2592"/>
          </w:tcPr>
          <w:p>
            <w:r/>
            <w:r>
              <w:rPr>
                <w:rFonts w:ascii="Arial" w:hAnsi="Arial"/>
                <w:color w:val="111111"/>
                <w:sz w:val="18"/>
              </w:rPr>
              <w:t>PlaqueBoyMax</w:t>
            </w:r>
          </w:p>
        </w:tc>
        <w:tc>
          <w:tcPr>
            <w:tcW w:type="dxa" w:w="1440"/>
          </w:tcPr>
          <w:p>
            <w:r/>
            <w:r>
              <w:rPr>
                <w:rFonts w:ascii="Arial" w:hAnsi="Arial"/>
                <w:color w:val="111111"/>
                <w:sz w:val="18"/>
              </w:rPr>
              <w:t>81:19</w:t>
            </w:r>
          </w:p>
        </w:tc>
        <w:tc>
          <w:tcPr>
            <w:tcW w:type="dxa" w:w="2016"/>
          </w:tcPr>
          <w:p>
            <w:r/>
            <w:r>
              <w:rPr>
                <w:rFonts w:ascii="Arial" w:hAnsi="Arial"/>
                <w:color w:val="111111"/>
                <w:sz w:val="18"/>
              </w:rPr>
              <w:t>WEAK_CONV</w:t>
            </w:r>
          </w:p>
        </w:tc>
        <w:tc>
          <w:tcPr>
            <w:tcW w:type="dxa" w:w="1872"/>
          </w:tcPr>
          <w:p>
            <w:r/>
            <w:r>
              <w:rPr>
                <w:rFonts w:ascii="Arial" w:hAnsi="Arial"/>
                <w:color w:val="111111"/>
                <w:sz w:val="18"/>
              </w:rPr>
              <w:t>0</w:t>
            </w:r>
          </w:p>
        </w:tc>
        <w:tc>
          <w:tcPr>
            <w:tcW w:type="dxa" w:w="1368"/>
          </w:tcPr>
          <w:p>
            <w:r/>
            <w:r>
              <w:rPr>
                <w:rFonts w:ascii="Arial" w:hAnsi="Arial"/>
                <w:color w:val="111111"/>
                <w:sz w:val="18"/>
              </w:rPr>
              <w:t>N/A</w:t>
            </w:r>
          </w:p>
        </w:tc>
      </w:tr>
    </w:tbl>
    <w:p>
      <w:pPr>
        <w:spacing w:before="120" w:after="0"/>
      </w:pPr>
    </w:p>
    <w:p>
      <w:pPr>
        <w:spacing w:before="60" w:after="60"/>
      </w:pPr>
      <w:r>
        <w:rPr>
          <w:rFonts w:ascii="Arial" w:hAnsi="Arial"/>
          <w:b w:val="0"/>
          <w:i w:val="0"/>
          <w:sz w:val="21"/>
        </w:rPr>
        <w:t>The data is clear: all three strategies can produce GROWING classification, and all three can fail. The multiformat channels with the highest conversion rates tend to lean toward an even or longform-heavy mix (Lukas Graham 4:7, BANGTANTV 11:16, mary in the junkyard 7:3), while the Shorts-heavy multiformat channels (aespa 87:13, PlaqueBoyMax 81:19) show weaker conversion. But the sample is small and the confounding variables are significant.</w:t>
      </w:r>
    </w:p>
    <w:p>
      <w:pPr>
        <w:spacing w:before="80" w:after="80"/>
        <w:ind w:left="360"/>
        <w:pBdr>
          <w:left w:val="single" w:sz="12" w:space="8" w:color="F7B731"/>
        </w:pBdr>
      </w:pPr>
      <w:r>
        <w:rPr>
          <w:rFonts w:ascii="Arial" w:hAnsi="Arial"/>
          <w:i/>
          <w:color w:val="333344"/>
          <w:sz w:val="20"/>
        </w:rPr>
        <w:t>Caveat: We cannot separate format strategy from content quality, artist profile, genre, or campaign timing from this data alone. RUEL’s longform-only success may reflect the artist’s specific audience, not a general strategy.</w:t>
      </w:r>
    </w:p>
    <w:p>
      <w:pPr>
        <w:spacing w:before="200" w:after="0"/>
      </w:pPr>
    </w:p>
    <w:p>
      <w:pPr>
        <w:pStyle w:val="Heading2"/>
      </w:pPr>
      <w:r>
        <w:t>Evidence: Catalogue Viewership in COLD Channels</w:t>
      </w:r>
    </w:p>
    <w:p>
      <w:pPr>
        <w:spacing w:before="60" w:after="60"/>
      </w:pPr>
      <w:r>
        <w:rPr>
          <w:rFonts w:ascii="Arial" w:hAnsi="Arial"/>
          <w:b w:val="0"/>
          <w:i w:val="0"/>
          <w:sz w:val="21"/>
        </w:rPr>
        <w:t>Not all COLD channels are truly dormant in terms of audience attention. Several continue to generate significant views from existing catalogue content:</w:t>
      </w:r>
    </w:p>
    <w:tbl>
      <w:tblPr>
        <w:tblW w:type="auto" w:w="0"/>
        <w:jc w:val="left"/>
        <w:tblLook w:firstColumn="1" w:firstRow="1" w:lastColumn="0" w:lastRow="0" w:noHBand="0" w:noVBand="1" w:val="04A0"/>
      </w:tblPr>
      <w:tblGrid>
        <w:gridCol w:w="1872"/>
        <w:gridCol w:w="1872"/>
        <w:gridCol w:w="1872"/>
        <w:gridCol w:w="1872"/>
        <w:gridCol w:w="1872"/>
      </w:tblGrid>
      <w:tr>
        <w:tc>
          <w:tcPr>
            <w:tcW w:type="dxa" w:w="2304"/>
            <w:shd w:fill="0F0F1A" w:val="clear"/>
          </w:tcPr>
          <w:p>
            <w:r/>
            <w:r>
              <w:rPr>
                <w:rFonts w:ascii="Arial" w:hAnsi="Arial"/>
                <w:b/>
                <w:color w:val="FFFFFF"/>
                <w:sz w:val="18"/>
              </w:rPr>
              <w:t>Channel</w:t>
            </w:r>
          </w:p>
        </w:tc>
        <w:tc>
          <w:tcPr>
            <w:tcW w:type="dxa" w:w="1296"/>
            <w:shd w:fill="0F0F1A" w:val="clear"/>
          </w:tcPr>
          <w:p>
            <w:r/>
            <w:r>
              <w:rPr>
                <w:rFonts w:ascii="Arial" w:hAnsi="Arial"/>
                <w:b/>
                <w:color w:val="FFFFFF"/>
                <w:sz w:val="18"/>
              </w:rPr>
              <w:t>Subs</w:t>
            </w:r>
          </w:p>
        </w:tc>
        <w:tc>
          <w:tcPr>
            <w:tcW w:type="dxa" w:w="1872"/>
            <w:shd w:fill="0F0F1A" w:val="clear"/>
          </w:tcPr>
          <w:p>
            <w:r/>
            <w:r>
              <w:rPr>
                <w:rFonts w:ascii="Arial" w:hAnsi="Arial"/>
                <w:b/>
                <w:color w:val="FFFFFF"/>
                <w:sz w:val="18"/>
              </w:rPr>
              <w:t>Views/Week</w:t>
            </w:r>
          </w:p>
        </w:tc>
        <w:tc>
          <w:tcPr>
            <w:tcW w:type="dxa" w:w="2304"/>
            <w:shd w:fill="0F0F1A" w:val="clear"/>
          </w:tcPr>
          <w:p>
            <w:r/>
            <w:r>
              <w:rPr>
                <w:rFonts w:ascii="Arial" w:hAnsi="Arial"/>
                <w:b/>
                <w:color w:val="FFFFFF"/>
                <w:sz w:val="18"/>
              </w:rPr>
              <w:t>Days Since Upload</w:t>
            </w:r>
          </w:p>
        </w:tc>
        <w:tc>
          <w:tcPr>
            <w:tcW w:type="dxa" w:w="1512"/>
            <w:shd w:fill="0F0F1A" w:val="clear"/>
          </w:tcPr>
          <w:p>
            <w:r/>
            <w:r>
              <w:rPr>
                <w:rFonts w:ascii="Arial" w:hAnsi="Arial"/>
                <w:b/>
                <w:color w:val="FFFFFF"/>
                <w:sz w:val="18"/>
              </w:rPr>
              <w:t>Subs Gained</w:t>
            </w:r>
          </w:p>
        </w:tc>
      </w:tr>
      <w:tr>
        <w:tc>
          <w:tcPr>
            <w:tcW w:type="dxa" w:w="2304"/>
            <w:shd w:fill="F5F5FA" w:val="clear"/>
          </w:tcPr>
          <w:p>
            <w:r/>
            <w:r>
              <w:rPr>
                <w:rFonts w:ascii="Arial" w:hAnsi="Arial"/>
                <w:color w:val="111111"/>
                <w:sz w:val="18"/>
              </w:rPr>
              <w:t>Bad Omens</w:t>
            </w:r>
          </w:p>
        </w:tc>
        <w:tc>
          <w:tcPr>
            <w:tcW w:type="dxa" w:w="1296"/>
            <w:shd w:fill="F5F5FA" w:val="clear"/>
          </w:tcPr>
          <w:p>
            <w:r/>
            <w:r>
              <w:rPr>
                <w:rFonts w:ascii="Arial" w:hAnsi="Arial"/>
                <w:color w:val="111111"/>
                <w:sz w:val="18"/>
              </w:rPr>
              <w:t>487K</w:t>
            </w:r>
          </w:p>
        </w:tc>
        <w:tc>
          <w:tcPr>
            <w:tcW w:type="dxa" w:w="1872"/>
            <w:shd w:fill="F5F5FA" w:val="clear"/>
          </w:tcPr>
          <w:p>
            <w:r/>
            <w:r>
              <w:rPr>
                <w:rFonts w:ascii="Arial" w:hAnsi="Arial"/>
                <w:color w:val="111111"/>
                <w:sz w:val="18"/>
              </w:rPr>
              <w:t>3,543,000</w:t>
            </w:r>
          </w:p>
        </w:tc>
        <w:tc>
          <w:tcPr>
            <w:tcW w:type="dxa" w:w="2304"/>
            <w:shd w:fill="F5F5FA" w:val="clear"/>
          </w:tcPr>
          <w:p>
            <w:r/>
            <w:r>
              <w:rPr>
                <w:rFonts w:ascii="Arial" w:hAnsi="Arial"/>
                <w:color w:val="111111"/>
                <w:sz w:val="18"/>
              </w:rPr>
              <w:t>118</w:t>
            </w:r>
          </w:p>
        </w:tc>
        <w:tc>
          <w:tcPr>
            <w:tcW w:type="dxa" w:w="1512"/>
            <w:shd w:fill="F5F5FA" w:val="clear"/>
          </w:tcPr>
          <w:p>
            <w:r/>
            <w:r>
              <w:rPr>
                <w:rFonts w:ascii="Arial" w:hAnsi="Arial"/>
                <w:color w:val="111111"/>
                <w:sz w:val="18"/>
              </w:rPr>
              <w:t>2,000</w:t>
            </w:r>
          </w:p>
        </w:tc>
      </w:tr>
      <w:tr>
        <w:tc>
          <w:tcPr>
            <w:tcW w:type="dxa" w:w="2304"/>
          </w:tcPr>
          <w:p>
            <w:r/>
            <w:r>
              <w:rPr>
                <w:rFonts w:ascii="Arial" w:hAnsi="Arial"/>
                <w:color w:val="111111"/>
                <w:sz w:val="18"/>
              </w:rPr>
              <w:t>Declan McKenna</w:t>
            </w:r>
          </w:p>
        </w:tc>
        <w:tc>
          <w:tcPr>
            <w:tcW w:type="dxa" w:w="1296"/>
          </w:tcPr>
          <w:p>
            <w:r/>
            <w:r>
              <w:rPr>
                <w:rFonts w:ascii="Arial" w:hAnsi="Arial"/>
                <w:color w:val="111111"/>
                <w:sz w:val="18"/>
              </w:rPr>
              <w:t>433K</w:t>
            </w:r>
          </w:p>
        </w:tc>
        <w:tc>
          <w:tcPr>
            <w:tcW w:type="dxa" w:w="1872"/>
          </w:tcPr>
          <w:p>
            <w:r/>
            <w:r>
              <w:rPr>
                <w:rFonts w:ascii="Arial" w:hAnsi="Arial"/>
                <w:color w:val="111111"/>
                <w:sz w:val="18"/>
              </w:rPr>
              <w:t>1,448,000</w:t>
            </w:r>
          </w:p>
        </w:tc>
        <w:tc>
          <w:tcPr>
            <w:tcW w:type="dxa" w:w="2304"/>
          </w:tcPr>
          <w:p>
            <w:r/>
            <w:r>
              <w:rPr>
                <w:rFonts w:ascii="Arial" w:hAnsi="Arial"/>
                <w:color w:val="111111"/>
                <w:sz w:val="18"/>
              </w:rPr>
              <w:t>36</w:t>
            </w:r>
          </w:p>
        </w:tc>
        <w:tc>
          <w:tcPr>
            <w:tcW w:type="dxa" w:w="1512"/>
          </w:tcPr>
          <w:p>
            <w:r/>
            <w:r>
              <w:rPr>
                <w:rFonts w:ascii="Arial" w:hAnsi="Arial"/>
                <w:color w:val="111111"/>
                <w:sz w:val="18"/>
              </w:rPr>
              <w:t>0</w:t>
            </w:r>
          </w:p>
        </w:tc>
      </w:tr>
      <w:tr>
        <w:tc>
          <w:tcPr>
            <w:tcW w:type="dxa" w:w="2304"/>
            <w:shd w:fill="F5F5FA" w:val="clear"/>
          </w:tcPr>
          <w:p>
            <w:r/>
            <w:r>
              <w:rPr>
                <w:rFonts w:ascii="Arial" w:hAnsi="Arial"/>
                <w:color w:val="111111"/>
                <w:sz w:val="18"/>
              </w:rPr>
              <w:t>Bloc Party*</w:t>
            </w:r>
          </w:p>
        </w:tc>
        <w:tc>
          <w:tcPr>
            <w:tcW w:type="dxa" w:w="1296"/>
            <w:shd w:fill="F5F5FA" w:val="clear"/>
          </w:tcPr>
          <w:p>
            <w:r/>
            <w:r>
              <w:rPr>
                <w:rFonts w:ascii="Arial" w:hAnsi="Arial"/>
                <w:color w:val="111111"/>
                <w:sz w:val="18"/>
              </w:rPr>
              <w:t>103K</w:t>
            </w:r>
          </w:p>
        </w:tc>
        <w:tc>
          <w:tcPr>
            <w:tcW w:type="dxa" w:w="1872"/>
            <w:shd w:fill="F5F5FA" w:val="clear"/>
          </w:tcPr>
          <w:p>
            <w:r/>
            <w:r>
              <w:rPr>
                <w:rFonts w:ascii="Arial" w:hAnsi="Arial"/>
                <w:color w:val="111111"/>
                <w:sz w:val="18"/>
              </w:rPr>
              <w:t>1,414,000</w:t>
            </w:r>
          </w:p>
        </w:tc>
        <w:tc>
          <w:tcPr>
            <w:tcW w:type="dxa" w:w="2304"/>
            <w:shd w:fill="F5F5FA" w:val="clear"/>
          </w:tcPr>
          <w:p>
            <w:r/>
            <w:r>
              <w:rPr>
                <w:rFonts w:ascii="Arial" w:hAnsi="Arial"/>
                <w:color w:val="111111"/>
                <w:sz w:val="18"/>
              </w:rPr>
              <w:t>6</w:t>
            </w:r>
          </w:p>
        </w:tc>
        <w:tc>
          <w:tcPr>
            <w:tcW w:type="dxa" w:w="1512"/>
            <w:shd w:fill="F5F5FA" w:val="clear"/>
          </w:tcPr>
          <w:p>
            <w:r/>
            <w:r>
              <w:rPr>
                <w:rFonts w:ascii="Arial" w:hAnsi="Arial"/>
                <w:color w:val="111111"/>
                <w:sz w:val="18"/>
              </w:rPr>
              <w:t>0</w:t>
            </w:r>
          </w:p>
        </w:tc>
      </w:tr>
      <w:tr>
        <w:tc>
          <w:tcPr>
            <w:tcW w:type="dxa" w:w="2304"/>
          </w:tcPr>
          <w:p>
            <w:r/>
            <w:r>
              <w:rPr>
                <w:rFonts w:ascii="Arial" w:hAnsi="Arial"/>
                <w:color w:val="111111"/>
                <w:sz w:val="18"/>
              </w:rPr>
              <w:t>The Itch*</w:t>
            </w:r>
          </w:p>
        </w:tc>
        <w:tc>
          <w:tcPr>
            <w:tcW w:type="dxa" w:w="1296"/>
          </w:tcPr>
          <w:p>
            <w:r/>
            <w:r>
              <w:rPr>
                <w:rFonts w:ascii="Arial" w:hAnsi="Arial"/>
                <w:color w:val="111111"/>
                <w:sz w:val="18"/>
              </w:rPr>
              <w:t>11.7K</w:t>
            </w:r>
          </w:p>
        </w:tc>
        <w:tc>
          <w:tcPr>
            <w:tcW w:type="dxa" w:w="1872"/>
          </w:tcPr>
          <w:p>
            <w:r/>
            <w:r>
              <w:rPr>
                <w:rFonts w:ascii="Arial" w:hAnsi="Arial"/>
                <w:color w:val="111111"/>
                <w:sz w:val="18"/>
              </w:rPr>
              <w:t>Spiking +125%</w:t>
            </w:r>
          </w:p>
        </w:tc>
        <w:tc>
          <w:tcPr>
            <w:tcW w:type="dxa" w:w="2304"/>
          </w:tcPr>
          <w:p>
            <w:r/>
            <w:r>
              <w:rPr>
                <w:rFonts w:ascii="Arial" w:hAnsi="Arial"/>
                <w:color w:val="111111"/>
                <w:sz w:val="18"/>
              </w:rPr>
              <w:t>COLD / 0 uploads</w:t>
            </w:r>
          </w:p>
        </w:tc>
        <w:tc>
          <w:tcPr>
            <w:tcW w:type="dxa" w:w="1512"/>
          </w:tcPr>
          <w:p>
            <w:r/>
            <w:r>
              <w:rPr>
                <w:rFonts w:ascii="Arial" w:hAnsi="Arial"/>
                <w:color w:val="111111"/>
                <w:sz w:val="18"/>
              </w:rPr>
              <w:t>0</w:t>
            </w:r>
          </w:p>
        </w:tc>
      </w:tr>
    </w:tbl>
    <w:p>
      <w:pPr>
        <w:spacing w:before="120" w:after="0"/>
      </w:pPr>
    </w:p>
    <w:p>
      <w:pPr>
        <w:spacing w:before="60" w:after="60"/>
      </w:pPr>
      <w:r>
        <w:rPr>
          <w:rFonts w:ascii="Arial" w:hAnsi="Arial"/>
          <w:b w:val="0"/>
          <w:i w:val="0"/>
          <w:sz w:val="21"/>
        </w:rPr>
        <w:t>* Bloc Party is technically UNDERFED (2 uploads), not COLD. Included for comparison. The Itch is COLD with anomalous view growth.</w:t>
      </w:r>
    </w:p>
    <w:p>
      <w:pPr>
        <w:spacing w:before="80" w:after="0"/>
      </w:pPr>
    </w:p>
    <w:p>
      <w:pPr>
        <w:spacing w:before="60" w:after="60"/>
      </w:pPr>
      <w:r>
        <w:rPr>
          <w:rFonts w:ascii="Arial" w:hAnsi="Arial"/>
          <w:b w:val="0"/>
          <w:i w:val="0"/>
          <w:sz w:val="21"/>
        </w:rPr>
        <w:t>Bad Omens is the most notable case: 3.54 million views per week and still gaining approximately 2,000 subscribers per week from catalogue content alone, 118 days after the last upload. This demonstrates persistent audience demand. If the channel were to resume uploading, it would likely see an amplified response — the algorithm is already distributing their content.</w:t>
      </w:r>
    </w:p>
    <w:p>
      <w:pPr>
        <w:spacing w:before="80" w:after="0"/>
      </w:pPr>
    </w:p>
    <w:p>
      <w:pPr>
        <w:spacing w:before="60" w:after="60"/>
      </w:pPr>
      <w:r>
        <w:rPr>
          <w:rFonts w:ascii="Arial" w:hAnsi="Arial"/>
          <w:b w:val="0"/>
          <w:i w:val="0"/>
          <w:sz w:val="21"/>
        </w:rPr>
        <w:t>The Itch is the most puzzling case: a COLD channel with zero recent uploads saw views spike 125% week-over-week. This almost certainly indicates an external trigger — a TikTok trend, a playlist addition, a sync placement, or a viral moment. This type of signal should prompt immediate investigation and content response.</w:t>
      </w:r>
    </w:p>
    <w:p>
      <w:pPr>
        <w:spacing w:before="80" w:after="80"/>
        <w:ind w:left="360"/>
        <w:pBdr>
          <w:left w:val="single" w:sz="12" w:space="8" w:color="F7B731"/>
        </w:pBdr>
      </w:pPr>
      <w:r>
        <w:rPr>
          <w:rFonts w:ascii="Arial" w:hAnsi="Arial"/>
          <w:i/>
          <w:color w:val="333344"/>
          <w:sz w:val="20"/>
        </w:rPr>
        <w:t>Caveat: We do not have historical trend data for these channels. We cannot confirm whether Bad Omens’ catalogue views have been stable or are declining. A single week’s snapshot tells us the audience is watching now, but not whether that demand is growing or shrinking.</w:t>
      </w:r>
    </w:p>
    <w:p>
      <w:pPr>
        <w:spacing w:before="200" w:after="0"/>
      </w:pPr>
    </w:p>
    <w:p>
      <w:pPr>
        <w:pStyle w:val="Heading2"/>
      </w:pPr>
      <w:r>
        <w:t>Evidence: Conversion Rates by Channel Size</w:t>
      </w:r>
    </w:p>
    <w:p>
      <w:pPr>
        <w:spacing w:before="60" w:after="60"/>
      </w:pPr>
      <w:r>
        <w:rPr>
          <w:rFonts w:ascii="Arial" w:hAnsi="Arial"/>
          <w:b w:val="0"/>
          <w:i w:val="0"/>
          <w:sz w:val="21"/>
        </w:rPr>
        <w:t>Subscriber conversion rate (subs gained per 1,000 views) shows a consistent inverse relationship with channel size:</w:t>
      </w:r>
    </w:p>
    <w:tbl>
      <w:tblPr>
        <w:tblW w:type="auto" w:w="0"/>
        <w:jc w:val="left"/>
        <w:tblLook w:firstColumn="1" w:firstRow="1" w:lastColumn="0" w:lastRow="0" w:noHBand="0" w:noVBand="1" w:val="04A0"/>
      </w:tblPr>
      <w:tblGrid>
        <w:gridCol w:w="1872"/>
        <w:gridCol w:w="1872"/>
        <w:gridCol w:w="1872"/>
        <w:gridCol w:w="1872"/>
        <w:gridCol w:w="1872"/>
      </w:tblGrid>
      <w:tr>
        <w:tc>
          <w:tcPr>
            <w:tcW w:type="dxa" w:w="2592"/>
            <w:shd w:fill="0F0F1A" w:val="clear"/>
          </w:tcPr>
          <w:p>
            <w:r/>
            <w:r>
              <w:rPr>
                <w:rFonts w:ascii="Arial" w:hAnsi="Arial"/>
                <w:b/>
                <w:color w:val="FFFFFF"/>
                <w:sz w:val="18"/>
              </w:rPr>
              <w:t>Channel</w:t>
            </w:r>
          </w:p>
        </w:tc>
        <w:tc>
          <w:tcPr>
            <w:tcW w:type="dxa" w:w="1728"/>
            <w:shd w:fill="0F0F1A" w:val="clear"/>
          </w:tcPr>
          <w:p>
            <w:r/>
            <w:r>
              <w:rPr>
                <w:rFonts w:ascii="Arial" w:hAnsi="Arial"/>
                <w:b/>
                <w:color w:val="FFFFFF"/>
                <w:sz w:val="18"/>
              </w:rPr>
              <w:t>Subscribers</w:t>
            </w:r>
          </w:p>
        </w:tc>
        <w:tc>
          <w:tcPr>
            <w:tcW w:type="dxa" w:w="1872"/>
            <w:shd w:fill="0F0F1A" w:val="clear"/>
          </w:tcPr>
          <w:p>
            <w:r/>
            <w:r>
              <w:rPr>
                <w:rFonts w:ascii="Arial" w:hAnsi="Arial"/>
                <w:b/>
                <w:color w:val="FFFFFF"/>
                <w:sz w:val="18"/>
              </w:rPr>
              <w:t>Subs/1kViews</w:t>
            </w:r>
          </w:p>
        </w:tc>
        <w:tc>
          <w:tcPr>
            <w:tcW w:type="dxa" w:w="2016"/>
            <w:shd w:fill="0F0F1A" w:val="clear"/>
          </w:tcPr>
          <w:p>
            <w:r/>
            <w:r>
              <w:rPr>
                <w:rFonts w:ascii="Arial" w:hAnsi="Arial"/>
                <w:b/>
                <w:color w:val="FFFFFF"/>
                <w:sz w:val="18"/>
              </w:rPr>
              <w:t>Signal</w:t>
            </w:r>
          </w:p>
        </w:tc>
        <w:tc>
          <w:tcPr>
            <w:tcW w:type="dxa" w:w="1080"/>
            <w:shd w:fill="0F0F1A" w:val="clear"/>
          </w:tcPr>
          <w:p>
            <w:r/>
            <w:r>
              <w:rPr>
                <w:rFonts w:ascii="Arial" w:hAnsi="Arial"/>
                <w:b/>
                <w:color w:val="FFFFFF"/>
                <w:sz w:val="18"/>
              </w:rPr>
              <w:t>Uploads/30d</w:t>
            </w:r>
          </w:p>
        </w:tc>
      </w:tr>
      <w:tr>
        <w:tc>
          <w:tcPr>
            <w:tcW w:type="dxa" w:w="2592"/>
            <w:shd w:fill="F5F5FA" w:val="clear"/>
          </w:tcPr>
          <w:p>
            <w:r/>
            <w:r>
              <w:rPr>
                <w:rFonts w:ascii="Arial" w:hAnsi="Arial"/>
                <w:color w:val="111111"/>
                <w:sz w:val="18"/>
              </w:rPr>
              <w:t>jo from school</w:t>
            </w:r>
          </w:p>
        </w:tc>
        <w:tc>
          <w:tcPr>
            <w:tcW w:type="dxa" w:w="1728"/>
            <w:shd w:fill="F5F5FA" w:val="clear"/>
          </w:tcPr>
          <w:p>
            <w:r/>
            <w:r>
              <w:rPr>
                <w:rFonts w:ascii="Arial" w:hAnsi="Arial"/>
                <w:color w:val="111111"/>
                <w:sz w:val="18"/>
              </w:rPr>
              <w:t>513</w:t>
            </w:r>
          </w:p>
        </w:tc>
        <w:tc>
          <w:tcPr>
            <w:tcW w:type="dxa" w:w="1872"/>
            <w:shd w:fill="F5F5FA" w:val="clear"/>
          </w:tcPr>
          <w:p>
            <w:r/>
            <w:r>
              <w:rPr>
                <w:rFonts w:ascii="Arial" w:hAnsi="Arial"/>
                <w:color w:val="111111"/>
                <w:sz w:val="18"/>
              </w:rPr>
              <w:t>30.3</w:t>
            </w:r>
          </w:p>
        </w:tc>
        <w:tc>
          <w:tcPr>
            <w:tcW w:type="dxa" w:w="2016"/>
            <w:shd w:fill="F5F5FA" w:val="clear"/>
          </w:tcPr>
          <w:p>
            <w:r/>
            <w:r>
              <w:rPr>
                <w:rFonts w:ascii="Arial" w:hAnsi="Arial"/>
                <w:color w:val="111111"/>
                <w:sz w:val="18"/>
              </w:rPr>
              <w:t>GROWING</w:t>
            </w:r>
          </w:p>
        </w:tc>
        <w:tc>
          <w:tcPr>
            <w:tcW w:type="dxa" w:w="1080"/>
            <w:shd w:fill="F5F5FA" w:val="clear"/>
          </w:tcPr>
          <w:p>
            <w:r/>
            <w:r>
              <w:rPr>
                <w:rFonts w:ascii="Arial" w:hAnsi="Arial"/>
                <w:color w:val="111111"/>
                <w:sz w:val="18"/>
              </w:rPr>
              <w:t>3</w:t>
            </w:r>
          </w:p>
        </w:tc>
      </w:tr>
      <w:tr>
        <w:tc>
          <w:tcPr>
            <w:tcW w:type="dxa" w:w="2592"/>
          </w:tcPr>
          <w:p>
            <w:r/>
            <w:r>
              <w:rPr>
                <w:rFonts w:ascii="Arial" w:hAnsi="Arial"/>
                <w:color w:val="111111"/>
                <w:sz w:val="18"/>
              </w:rPr>
              <w:t>Aifric</w:t>
            </w:r>
          </w:p>
        </w:tc>
        <w:tc>
          <w:tcPr>
            <w:tcW w:type="dxa" w:w="1728"/>
          </w:tcPr>
          <w:p>
            <w:r/>
            <w:r>
              <w:rPr>
                <w:rFonts w:ascii="Arial" w:hAnsi="Arial"/>
                <w:color w:val="111111"/>
                <w:sz w:val="18"/>
              </w:rPr>
              <w:t>40</w:t>
            </w:r>
          </w:p>
        </w:tc>
        <w:tc>
          <w:tcPr>
            <w:tcW w:type="dxa" w:w="1872"/>
          </w:tcPr>
          <w:p>
            <w:r/>
            <w:r>
              <w:rPr>
                <w:rFonts w:ascii="Arial" w:hAnsi="Arial"/>
                <w:color w:val="111111"/>
                <w:sz w:val="18"/>
              </w:rPr>
              <w:t>11.6</w:t>
            </w:r>
          </w:p>
        </w:tc>
        <w:tc>
          <w:tcPr>
            <w:tcW w:type="dxa" w:w="2016"/>
          </w:tcPr>
          <w:p>
            <w:r/>
            <w:r>
              <w:rPr>
                <w:rFonts w:ascii="Arial" w:hAnsi="Arial"/>
                <w:color w:val="111111"/>
                <w:sz w:val="18"/>
              </w:rPr>
              <w:t>GROWING</w:t>
            </w:r>
          </w:p>
        </w:tc>
        <w:tc>
          <w:tcPr>
            <w:tcW w:type="dxa" w:w="1080"/>
          </w:tcPr>
          <w:p>
            <w:r/>
            <w:r>
              <w:rPr>
                <w:rFonts w:ascii="Arial" w:hAnsi="Arial"/>
                <w:color w:val="111111"/>
                <w:sz w:val="18"/>
              </w:rPr>
              <w:t>6</w:t>
            </w:r>
          </w:p>
        </w:tc>
      </w:tr>
      <w:tr>
        <w:tc>
          <w:tcPr>
            <w:tcW w:type="dxa" w:w="2592"/>
            <w:shd w:fill="F5F5FA" w:val="clear"/>
          </w:tcPr>
          <w:p>
            <w:r/>
            <w:r>
              <w:rPr>
                <w:rFonts w:ascii="Arial" w:hAnsi="Arial"/>
                <w:color w:val="111111"/>
                <w:sz w:val="18"/>
              </w:rPr>
              <w:t>Tom A Smith</w:t>
            </w:r>
          </w:p>
        </w:tc>
        <w:tc>
          <w:tcPr>
            <w:tcW w:type="dxa" w:w="1728"/>
            <w:shd w:fill="F5F5FA" w:val="clear"/>
          </w:tcPr>
          <w:p>
            <w:r/>
            <w:r>
              <w:rPr>
                <w:rFonts w:ascii="Arial" w:hAnsi="Arial"/>
                <w:color w:val="111111"/>
                <w:sz w:val="18"/>
              </w:rPr>
              <w:t>5,490</w:t>
            </w:r>
          </w:p>
        </w:tc>
        <w:tc>
          <w:tcPr>
            <w:tcW w:type="dxa" w:w="1872"/>
            <w:shd w:fill="F5F5FA" w:val="clear"/>
          </w:tcPr>
          <w:p>
            <w:r/>
            <w:r>
              <w:rPr>
                <w:rFonts w:ascii="Arial" w:hAnsi="Arial"/>
                <w:color w:val="111111"/>
                <w:sz w:val="18"/>
              </w:rPr>
              <w:t>7.4</w:t>
            </w:r>
          </w:p>
        </w:tc>
        <w:tc>
          <w:tcPr>
            <w:tcW w:type="dxa" w:w="2016"/>
            <w:shd w:fill="F5F5FA" w:val="clear"/>
          </w:tcPr>
          <w:p>
            <w:r/>
            <w:r>
              <w:rPr>
                <w:rFonts w:ascii="Arial" w:hAnsi="Arial"/>
                <w:color w:val="111111"/>
                <w:sz w:val="18"/>
              </w:rPr>
              <w:t>UNDERFED</w:t>
            </w:r>
          </w:p>
        </w:tc>
        <w:tc>
          <w:tcPr>
            <w:tcW w:type="dxa" w:w="1080"/>
            <w:shd w:fill="F5F5FA" w:val="clear"/>
          </w:tcPr>
          <w:p>
            <w:r/>
            <w:r>
              <w:rPr>
                <w:rFonts w:ascii="Arial" w:hAnsi="Arial"/>
                <w:color w:val="111111"/>
                <w:sz w:val="18"/>
              </w:rPr>
              <w:t>2</w:t>
            </w:r>
          </w:p>
        </w:tc>
      </w:tr>
      <w:tr>
        <w:tc>
          <w:tcPr>
            <w:tcW w:type="dxa" w:w="2592"/>
          </w:tcPr>
          <w:p>
            <w:r/>
            <w:r>
              <w:rPr>
                <w:rFonts w:ascii="Arial" w:hAnsi="Arial"/>
                <w:color w:val="111111"/>
                <w:sz w:val="18"/>
              </w:rPr>
              <w:t>Man Woman Chainsaw</w:t>
            </w:r>
          </w:p>
        </w:tc>
        <w:tc>
          <w:tcPr>
            <w:tcW w:type="dxa" w:w="1728"/>
          </w:tcPr>
          <w:p>
            <w:r/>
            <w:r>
              <w:rPr>
                <w:rFonts w:ascii="Arial" w:hAnsi="Arial"/>
                <w:color w:val="111111"/>
                <w:sz w:val="18"/>
              </w:rPr>
              <w:t>2,230</w:t>
            </w:r>
          </w:p>
        </w:tc>
        <w:tc>
          <w:tcPr>
            <w:tcW w:type="dxa" w:w="1872"/>
          </w:tcPr>
          <w:p>
            <w:r/>
            <w:r>
              <w:rPr>
                <w:rFonts w:ascii="Arial" w:hAnsi="Arial"/>
                <w:color w:val="111111"/>
                <w:sz w:val="18"/>
              </w:rPr>
              <w:t>4.2</w:t>
            </w:r>
          </w:p>
        </w:tc>
        <w:tc>
          <w:tcPr>
            <w:tcW w:type="dxa" w:w="2016"/>
          </w:tcPr>
          <w:p>
            <w:r/>
            <w:r>
              <w:rPr>
                <w:rFonts w:ascii="Arial" w:hAnsi="Arial"/>
                <w:color w:val="111111"/>
                <w:sz w:val="18"/>
              </w:rPr>
              <w:t>GROWING</w:t>
            </w:r>
          </w:p>
        </w:tc>
        <w:tc>
          <w:tcPr>
            <w:tcW w:type="dxa" w:w="1080"/>
          </w:tcPr>
          <w:p>
            <w:r/>
            <w:r>
              <w:rPr>
                <w:rFonts w:ascii="Arial" w:hAnsi="Arial"/>
                <w:color w:val="111111"/>
                <w:sz w:val="18"/>
              </w:rPr>
              <w:t>3</w:t>
            </w:r>
          </w:p>
        </w:tc>
      </w:tr>
      <w:tr>
        <w:tc>
          <w:tcPr>
            <w:tcW w:type="dxa" w:w="2592"/>
            <w:shd w:fill="F5F5FA" w:val="clear"/>
          </w:tcPr>
          <w:p>
            <w:r/>
            <w:r>
              <w:rPr>
                <w:rFonts w:ascii="Arial" w:hAnsi="Arial"/>
                <w:color w:val="111111"/>
                <w:sz w:val="18"/>
              </w:rPr>
              <w:t>mary in the junkyard</w:t>
            </w:r>
          </w:p>
        </w:tc>
        <w:tc>
          <w:tcPr>
            <w:tcW w:type="dxa" w:w="1728"/>
            <w:shd w:fill="F5F5FA" w:val="clear"/>
          </w:tcPr>
          <w:p>
            <w:r/>
            <w:r>
              <w:rPr>
                <w:rFonts w:ascii="Arial" w:hAnsi="Arial"/>
                <w:color w:val="111111"/>
                <w:sz w:val="18"/>
              </w:rPr>
              <w:t>5,080</w:t>
            </w:r>
          </w:p>
        </w:tc>
        <w:tc>
          <w:tcPr>
            <w:tcW w:type="dxa" w:w="1872"/>
            <w:shd w:fill="F5F5FA" w:val="clear"/>
          </w:tcPr>
          <w:p>
            <w:r/>
            <w:r>
              <w:rPr>
                <w:rFonts w:ascii="Arial" w:hAnsi="Arial"/>
                <w:color w:val="111111"/>
                <w:sz w:val="18"/>
              </w:rPr>
              <w:t>3.6</w:t>
            </w:r>
          </w:p>
        </w:tc>
        <w:tc>
          <w:tcPr>
            <w:tcW w:type="dxa" w:w="2016"/>
            <w:shd w:fill="F5F5FA" w:val="clear"/>
          </w:tcPr>
          <w:p>
            <w:r/>
            <w:r>
              <w:rPr>
                <w:rFonts w:ascii="Arial" w:hAnsi="Arial"/>
                <w:color w:val="111111"/>
                <w:sz w:val="18"/>
              </w:rPr>
              <w:t>GROWING</w:t>
            </w:r>
          </w:p>
        </w:tc>
        <w:tc>
          <w:tcPr>
            <w:tcW w:type="dxa" w:w="1080"/>
            <w:shd w:fill="F5F5FA" w:val="clear"/>
          </w:tcPr>
          <w:p>
            <w:r/>
            <w:r>
              <w:rPr>
                <w:rFonts w:ascii="Arial" w:hAnsi="Arial"/>
                <w:color w:val="111111"/>
                <w:sz w:val="18"/>
              </w:rPr>
              <w:t>10</w:t>
            </w:r>
          </w:p>
        </w:tc>
      </w:tr>
      <w:tr>
        <w:tc>
          <w:tcPr>
            <w:tcW w:type="dxa" w:w="2592"/>
          </w:tcPr>
          <w:p>
            <w:r/>
            <w:r>
              <w:rPr>
                <w:rFonts w:ascii="Arial" w:hAnsi="Arial"/>
                <w:color w:val="111111"/>
                <w:sz w:val="18"/>
              </w:rPr>
              <w:t>Precious Pepala</w:t>
            </w:r>
          </w:p>
        </w:tc>
        <w:tc>
          <w:tcPr>
            <w:tcW w:type="dxa" w:w="1728"/>
          </w:tcPr>
          <w:p>
            <w:r/>
            <w:r>
              <w:rPr>
                <w:rFonts w:ascii="Arial" w:hAnsi="Arial"/>
                <w:color w:val="111111"/>
                <w:sz w:val="18"/>
              </w:rPr>
              <w:t>133K</w:t>
            </w:r>
          </w:p>
        </w:tc>
        <w:tc>
          <w:tcPr>
            <w:tcW w:type="dxa" w:w="1872"/>
          </w:tcPr>
          <w:p>
            <w:r/>
            <w:r>
              <w:rPr>
                <w:rFonts w:ascii="Arial" w:hAnsi="Arial"/>
                <w:color w:val="111111"/>
                <w:sz w:val="18"/>
              </w:rPr>
              <w:t>3.7</w:t>
            </w:r>
          </w:p>
        </w:tc>
        <w:tc>
          <w:tcPr>
            <w:tcW w:type="dxa" w:w="2016"/>
          </w:tcPr>
          <w:p>
            <w:r/>
            <w:r>
              <w:rPr>
                <w:rFonts w:ascii="Arial" w:hAnsi="Arial"/>
                <w:color w:val="111111"/>
                <w:sz w:val="18"/>
              </w:rPr>
              <w:t>GROWING</w:t>
            </w:r>
          </w:p>
        </w:tc>
        <w:tc>
          <w:tcPr>
            <w:tcW w:type="dxa" w:w="1080"/>
          </w:tcPr>
          <w:p>
            <w:r/>
            <w:r>
              <w:rPr>
                <w:rFonts w:ascii="Arial" w:hAnsi="Arial"/>
                <w:color w:val="111111"/>
                <w:sz w:val="18"/>
              </w:rPr>
              <w:t>18</w:t>
            </w:r>
          </w:p>
        </w:tc>
      </w:tr>
      <w:tr>
        <w:tc>
          <w:tcPr>
            <w:tcW w:type="dxa" w:w="2592"/>
            <w:shd w:fill="F5F5FA" w:val="clear"/>
          </w:tcPr>
          <w:p>
            <w:r/>
            <w:r>
              <w:rPr>
                <w:rFonts w:ascii="Arial" w:hAnsi="Arial"/>
                <w:color w:val="111111"/>
                <w:sz w:val="18"/>
              </w:rPr>
              <w:t>BANGTANTV</w:t>
            </w:r>
          </w:p>
        </w:tc>
        <w:tc>
          <w:tcPr>
            <w:tcW w:type="dxa" w:w="1728"/>
            <w:shd w:fill="F5F5FA" w:val="clear"/>
          </w:tcPr>
          <w:p>
            <w:r/>
            <w:r>
              <w:rPr>
                <w:rFonts w:ascii="Arial" w:hAnsi="Arial"/>
                <w:color w:val="111111"/>
                <w:sz w:val="18"/>
              </w:rPr>
              <w:t>84.8M</w:t>
            </w:r>
          </w:p>
        </w:tc>
        <w:tc>
          <w:tcPr>
            <w:tcW w:type="dxa" w:w="1872"/>
            <w:shd w:fill="F5F5FA" w:val="clear"/>
          </w:tcPr>
          <w:p>
            <w:r/>
            <w:r>
              <w:rPr>
                <w:rFonts w:ascii="Arial" w:hAnsi="Arial"/>
                <w:color w:val="111111"/>
                <w:sz w:val="18"/>
              </w:rPr>
              <w:t>3.5</w:t>
            </w:r>
          </w:p>
        </w:tc>
        <w:tc>
          <w:tcPr>
            <w:tcW w:type="dxa" w:w="2016"/>
            <w:shd w:fill="F5F5FA" w:val="clear"/>
          </w:tcPr>
          <w:p>
            <w:r/>
            <w:r>
              <w:rPr>
                <w:rFonts w:ascii="Arial" w:hAnsi="Arial"/>
                <w:color w:val="111111"/>
                <w:sz w:val="18"/>
              </w:rPr>
              <w:t>GROWING</w:t>
            </w:r>
          </w:p>
        </w:tc>
        <w:tc>
          <w:tcPr>
            <w:tcW w:type="dxa" w:w="1080"/>
            <w:shd w:fill="F5F5FA" w:val="clear"/>
          </w:tcPr>
          <w:p>
            <w:r/>
            <w:r>
              <w:rPr>
                <w:rFonts w:ascii="Arial" w:hAnsi="Arial"/>
                <w:color w:val="111111"/>
                <w:sz w:val="18"/>
              </w:rPr>
              <w:t>27</w:t>
            </w:r>
          </w:p>
        </w:tc>
      </w:tr>
      <w:tr>
        <w:tc>
          <w:tcPr>
            <w:tcW w:type="dxa" w:w="2592"/>
          </w:tcPr>
          <w:p>
            <w:r/>
            <w:r>
              <w:rPr>
                <w:rFonts w:ascii="Arial" w:hAnsi="Arial"/>
                <w:color w:val="111111"/>
                <w:sz w:val="18"/>
              </w:rPr>
              <w:t>Catch</w:t>
            </w:r>
          </w:p>
        </w:tc>
        <w:tc>
          <w:tcPr>
            <w:tcW w:type="dxa" w:w="1728"/>
          </w:tcPr>
          <w:p>
            <w:r/>
            <w:r>
              <w:rPr>
                <w:rFonts w:ascii="Arial" w:hAnsi="Arial"/>
                <w:color w:val="111111"/>
                <w:sz w:val="18"/>
              </w:rPr>
              <w:t>5,130</w:t>
            </w:r>
          </w:p>
        </w:tc>
        <w:tc>
          <w:tcPr>
            <w:tcW w:type="dxa" w:w="1872"/>
          </w:tcPr>
          <w:p>
            <w:r/>
            <w:r>
              <w:rPr>
                <w:rFonts w:ascii="Arial" w:hAnsi="Arial"/>
                <w:color w:val="111111"/>
                <w:sz w:val="18"/>
              </w:rPr>
              <w:t>2.8</w:t>
            </w:r>
          </w:p>
        </w:tc>
        <w:tc>
          <w:tcPr>
            <w:tcW w:type="dxa" w:w="2016"/>
          </w:tcPr>
          <w:p>
            <w:r/>
            <w:r>
              <w:rPr>
                <w:rFonts w:ascii="Arial" w:hAnsi="Arial"/>
                <w:color w:val="111111"/>
                <w:sz w:val="18"/>
              </w:rPr>
              <w:t>GROWING</w:t>
            </w:r>
          </w:p>
        </w:tc>
        <w:tc>
          <w:tcPr>
            <w:tcW w:type="dxa" w:w="1080"/>
          </w:tcPr>
          <w:p>
            <w:r/>
            <w:r>
              <w:rPr>
                <w:rFonts w:ascii="Arial" w:hAnsi="Arial"/>
                <w:color w:val="111111"/>
                <w:sz w:val="18"/>
              </w:rPr>
              <w:t>8</w:t>
            </w:r>
          </w:p>
        </w:tc>
      </w:tr>
      <w:tr>
        <w:tc>
          <w:tcPr>
            <w:tcW w:type="dxa" w:w="2592"/>
            <w:shd w:fill="F5F5FA" w:val="clear"/>
          </w:tcPr>
          <w:p>
            <w:r/>
            <w:r>
              <w:rPr>
                <w:rFonts w:ascii="Arial" w:hAnsi="Arial"/>
                <w:color w:val="111111"/>
                <w:sz w:val="18"/>
              </w:rPr>
              <w:t>Ezra Collective</w:t>
            </w:r>
          </w:p>
        </w:tc>
        <w:tc>
          <w:tcPr>
            <w:tcW w:type="dxa" w:w="1728"/>
            <w:shd w:fill="F5F5FA" w:val="clear"/>
          </w:tcPr>
          <w:p>
            <w:r/>
            <w:r>
              <w:rPr>
                <w:rFonts w:ascii="Arial" w:hAnsi="Arial"/>
                <w:color w:val="111111"/>
                <w:sz w:val="18"/>
              </w:rPr>
              <w:t>67.1K</w:t>
            </w:r>
          </w:p>
        </w:tc>
        <w:tc>
          <w:tcPr>
            <w:tcW w:type="dxa" w:w="1872"/>
            <w:shd w:fill="F5F5FA" w:val="clear"/>
          </w:tcPr>
          <w:p>
            <w:r/>
            <w:r>
              <w:rPr>
                <w:rFonts w:ascii="Arial" w:hAnsi="Arial"/>
                <w:color w:val="111111"/>
                <w:sz w:val="18"/>
              </w:rPr>
              <w:t>2.8</w:t>
            </w:r>
          </w:p>
        </w:tc>
        <w:tc>
          <w:tcPr>
            <w:tcW w:type="dxa" w:w="2016"/>
            <w:shd w:fill="F5F5FA" w:val="clear"/>
          </w:tcPr>
          <w:p>
            <w:r/>
            <w:r>
              <w:rPr>
                <w:rFonts w:ascii="Arial" w:hAnsi="Arial"/>
                <w:color w:val="111111"/>
                <w:sz w:val="18"/>
              </w:rPr>
              <w:t>GROWING</w:t>
            </w:r>
          </w:p>
        </w:tc>
        <w:tc>
          <w:tcPr>
            <w:tcW w:type="dxa" w:w="1080"/>
            <w:shd w:fill="F5F5FA" w:val="clear"/>
          </w:tcPr>
          <w:p>
            <w:r/>
            <w:r>
              <w:rPr>
                <w:rFonts w:ascii="Arial" w:hAnsi="Arial"/>
                <w:color w:val="111111"/>
                <w:sz w:val="18"/>
              </w:rPr>
              <w:t>8</w:t>
            </w:r>
          </w:p>
        </w:tc>
      </w:tr>
      <w:tr>
        <w:tc>
          <w:tcPr>
            <w:tcW w:type="dxa" w:w="2592"/>
          </w:tcPr>
          <w:p>
            <w:r/>
            <w:r>
              <w:rPr>
                <w:rFonts w:ascii="Arial" w:hAnsi="Arial"/>
                <w:color w:val="111111"/>
                <w:sz w:val="18"/>
              </w:rPr>
              <w:t>LAZARO</w:t>
            </w:r>
          </w:p>
        </w:tc>
        <w:tc>
          <w:tcPr>
            <w:tcW w:type="dxa" w:w="1728"/>
          </w:tcPr>
          <w:p>
            <w:r/>
            <w:r>
              <w:rPr>
                <w:rFonts w:ascii="Arial" w:hAnsi="Arial"/>
                <w:color w:val="111111"/>
                <w:sz w:val="18"/>
              </w:rPr>
              <w:t>1.2M</w:t>
            </w:r>
          </w:p>
        </w:tc>
        <w:tc>
          <w:tcPr>
            <w:tcW w:type="dxa" w:w="1872"/>
          </w:tcPr>
          <w:p>
            <w:r/>
            <w:r>
              <w:rPr>
                <w:rFonts w:ascii="Arial" w:hAnsi="Arial"/>
                <w:color w:val="111111"/>
                <w:sz w:val="18"/>
              </w:rPr>
              <w:t>2.2</w:t>
            </w:r>
          </w:p>
        </w:tc>
        <w:tc>
          <w:tcPr>
            <w:tcW w:type="dxa" w:w="2016"/>
          </w:tcPr>
          <w:p>
            <w:r/>
            <w:r>
              <w:rPr>
                <w:rFonts w:ascii="Arial" w:hAnsi="Arial"/>
                <w:color w:val="111111"/>
                <w:sz w:val="18"/>
              </w:rPr>
              <w:t>GROWING</w:t>
            </w:r>
          </w:p>
        </w:tc>
        <w:tc>
          <w:tcPr>
            <w:tcW w:type="dxa" w:w="1080"/>
          </w:tcPr>
          <w:p>
            <w:r/>
            <w:r>
              <w:rPr>
                <w:rFonts w:ascii="Arial" w:hAnsi="Arial"/>
                <w:color w:val="111111"/>
                <w:sz w:val="18"/>
              </w:rPr>
              <w:t>6</w:t>
            </w:r>
          </w:p>
        </w:tc>
      </w:tr>
      <w:tr>
        <w:tc>
          <w:tcPr>
            <w:tcW w:type="dxa" w:w="2592"/>
            <w:shd w:fill="F5F5FA" w:val="clear"/>
          </w:tcPr>
          <w:p>
            <w:r/>
            <w:r>
              <w:rPr>
                <w:rFonts w:ascii="Arial" w:hAnsi="Arial"/>
                <w:color w:val="111111"/>
                <w:sz w:val="18"/>
              </w:rPr>
              <w:t>Lukas Graham</w:t>
            </w:r>
          </w:p>
        </w:tc>
        <w:tc>
          <w:tcPr>
            <w:tcW w:type="dxa" w:w="1728"/>
            <w:shd w:fill="F5F5FA" w:val="clear"/>
          </w:tcPr>
          <w:p>
            <w:r/>
            <w:r>
              <w:rPr>
                <w:rFonts w:ascii="Arial" w:hAnsi="Arial"/>
                <w:color w:val="111111"/>
                <w:sz w:val="18"/>
              </w:rPr>
              <w:t>5.78M</w:t>
            </w:r>
          </w:p>
        </w:tc>
        <w:tc>
          <w:tcPr>
            <w:tcW w:type="dxa" w:w="1872"/>
            <w:shd w:fill="F5F5FA" w:val="clear"/>
          </w:tcPr>
          <w:p>
            <w:r/>
            <w:r>
              <w:rPr>
                <w:rFonts w:ascii="Arial" w:hAnsi="Arial"/>
                <w:color w:val="111111"/>
                <w:sz w:val="18"/>
              </w:rPr>
              <w:t>2.0</w:t>
            </w:r>
          </w:p>
        </w:tc>
        <w:tc>
          <w:tcPr>
            <w:tcW w:type="dxa" w:w="2016"/>
            <w:shd w:fill="F5F5FA" w:val="clear"/>
          </w:tcPr>
          <w:p>
            <w:r/>
            <w:r>
              <w:rPr>
                <w:rFonts w:ascii="Arial" w:hAnsi="Arial"/>
                <w:color w:val="111111"/>
                <w:sz w:val="18"/>
              </w:rPr>
              <w:t>GROWING</w:t>
            </w:r>
          </w:p>
        </w:tc>
        <w:tc>
          <w:tcPr>
            <w:tcW w:type="dxa" w:w="1080"/>
            <w:shd w:fill="F5F5FA" w:val="clear"/>
          </w:tcPr>
          <w:p>
            <w:r/>
            <w:r>
              <w:rPr>
                <w:rFonts w:ascii="Arial" w:hAnsi="Arial"/>
                <w:color w:val="111111"/>
                <w:sz w:val="18"/>
              </w:rPr>
              <w:t>11</w:t>
            </w:r>
          </w:p>
        </w:tc>
      </w:tr>
      <w:tr>
        <w:tc>
          <w:tcPr>
            <w:tcW w:type="dxa" w:w="2592"/>
          </w:tcPr>
          <w:p>
            <w:r/>
            <w:r>
              <w:rPr>
                <w:rFonts w:ascii="Arial" w:hAnsi="Arial"/>
                <w:color w:val="111111"/>
                <w:sz w:val="18"/>
              </w:rPr>
              <w:t>Sofiane Pamart</w:t>
            </w:r>
          </w:p>
        </w:tc>
        <w:tc>
          <w:tcPr>
            <w:tcW w:type="dxa" w:w="1728"/>
          </w:tcPr>
          <w:p>
            <w:r/>
            <w:r>
              <w:rPr>
                <w:rFonts w:ascii="Arial" w:hAnsi="Arial"/>
                <w:color w:val="111111"/>
                <w:sz w:val="18"/>
              </w:rPr>
              <w:t>172K</w:t>
            </w:r>
          </w:p>
        </w:tc>
        <w:tc>
          <w:tcPr>
            <w:tcW w:type="dxa" w:w="1872"/>
          </w:tcPr>
          <w:p>
            <w:r/>
            <w:r>
              <w:rPr>
                <w:rFonts w:ascii="Arial" w:hAnsi="Arial"/>
                <w:color w:val="111111"/>
                <w:sz w:val="18"/>
              </w:rPr>
              <w:t>1.4</w:t>
            </w:r>
          </w:p>
        </w:tc>
        <w:tc>
          <w:tcPr>
            <w:tcW w:type="dxa" w:w="2016"/>
          </w:tcPr>
          <w:p>
            <w:r/>
            <w:r>
              <w:rPr>
                <w:rFonts w:ascii="Arial" w:hAnsi="Arial"/>
                <w:color w:val="111111"/>
                <w:sz w:val="18"/>
              </w:rPr>
              <w:t>GROWING</w:t>
            </w:r>
          </w:p>
        </w:tc>
        <w:tc>
          <w:tcPr>
            <w:tcW w:type="dxa" w:w="1080"/>
          </w:tcPr>
          <w:p>
            <w:r/>
            <w:r>
              <w:rPr>
                <w:rFonts w:ascii="Arial" w:hAnsi="Arial"/>
                <w:color w:val="111111"/>
                <w:sz w:val="18"/>
              </w:rPr>
              <w:t>20</w:t>
            </w:r>
          </w:p>
        </w:tc>
      </w:tr>
    </w:tbl>
    <w:p>
      <w:pPr>
        <w:spacing w:before="120" w:after="0"/>
      </w:pPr>
    </w:p>
    <w:p>
      <w:pPr>
        <w:spacing w:before="60" w:after="60"/>
      </w:pPr>
      <w:r>
        <w:rPr>
          <w:rFonts w:ascii="Arial" w:hAnsi="Arial"/>
          <w:b w:val="0"/>
          <w:i w:val="0"/>
          <w:sz w:val="21"/>
        </w:rPr>
        <w:t>The top conversion rates are almost entirely concentrated among channels under 10,000 subscribers. The pattern holds across both managed and market data — in the market benchmark, Date of Birth (39.7K subs) shows 194.3 subs/1kViews and bed (3,930 subs) shows 31.8.</w:t>
      </w:r>
    </w:p>
    <w:p>
      <w:pPr>
        <w:spacing w:before="80" w:after="0"/>
      </w:pPr>
    </w:p>
    <w:p>
      <w:pPr>
        <w:spacing w:before="60" w:after="60"/>
      </w:pPr>
      <w:r>
        <w:rPr>
          <w:rFonts w:ascii="Arial" w:hAnsi="Arial"/>
          <w:b w:val="0"/>
          <w:i w:val="0"/>
          <w:sz w:val="21"/>
        </w:rPr>
        <w:t>BANGTANTV at 3.5 subs/1kViews is a notable exception: a channel with 84.8 million subscribers still converting at a rate comparable to channels 10,000x smaller. This likely reflects the exceptional engagement of the BTS fanbase rather than a generalisable pattern.</w:t>
      </w:r>
    </w:p>
    <w:p>
      <w:pPr>
        <w:spacing w:before="80" w:after="80"/>
        <w:ind w:left="360"/>
        <w:pBdr>
          <w:left w:val="single" w:sz="12" w:space="8" w:color="F7B731"/>
        </w:pBdr>
      </w:pPr>
      <w:r>
        <w:rPr>
          <w:rFonts w:ascii="Arial" w:hAnsi="Arial"/>
          <w:i/>
          <w:color w:val="333344"/>
          <w:sz w:val="20"/>
        </w:rPr>
        <w:t>Caveat: High conversion rates at small scale are mathematically expected — a channel with 500 subscribers gaining 87 in a week shows a 30.3 rate that would be impossible to sustain at scale. These rates indicate opportunity, not a benchmark.</w:t>
      </w:r>
    </w:p>
    <w:p>
      <w:r>
        <w:br w:type="page"/>
      </w:r>
    </w:p>
    <w:p>
      <w:pPr>
        <w:pStyle w:val="Heading1"/>
      </w:pPr>
      <w:r>
        <w:t>Section 3: Case Studies</w:t>
      </w:r>
    </w:p>
    <w:p>
      <w:pPr>
        <w:spacing w:before="60" w:after="60"/>
      </w:pPr>
      <w:r>
        <w:rPr>
          <w:rFonts w:ascii="Arial" w:hAnsi="Arial"/>
          <w:b w:val="0"/>
          <w:i w:val="0"/>
          <w:sz w:val="21"/>
        </w:rPr>
        <w:t>These case studies are selected because they represent clear, data-supported patterns — not because they tell a convenient story. Each illustrates a specific dynamic observed in the data.</w:t>
      </w:r>
    </w:p>
    <w:p>
      <w:pPr>
        <w:spacing w:before="160" w:after="0"/>
      </w:pPr>
    </w:p>
    <w:p>
      <w:pPr>
        <w:pStyle w:val="Heading2"/>
      </w:pPr>
      <w:r>
        <w:t>Lukas Graham — The Steady Multiformat Grower</w:t>
      </w:r>
    </w:p>
    <w:tbl>
      <w:tblPr>
        <w:tblW w:type="auto" w:w="0"/>
        <w:jc w:val="left"/>
        <w:tblLook w:firstColumn="1" w:firstRow="1" w:lastColumn="0" w:lastRow="0" w:noHBand="0" w:noVBand="1" w:val="04A0"/>
      </w:tblPr>
      <w:tblGrid>
        <w:gridCol w:w="4680"/>
        <w:gridCol w:w="4680"/>
      </w:tblGrid>
      <w:tr>
        <w:tc>
          <w:tcPr>
            <w:tcW w:type="dxa" w:w="3600"/>
            <w:shd w:fill="0F0F1A" w:val="clear"/>
          </w:tcPr>
          <w:p>
            <w:r/>
            <w:r>
              <w:rPr>
                <w:rFonts w:ascii="Arial" w:hAnsi="Arial"/>
                <w:b/>
                <w:color w:val="FFFFFF"/>
                <w:sz w:val="18"/>
              </w:rPr>
              <w:t>Metric</w:t>
            </w:r>
          </w:p>
        </w:tc>
        <w:tc>
          <w:tcPr>
            <w:tcW w:type="dxa" w:w="5760"/>
            <w:shd w:fill="0F0F1A" w:val="clear"/>
          </w:tcPr>
          <w:p>
            <w:r/>
            <w:r>
              <w:rPr>
                <w:rFonts w:ascii="Arial" w:hAnsi="Arial"/>
                <w:b/>
                <w:color w:val="FFFFFF"/>
                <w:sz w:val="18"/>
              </w:rPr>
              <w:t>Value</w:t>
            </w:r>
          </w:p>
        </w:tc>
      </w:tr>
      <w:tr>
        <w:tc>
          <w:tcPr>
            <w:tcW w:type="dxa" w:w="3600"/>
            <w:shd w:fill="F5F5FA" w:val="clear"/>
          </w:tcPr>
          <w:p>
            <w:r/>
            <w:r>
              <w:rPr>
                <w:rFonts w:ascii="Arial" w:hAnsi="Arial"/>
                <w:color w:val="111111"/>
                <w:sz w:val="18"/>
              </w:rPr>
              <w:t>Subscribers</w:t>
            </w:r>
          </w:p>
        </w:tc>
        <w:tc>
          <w:tcPr>
            <w:tcW w:type="dxa" w:w="5760"/>
            <w:shd w:fill="F5F5FA" w:val="clear"/>
          </w:tcPr>
          <w:p>
            <w:r/>
            <w:r>
              <w:rPr>
                <w:rFonts w:ascii="Arial" w:hAnsi="Arial"/>
                <w:color w:val="111111"/>
                <w:sz w:val="18"/>
              </w:rPr>
              <w:t>5.78M</w:t>
            </w:r>
          </w:p>
        </w:tc>
      </w:tr>
      <w:tr>
        <w:tc>
          <w:tcPr>
            <w:tcW w:type="dxa" w:w="3600"/>
          </w:tcPr>
          <w:p>
            <w:r/>
            <w:r>
              <w:rPr>
                <w:rFonts w:ascii="Arial" w:hAnsi="Arial"/>
                <w:color w:val="111111"/>
                <w:sz w:val="18"/>
              </w:rPr>
              <w:t>Views/Week</w:t>
            </w:r>
          </w:p>
        </w:tc>
        <w:tc>
          <w:tcPr>
            <w:tcW w:type="dxa" w:w="5760"/>
          </w:tcPr>
          <w:p>
            <w:r/>
            <w:r>
              <w:rPr>
                <w:rFonts w:ascii="Arial" w:hAnsi="Arial"/>
                <w:color w:val="111111"/>
                <w:sz w:val="18"/>
              </w:rPr>
              <w:t>5.02M</w:t>
            </w:r>
          </w:p>
        </w:tc>
      </w:tr>
      <w:tr>
        <w:tc>
          <w:tcPr>
            <w:tcW w:type="dxa" w:w="3600"/>
            <w:shd w:fill="F5F5FA" w:val="clear"/>
          </w:tcPr>
          <w:p>
            <w:r/>
            <w:r>
              <w:rPr>
                <w:rFonts w:ascii="Arial" w:hAnsi="Arial"/>
                <w:color w:val="111111"/>
                <w:sz w:val="18"/>
              </w:rPr>
              <w:t>Views WoW</w:t>
            </w:r>
          </w:p>
        </w:tc>
        <w:tc>
          <w:tcPr>
            <w:tcW w:type="dxa" w:w="5760"/>
            <w:shd w:fill="F5F5FA" w:val="clear"/>
          </w:tcPr>
          <w:p>
            <w:r/>
            <w:r>
              <w:rPr>
                <w:rFonts w:ascii="Arial" w:hAnsi="Arial"/>
                <w:color w:val="111111"/>
                <w:sz w:val="18"/>
              </w:rPr>
              <w:t>+6%</w:t>
            </w:r>
          </w:p>
        </w:tc>
      </w:tr>
      <w:tr>
        <w:tc>
          <w:tcPr>
            <w:tcW w:type="dxa" w:w="3600"/>
          </w:tcPr>
          <w:p>
            <w:r/>
            <w:r>
              <w:rPr>
                <w:rFonts w:ascii="Arial" w:hAnsi="Arial"/>
                <w:color w:val="111111"/>
                <w:sz w:val="18"/>
              </w:rPr>
              <w:t>Subs Gained/Week</w:t>
            </w:r>
          </w:p>
        </w:tc>
        <w:tc>
          <w:tcPr>
            <w:tcW w:type="dxa" w:w="5760"/>
          </w:tcPr>
          <w:p>
            <w:r/>
            <w:r>
              <w:rPr>
                <w:rFonts w:ascii="Arial" w:hAnsi="Arial"/>
                <w:color w:val="111111"/>
                <w:sz w:val="18"/>
              </w:rPr>
              <w:t>10,000</w:t>
            </w:r>
          </w:p>
        </w:tc>
      </w:tr>
      <w:tr>
        <w:tc>
          <w:tcPr>
            <w:tcW w:type="dxa" w:w="3600"/>
            <w:shd w:fill="F5F5FA" w:val="clear"/>
          </w:tcPr>
          <w:p>
            <w:r/>
            <w:r>
              <w:rPr>
                <w:rFonts w:ascii="Arial" w:hAnsi="Arial"/>
                <w:color w:val="111111"/>
                <w:sz w:val="18"/>
              </w:rPr>
              <w:t>Subs/1kViews</w:t>
            </w:r>
          </w:p>
        </w:tc>
        <w:tc>
          <w:tcPr>
            <w:tcW w:type="dxa" w:w="5760"/>
            <w:shd w:fill="F5F5FA" w:val="clear"/>
          </w:tcPr>
          <w:p>
            <w:r/>
            <w:r>
              <w:rPr>
                <w:rFonts w:ascii="Arial" w:hAnsi="Arial"/>
                <w:color w:val="111111"/>
                <w:sz w:val="18"/>
              </w:rPr>
              <w:t>2.0</w:t>
            </w:r>
          </w:p>
        </w:tc>
      </w:tr>
      <w:tr>
        <w:tc>
          <w:tcPr>
            <w:tcW w:type="dxa" w:w="3600"/>
          </w:tcPr>
          <w:p>
            <w:r/>
            <w:r>
              <w:rPr>
                <w:rFonts w:ascii="Arial" w:hAnsi="Arial"/>
                <w:color w:val="111111"/>
                <w:sz w:val="18"/>
              </w:rPr>
              <w:t>Uploads/30d</w:t>
            </w:r>
          </w:p>
        </w:tc>
        <w:tc>
          <w:tcPr>
            <w:tcW w:type="dxa" w:w="5760"/>
          </w:tcPr>
          <w:p>
            <w:r/>
            <w:r>
              <w:rPr>
                <w:rFonts w:ascii="Arial" w:hAnsi="Arial"/>
                <w:color w:val="111111"/>
                <w:sz w:val="18"/>
              </w:rPr>
              <w:t>11 (4 Shorts + 7 longform)</w:t>
            </w:r>
          </w:p>
        </w:tc>
      </w:tr>
      <w:tr>
        <w:tc>
          <w:tcPr>
            <w:tcW w:type="dxa" w:w="3600"/>
            <w:shd w:fill="F5F5FA" w:val="clear"/>
          </w:tcPr>
          <w:p>
            <w:r/>
            <w:r>
              <w:rPr>
                <w:rFonts w:ascii="Arial" w:hAnsi="Arial"/>
                <w:color w:val="111111"/>
                <w:sz w:val="18"/>
              </w:rPr>
              <w:t>Signal</w:t>
            </w:r>
          </w:p>
        </w:tc>
        <w:tc>
          <w:tcPr>
            <w:tcW w:type="dxa" w:w="5760"/>
            <w:shd w:fill="F5F5FA" w:val="clear"/>
          </w:tcPr>
          <w:p>
            <w:r/>
            <w:r>
              <w:rPr>
                <w:rFonts w:ascii="Arial" w:hAnsi="Arial"/>
                <w:color w:val="111111"/>
                <w:sz w:val="18"/>
              </w:rPr>
              <w:t>GROWING</w:t>
            </w:r>
          </w:p>
        </w:tc>
      </w:tr>
      <w:tr>
        <w:tc>
          <w:tcPr>
            <w:tcW w:type="dxa" w:w="3600"/>
          </w:tcPr>
          <w:p>
            <w:r/>
            <w:r>
              <w:rPr>
                <w:rFonts w:ascii="Arial" w:hAnsi="Arial"/>
                <w:color w:val="111111"/>
                <w:sz w:val="18"/>
              </w:rPr>
              <w:t>Cadence</w:t>
            </w:r>
          </w:p>
        </w:tc>
        <w:tc>
          <w:tcPr>
            <w:tcW w:type="dxa" w:w="5760"/>
          </w:tcPr>
          <w:p>
            <w:r/>
            <w:r>
              <w:rPr>
                <w:rFonts w:ascii="Arial" w:hAnsi="Arial"/>
                <w:color w:val="111111"/>
                <w:sz w:val="18"/>
              </w:rPr>
              <w:t>Strong</w:t>
            </w:r>
          </w:p>
        </w:tc>
      </w:tr>
    </w:tbl>
    <w:p>
      <w:pPr>
        <w:spacing w:before="120" w:after="0"/>
      </w:pPr>
    </w:p>
    <w:p>
      <w:pPr>
        <w:spacing w:before="60" w:after="60"/>
      </w:pPr>
      <w:r>
        <w:rPr>
          <w:rFonts w:ascii="Arial" w:hAnsi="Arial"/>
          <w:b w:val="0"/>
          <w:i w:val="0"/>
          <w:sz w:val="21"/>
        </w:rPr>
        <w:t>Lukas Graham is the most consistently positive signal in the managed roster. With a 4:7 Shorts-to-longform ratio, stable views growth (+6% WoW), and a 2.0 subs/1kViews conversion rate at 5.78M subscribers, this channel demonstrates sustained growth without volatility. The editorial system identifies Lukas Graham as one of the “strongest campaign ecosystems” alongside mary in the junkyard and Lily Lyons.</w:t>
      </w:r>
    </w:p>
    <w:p>
      <w:pPr>
        <w:spacing w:before="60" w:after="60"/>
      </w:pPr>
      <w:r>
        <w:rPr>
          <w:rFonts w:ascii="Arial" w:hAnsi="Arial"/>
          <w:b/>
          <w:i w:val="0"/>
          <w:sz w:val="21"/>
        </w:rPr>
        <w:t xml:space="preserve">What makes this notable: </w:t>
      </w:r>
      <w:r>
        <w:rPr>
          <w:rFonts w:ascii="Arial" w:hAnsi="Arial"/>
          <w:b w:val="0"/>
          <w:i w:val="0"/>
          <w:sz w:val="21"/>
        </w:rPr>
        <w:t>Many channels with 11+ uploads per month show declining views or WEAK_CONVERSION. Lukas Graham maintains both view stability and subscriber conversion. The longform-heavy mix correlates with higher conversion rates seen across the dataset, though causation is not established.</w:t>
      </w:r>
    </w:p>
    <w:p>
      <w:pPr>
        <w:spacing w:before="160" w:after="0"/>
      </w:pPr>
    </w:p>
    <w:p>
      <w:pPr>
        <w:pStyle w:val="Heading2"/>
      </w:pPr>
      <w:r>
        <w:t>Bad Omens — The Catalogue Power Channel</w:t>
      </w:r>
    </w:p>
    <w:tbl>
      <w:tblPr>
        <w:tblW w:type="auto" w:w="0"/>
        <w:jc w:val="left"/>
        <w:tblLook w:firstColumn="1" w:firstRow="1" w:lastColumn="0" w:lastRow="0" w:noHBand="0" w:noVBand="1" w:val="04A0"/>
      </w:tblPr>
      <w:tblGrid>
        <w:gridCol w:w="4680"/>
        <w:gridCol w:w="4680"/>
      </w:tblGrid>
      <w:tr>
        <w:tc>
          <w:tcPr>
            <w:tcW w:type="dxa" w:w="3600"/>
            <w:shd w:fill="0F0F1A" w:val="clear"/>
          </w:tcPr>
          <w:p>
            <w:r/>
            <w:r>
              <w:rPr>
                <w:rFonts w:ascii="Arial" w:hAnsi="Arial"/>
                <w:b/>
                <w:color w:val="FFFFFF"/>
                <w:sz w:val="18"/>
              </w:rPr>
              <w:t>Metric</w:t>
            </w:r>
          </w:p>
        </w:tc>
        <w:tc>
          <w:tcPr>
            <w:tcW w:type="dxa" w:w="5760"/>
            <w:shd w:fill="0F0F1A" w:val="clear"/>
          </w:tcPr>
          <w:p>
            <w:r/>
            <w:r>
              <w:rPr>
                <w:rFonts w:ascii="Arial" w:hAnsi="Arial"/>
                <w:b/>
                <w:color w:val="FFFFFF"/>
                <w:sz w:val="18"/>
              </w:rPr>
              <w:t>Value</w:t>
            </w:r>
          </w:p>
        </w:tc>
      </w:tr>
      <w:tr>
        <w:tc>
          <w:tcPr>
            <w:tcW w:type="dxa" w:w="3600"/>
            <w:shd w:fill="F5F5FA" w:val="clear"/>
          </w:tcPr>
          <w:p>
            <w:r/>
            <w:r>
              <w:rPr>
                <w:rFonts w:ascii="Arial" w:hAnsi="Arial"/>
                <w:color w:val="111111"/>
                <w:sz w:val="18"/>
              </w:rPr>
              <w:t>Subscribers</w:t>
            </w:r>
          </w:p>
        </w:tc>
        <w:tc>
          <w:tcPr>
            <w:tcW w:type="dxa" w:w="5760"/>
            <w:shd w:fill="F5F5FA" w:val="clear"/>
          </w:tcPr>
          <w:p>
            <w:r/>
            <w:r>
              <w:rPr>
                <w:rFonts w:ascii="Arial" w:hAnsi="Arial"/>
                <w:color w:val="111111"/>
                <w:sz w:val="18"/>
              </w:rPr>
              <w:t>487K</w:t>
            </w:r>
          </w:p>
        </w:tc>
      </w:tr>
      <w:tr>
        <w:tc>
          <w:tcPr>
            <w:tcW w:type="dxa" w:w="3600"/>
          </w:tcPr>
          <w:p>
            <w:r/>
            <w:r>
              <w:rPr>
                <w:rFonts w:ascii="Arial" w:hAnsi="Arial"/>
                <w:color w:val="111111"/>
                <w:sz w:val="18"/>
              </w:rPr>
              <w:t>Views/Week</w:t>
            </w:r>
          </w:p>
        </w:tc>
        <w:tc>
          <w:tcPr>
            <w:tcW w:type="dxa" w:w="5760"/>
          </w:tcPr>
          <w:p>
            <w:r/>
            <w:r>
              <w:rPr>
                <w:rFonts w:ascii="Arial" w:hAnsi="Arial"/>
                <w:color w:val="111111"/>
                <w:sz w:val="18"/>
              </w:rPr>
              <w:t>3.54M</w:t>
            </w:r>
          </w:p>
        </w:tc>
      </w:tr>
      <w:tr>
        <w:tc>
          <w:tcPr>
            <w:tcW w:type="dxa" w:w="3600"/>
            <w:shd w:fill="F5F5FA" w:val="clear"/>
          </w:tcPr>
          <w:p>
            <w:r/>
            <w:r>
              <w:rPr>
                <w:rFonts w:ascii="Arial" w:hAnsi="Arial"/>
                <w:color w:val="111111"/>
                <w:sz w:val="18"/>
              </w:rPr>
              <w:t>Views WoW</w:t>
            </w:r>
          </w:p>
        </w:tc>
        <w:tc>
          <w:tcPr>
            <w:tcW w:type="dxa" w:w="5760"/>
            <w:shd w:fill="F5F5FA" w:val="clear"/>
          </w:tcPr>
          <w:p>
            <w:r/>
            <w:r>
              <w:rPr>
                <w:rFonts w:ascii="Arial" w:hAnsi="Arial"/>
                <w:color w:val="111111"/>
                <w:sz w:val="18"/>
              </w:rPr>
              <w:t>+0.5%</w:t>
            </w:r>
          </w:p>
        </w:tc>
      </w:tr>
      <w:tr>
        <w:tc>
          <w:tcPr>
            <w:tcW w:type="dxa" w:w="3600"/>
          </w:tcPr>
          <w:p>
            <w:r/>
            <w:r>
              <w:rPr>
                <w:rFonts w:ascii="Arial" w:hAnsi="Arial"/>
                <w:color w:val="111111"/>
                <w:sz w:val="18"/>
              </w:rPr>
              <w:t>Subs Gained/Week</w:t>
            </w:r>
          </w:p>
        </w:tc>
        <w:tc>
          <w:tcPr>
            <w:tcW w:type="dxa" w:w="5760"/>
          </w:tcPr>
          <w:p>
            <w:r/>
            <w:r>
              <w:rPr>
                <w:rFonts w:ascii="Arial" w:hAnsi="Arial"/>
                <w:color w:val="111111"/>
                <w:sz w:val="18"/>
              </w:rPr>
              <w:t>~2,000</w:t>
            </w:r>
          </w:p>
        </w:tc>
      </w:tr>
      <w:tr>
        <w:tc>
          <w:tcPr>
            <w:tcW w:type="dxa" w:w="3600"/>
            <w:shd w:fill="F5F5FA" w:val="clear"/>
          </w:tcPr>
          <w:p>
            <w:r/>
            <w:r>
              <w:rPr>
                <w:rFonts w:ascii="Arial" w:hAnsi="Arial"/>
                <w:color w:val="111111"/>
                <w:sz w:val="18"/>
              </w:rPr>
              <w:t>Subs/1kViews</w:t>
            </w:r>
          </w:p>
        </w:tc>
        <w:tc>
          <w:tcPr>
            <w:tcW w:type="dxa" w:w="5760"/>
            <w:shd w:fill="F5F5FA" w:val="clear"/>
          </w:tcPr>
          <w:p>
            <w:r/>
            <w:r>
              <w:rPr>
                <w:rFonts w:ascii="Arial" w:hAnsi="Arial"/>
                <w:color w:val="111111"/>
                <w:sz w:val="18"/>
              </w:rPr>
              <w:t>0.6</w:t>
            </w:r>
          </w:p>
        </w:tc>
      </w:tr>
      <w:tr>
        <w:tc>
          <w:tcPr>
            <w:tcW w:type="dxa" w:w="3600"/>
          </w:tcPr>
          <w:p>
            <w:r/>
            <w:r>
              <w:rPr>
                <w:rFonts w:ascii="Arial" w:hAnsi="Arial"/>
                <w:color w:val="111111"/>
                <w:sz w:val="18"/>
              </w:rPr>
              <w:t>Uploads/30d</w:t>
            </w:r>
          </w:p>
        </w:tc>
        <w:tc>
          <w:tcPr>
            <w:tcW w:type="dxa" w:w="5760"/>
          </w:tcPr>
          <w:p>
            <w:r/>
            <w:r>
              <w:rPr>
                <w:rFonts w:ascii="Arial" w:hAnsi="Arial"/>
                <w:color w:val="111111"/>
                <w:sz w:val="18"/>
              </w:rPr>
              <w:t>0</w:t>
            </w:r>
          </w:p>
        </w:tc>
      </w:tr>
      <w:tr>
        <w:tc>
          <w:tcPr>
            <w:tcW w:type="dxa" w:w="3600"/>
            <w:shd w:fill="F5F5FA" w:val="clear"/>
          </w:tcPr>
          <w:p>
            <w:r/>
            <w:r>
              <w:rPr>
                <w:rFonts w:ascii="Arial" w:hAnsi="Arial"/>
                <w:color w:val="111111"/>
                <w:sz w:val="18"/>
              </w:rPr>
              <w:t>Last Upload</w:t>
            </w:r>
          </w:p>
        </w:tc>
        <w:tc>
          <w:tcPr>
            <w:tcW w:type="dxa" w:w="5760"/>
            <w:shd w:fill="F5F5FA" w:val="clear"/>
          </w:tcPr>
          <w:p>
            <w:r/>
            <w:r>
              <w:rPr>
                <w:rFonts w:ascii="Arial" w:hAnsi="Arial"/>
                <w:color w:val="111111"/>
                <w:sz w:val="18"/>
              </w:rPr>
              <w:t>118 days ago</w:t>
            </w:r>
          </w:p>
        </w:tc>
      </w:tr>
      <w:tr>
        <w:tc>
          <w:tcPr>
            <w:tcW w:type="dxa" w:w="3600"/>
          </w:tcPr>
          <w:p>
            <w:r/>
            <w:r>
              <w:rPr>
                <w:rFonts w:ascii="Arial" w:hAnsi="Arial"/>
                <w:color w:val="111111"/>
                <w:sz w:val="18"/>
              </w:rPr>
              <w:t>Signal</w:t>
            </w:r>
          </w:p>
        </w:tc>
        <w:tc>
          <w:tcPr>
            <w:tcW w:type="dxa" w:w="5760"/>
          </w:tcPr>
          <w:p>
            <w:r/>
            <w:r>
              <w:rPr>
                <w:rFonts w:ascii="Arial" w:hAnsi="Arial"/>
                <w:color w:val="111111"/>
                <w:sz w:val="18"/>
              </w:rPr>
              <w:t>COLD</w:t>
            </w:r>
          </w:p>
        </w:tc>
      </w:tr>
    </w:tbl>
    <w:p>
      <w:pPr>
        <w:spacing w:before="120" w:after="0"/>
      </w:pPr>
    </w:p>
    <w:p>
      <w:pPr>
        <w:spacing w:before="60" w:after="60"/>
      </w:pPr>
      <w:r>
        <w:rPr>
          <w:rFonts w:ascii="Arial" w:hAnsi="Arial"/>
          <w:b w:val="0"/>
          <w:i w:val="0"/>
          <w:sz w:val="21"/>
        </w:rPr>
        <w:t>Bad Omens has not uploaded in 118 days, yet generates more weekly views than most active managed channels. The channel pulls 3.54M views from catalogue content and still gains approximately 2,000 subscribers per week. This is the clearest example of latent audience demand in the dataset.</w:t>
      </w:r>
    </w:p>
    <w:p>
      <w:pPr>
        <w:spacing w:before="60" w:after="60"/>
      </w:pPr>
      <w:r>
        <w:rPr>
          <w:rFonts w:ascii="Arial" w:hAnsi="Arial"/>
          <w:b/>
          <w:i w:val="0"/>
          <w:sz w:val="21"/>
        </w:rPr>
        <w:t xml:space="preserve">What makes this notable: </w:t>
      </w:r>
      <w:r>
        <w:rPr>
          <w:rFonts w:ascii="Arial" w:hAnsi="Arial"/>
          <w:b w:val="0"/>
          <w:i w:val="0"/>
          <w:sz w:val="21"/>
        </w:rPr>
        <w:t>If a channel can gain 2,000 subscribers per week with zero activity, the potential upside of resuming even light upload activity is significant. The audience is already there — the algorithm is already distributing the catalogue. New content would likely receive amplified initial distribution.</w:t>
      </w:r>
    </w:p>
    <w:p>
      <w:pPr>
        <w:spacing w:before="80" w:after="80"/>
        <w:ind w:left="360"/>
        <w:pBdr>
          <w:left w:val="single" w:sz="12" w:space="8" w:color="F7B731"/>
        </w:pBdr>
      </w:pPr>
      <w:r>
        <w:rPr>
          <w:rFonts w:ascii="Arial" w:hAnsi="Arial"/>
          <w:i/>
          <w:color w:val="333344"/>
          <w:sz w:val="20"/>
        </w:rPr>
        <w:t>Caveat: We do not know whether Bad Omens’ catalogue views are stable, growing, or declining over time. A single snapshot cannot answer whether this represents steady-state demand or a slow decay.</w:t>
      </w:r>
    </w:p>
    <w:p>
      <w:pPr>
        <w:spacing w:before="160" w:after="0"/>
      </w:pPr>
    </w:p>
    <w:p>
      <w:pPr>
        <w:pStyle w:val="Heading2"/>
      </w:pPr>
      <w:r>
        <w:t>jo from school — The Early-Stage Conversion Machine</w:t>
      </w:r>
    </w:p>
    <w:tbl>
      <w:tblPr>
        <w:tblW w:type="auto" w:w="0"/>
        <w:jc w:val="left"/>
        <w:tblLook w:firstColumn="1" w:firstRow="1" w:lastColumn="0" w:lastRow="0" w:noHBand="0" w:noVBand="1" w:val="04A0"/>
      </w:tblPr>
      <w:tblGrid>
        <w:gridCol w:w="4680"/>
        <w:gridCol w:w="4680"/>
      </w:tblGrid>
      <w:tr>
        <w:tc>
          <w:tcPr>
            <w:tcW w:type="dxa" w:w="3600"/>
            <w:shd w:fill="0F0F1A" w:val="clear"/>
          </w:tcPr>
          <w:p>
            <w:r/>
            <w:r>
              <w:rPr>
                <w:rFonts w:ascii="Arial" w:hAnsi="Arial"/>
                <w:b/>
                <w:color w:val="FFFFFF"/>
                <w:sz w:val="18"/>
              </w:rPr>
              <w:t>Metric</w:t>
            </w:r>
          </w:p>
        </w:tc>
        <w:tc>
          <w:tcPr>
            <w:tcW w:type="dxa" w:w="5760"/>
            <w:shd w:fill="0F0F1A" w:val="clear"/>
          </w:tcPr>
          <w:p>
            <w:r/>
            <w:r>
              <w:rPr>
                <w:rFonts w:ascii="Arial" w:hAnsi="Arial"/>
                <w:b/>
                <w:color w:val="FFFFFF"/>
                <w:sz w:val="18"/>
              </w:rPr>
              <w:t>Value</w:t>
            </w:r>
          </w:p>
        </w:tc>
      </w:tr>
      <w:tr>
        <w:tc>
          <w:tcPr>
            <w:tcW w:type="dxa" w:w="3600"/>
            <w:shd w:fill="F5F5FA" w:val="clear"/>
          </w:tcPr>
          <w:p>
            <w:r/>
            <w:r>
              <w:rPr>
                <w:rFonts w:ascii="Arial" w:hAnsi="Arial"/>
                <w:color w:val="111111"/>
                <w:sz w:val="18"/>
              </w:rPr>
              <w:t>Subscribers</w:t>
            </w:r>
          </w:p>
        </w:tc>
        <w:tc>
          <w:tcPr>
            <w:tcW w:type="dxa" w:w="5760"/>
            <w:shd w:fill="F5F5FA" w:val="clear"/>
          </w:tcPr>
          <w:p>
            <w:r/>
            <w:r>
              <w:rPr>
                <w:rFonts w:ascii="Arial" w:hAnsi="Arial"/>
                <w:color w:val="111111"/>
                <w:sz w:val="18"/>
              </w:rPr>
              <w:t>513</w:t>
            </w:r>
          </w:p>
        </w:tc>
      </w:tr>
      <w:tr>
        <w:tc>
          <w:tcPr>
            <w:tcW w:type="dxa" w:w="3600"/>
          </w:tcPr>
          <w:p>
            <w:r/>
            <w:r>
              <w:rPr>
                <w:rFonts w:ascii="Arial" w:hAnsi="Arial"/>
                <w:color w:val="111111"/>
                <w:sz w:val="18"/>
              </w:rPr>
              <w:t>Views/Week</w:t>
            </w:r>
          </w:p>
        </w:tc>
        <w:tc>
          <w:tcPr>
            <w:tcW w:type="dxa" w:w="5760"/>
          </w:tcPr>
          <w:p>
            <w:r/>
            <w:r>
              <w:rPr>
                <w:rFonts w:ascii="Arial" w:hAnsi="Arial"/>
                <w:color w:val="111111"/>
                <w:sz w:val="18"/>
              </w:rPr>
              <w:t>2,875</w:t>
            </w:r>
          </w:p>
        </w:tc>
      </w:tr>
      <w:tr>
        <w:tc>
          <w:tcPr>
            <w:tcW w:type="dxa" w:w="3600"/>
            <w:shd w:fill="F5F5FA" w:val="clear"/>
          </w:tcPr>
          <w:p>
            <w:r/>
            <w:r>
              <w:rPr>
                <w:rFonts w:ascii="Arial" w:hAnsi="Arial"/>
                <w:color w:val="111111"/>
                <w:sz w:val="18"/>
              </w:rPr>
              <w:t>Views WoW</w:t>
            </w:r>
          </w:p>
        </w:tc>
        <w:tc>
          <w:tcPr>
            <w:tcW w:type="dxa" w:w="5760"/>
            <w:shd w:fill="F5F5FA" w:val="clear"/>
          </w:tcPr>
          <w:p>
            <w:r/>
            <w:r>
              <w:rPr>
                <w:rFonts w:ascii="Arial" w:hAnsi="Arial"/>
                <w:color w:val="111111"/>
                <w:sz w:val="18"/>
              </w:rPr>
              <w:t>+257%</w:t>
            </w:r>
          </w:p>
        </w:tc>
      </w:tr>
      <w:tr>
        <w:tc>
          <w:tcPr>
            <w:tcW w:type="dxa" w:w="3600"/>
          </w:tcPr>
          <w:p>
            <w:r/>
            <w:r>
              <w:rPr>
                <w:rFonts w:ascii="Arial" w:hAnsi="Arial"/>
                <w:color w:val="111111"/>
                <w:sz w:val="18"/>
              </w:rPr>
              <w:t>Subs Gained/Week</w:t>
            </w:r>
          </w:p>
        </w:tc>
        <w:tc>
          <w:tcPr>
            <w:tcW w:type="dxa" w:w="5760"/>
          </w:tcPr>
          <w:p>
            <w:r/>
            <w:r>
              <w:rPr>
                <w:rFonts w:ascii="Arial" w:hAnsi="Arial"/>
                <w:color w:val="111111"/>
                <w:sz w:val="18"/>
              </w:rPr>
              <w:t>87</w:t>
            </w:r>
          </w:p>
        </w:tc>
      </w:tr>
      <w:tr>
        <w:tc>
          <w:tcPr>
            <w:tcW w:type="dxa" w:w="3600"/>
            <w:shd w:fill="F5F5FA" w:val="clear"/>
          </w:tcPr>
          <w:p>
            <w:r/>
            <w:r>
              <w:rPr>
                <w:rFonts w:ascii="Arial" w:hAnsi="Arial"/>
                <w:color w:val="111111"/>
                <w:sz w:val="18"/>
              </w:rPr>
              <w:t>Subs/1kViews</w:t>
            </w:r>
          </w:p>
        </w:tc>
        <w:tc>
          <w:tcPr>
            <w:tcW w:type="dxa" w:w="5760"/>
            <w:shd w:fill="F5F5FA" w:val="clear"/>
          </w:tcPr>
          <w:p>
            <w:r/>
            <w:r>
              <w:rPr>
                <w:rFonts w:ascii="Arial" w:hAnsi="Arial"/>
                <w:color w:val="111111"/>
                <w:sz w:val="18"/>
              </w:rPr>
              <w:t>30.3</w:t>
            </w:r>
          </w:p>
        </w:tc>
      </w:tr>
      <w:tr>
        <w:tc>
          <w:tcPr>
            <w:tcW w:type="dxa" w:w="3600"/>
          </w:tcPr>
          <w:p>
            <w:r/>
            <w:r>
              <w:rPr>
                <w:rFonts w:ascii="Arial" w:hAnsi="Arial"/>
                <w:color w:val="111111"/>
                <w:sz w:val="18"/>
              </w:rPr>
              <w:t>Uploads/30d</w:t>
            </w:r>
          </w:p>
        </w:tc>
        <w:tc>
          <w:tcPr>
            <w:tcW w:type="dxa" w:w="5760"/>
          </w:tcPr>
          <w:p>
            <w:r/>
            <w:r>
              <w:rPr>
                <w:rFonts w:ascii="Arial" w:hAnsi="Arial"/>
                <w:color w:val="111111"/>
                <w:sz w:val="18"/>
              </w:rPr>
              <w:t>3 (2 Shorts + 1 longform)</w:t>
            </w:r>
          </w:p>
        </w:tc>
      </w:tr>
      <w:tr>
        <w:tc>
          <w:tcPr>
            <w:tcW w:type="dxa" w:w="3600"/>
            <w:shd w:fill="F5F5FA" w:val="clear"/>
          </w:tcPr>
          <w:p>
            <w:r/>
            <w:r>
              <w:rPr>
                <w:rFonts w:ascii="Arial" w:hAnsi="Arial"/>
                <w:color w:val="111111"/>
                <w:sz w:val="18"/>
              </w:rPr>
              <w:t>Signal</w:t>
            </w:r>
          </w:p>
        </w:tc>
        <w:tc>
          <w:tcPr>
            <w:tcW w:type="dxa" w:w="5760"/>
            <w:shd w:fill="F5F5FA" w:val="clear"/>
          </w:tcPr>
          <w:p>
            <w:r/>
            <w:r>
              <w:rPr>
                <w:rFonts w:ascii="Arial" w:hAnsi="Arial"/>
                <w:color w:val="111111"/>
                <w:sz w:val="18"/>
              </w:rPr>
              <w:t>GROWING</w:t>
            </w:r>
          </w:p>
        </w:tc>
      </w:tr>
      <w:tr>
        <w:tc>
          <w:tcPr>
            <w:tcW w:type="dxa" w:w="3600"/>
          </w:tcPr>
          <w:p>
            <w:r/>
            <w:r>
              <w:rPr>
                <w:rFonts w:ascii="Arial" w:hAnsi="Arial"/>
                <w:color w:val="111111"/>
                <w:sz w:val="18"/>
              </w:rPr>
              <w:t>Cadence</w:t>
            </w:r>
          </w:p>
        </w:tc>
        <w:tc>
          <w:tcPr>
            <w:tcW w:type="dxa" w:w="5760"/>
          </w:tcPr>
          <w:p>
            <w:r/>
            <w:r>
              <w:rPr>
                <w:rFonts w:ascii="Arial" w:hAnsi="Arial"/>
                <w:color w:val="111111"/>
                <w:sz w:val="18"/>
              </w:rPr>
              <w:t>Moderate</w:t>
            </w:r>
          </w:p>
        </w:tc>
      </w:tr>
    </w:tbl>
    <w:p>
      <w:pPr>
        <w:spacing w:before="120" w:after="0"/>
      </w:pPr>
    </w:p>
    <w:p>
      <w:pPr>
        <w:spacing w:before="60" w:after="60"/>
      </w:pPr>
      <w:r>
        <w:rPr>
          <w:rFonts w:ascii="Arial" w:hAnsi="Arial"/>
          <w:b w:val="0"/>
          <w:i w:val="0"/>
          <w:sz w:val="21"/>
        </w:rPr>
        <w:t>jo from school is the highest-converting channel in the managed roster by a significant margin. At 30.3 subs per 1,000 views, it converts nearly 10x more efficiently than the next-best mid-sized managed channel. Views are up 257% week-over-week — the biggest growth spike in the dataset.</w:t>
      </w:r>
    </w:p>
    <w:p>
      <w:pPr>
        <w:spacing w:before="60" w:after="60"/>
      </w:pPr>
      <w:r>
        <w:rPr>
          <w:rFonts w:ascii="Arial" w:hAnsi="Arial"/>
          <w:b/>
          <w:i w:val="0"/>
          <w:sz w:val="21"/>
        </w:rPr>
        <w:t xml:space="preserve">What makes this notable: </w:t>
      </w:r>
      <w:r>
        <w:rPr>
          <w:rFonts w:ascii="Arial" w:hAnsi="Arial"/>
          <w:b w:val="0"/>
          <w:i w:val="0"/>
          <w:sz w:val="21"/>
        </w:rPr>
        <w:t>This is a brand-new channel in its initial growth window. The 30.3 conversion rate will almost certainly decline as the channel grows — but right now, every view has an outsized impact on subscriber count. Supporting this channel’s content velocity during this window could produce disproportionate returns.</w:t>
      </w:r>
    </w:p>
    <w:p>
      <w:pPr>
        <w:spacing w:before="160" w:after="0"/>
      </w:pPr>
    </w:p>
    <w:p>
      <w:pPr>
        <w:pStyle w:val="Heading2"/>
      </w:pPr>
      <w:r>
        <w:t>RUEL — The Longform Contrarian</w:t>
      </w:r>
    </w:p>
    <w:tbl>
      <w:tblPr>
        <w:tblW w:type="auto" w:w="0"/>
        <w:jc w:val="left"/>
        <w:tblLook w:firstColumn="1" w:firstRow="1" w:lastColumn="0" w:lastRow="0" w:noHBand="0" w:noVBand="1" w:val="04A0"/>
      </w:tblPr>
      <w:tblGrid>
        <w:gridCol w:w="4680"/>
        <w:gridCol w:w="4680"/>
      </w:tblGrid>
      <w:tr>
        <w:tc>
          <w:tcPr>
            <w:tcW w:type="dxa" w:w="3600"/>
            <w:shd w:fill="0F0F1A" w:val="clear"/>
          </w:tcPr>
          <w:p>
            <w:r/>
            <w:r>
              <w:rPr>
                <w:rFonts w:ascii="Arial" w:hAnsi="Arial"/>
                <w:b/>
                <w:color w:val="FFFFFF"/>
                <w:sz w:val="18"/>
              </w:rPr>
              <w:t>Metric</w:t>
            </w:r>
          </w:p>
        </w:tc>
        <w:tc>
          <w:tcPr>
            <w:tcW w:type="dxa" w:w="5760"/>
            <w:shd w:fill="0F0F1A" w:val="clear"/>
          </w:tcPr>
          <w:p>
            <w:r/>
            <w:r>
              <w:rPr>
                <w:rFonts w:ascii="Arial" w:hAnsi="Arial"/>
                <w:b/>
                <w:color w:val="FFFFFF"/>
                <w:sz w:val="18"/>
              </w:rPr>
              <w:t>Value</w:t>
            </w:r>
          </w:p>
        </w:tc>
      </w:tr>
      <w:tr>
        <w:tc>
          <w:tcPr>
            <w:tcW w:type="dxa" w:w="3600"/>
            <w:shd w:fill="F5F5FA" w:val="clear"/>
          </w:tcPr>
          <w:p>
            <w:r/>
            <w:r>
              <w:rPr>
                <w:rFonts w:ascii="Arial" w:hAnsi="Arial"/>
                <w:color w:val="111111"/>
                <w:sz w:val="18"/>
              </w:rPr>
              <w:t>Subscribers</w:t>
            </w:r>
          </w:p>
        </w:tc>
        <w:tc>
          <w:tcPr>
            <w:tcW w:type="dxa" w:w="5760"/>
            <w:shd w:fill="F5F5FA" w:val="clear"/>
          </w:tcPr>
          <w:p>
            <w:r/>
            <w:r>
              <w:rPr>
                <w:rFonts w:ascii="Arial" w:hAnsi="Arial"/>
                <w:color w:val="111111"/>
                <w:sz w:val="18"/>
              </w:rPr>
              <w:t>1.57M</w:t>
            </w:r>
          </w:p>
        </w:tc>
      </w:tr>
      <w:tr>
        <w:tc>
          <w:tcPr>
            <w:tcW w:type="dxa" w:w="3600"/>
          </w:tcPr>
          <w:p>
            <w:r/>
            <w:r>
              <w:rPr>
                <w:rFonts w:ascii="Arial" w:hAnsi="Arial"/>
                <w:color w:val="111111"/>
                <w:sz w:val="18"/>
              </w:rPr>
              <w:t>Uploads/30d</w:t>
            </w:r>
          </w:p>
        </w:tc>
        <w:tc>
          <w:tcPr>
            <w:tcW w:type="dxa" w:w="5760"/>
          </w:tcPr>
          <w:p>
            <w:r/>
            <w:r>
              <w:rPr>
                <w:rFonts w:ascii="Arial" w:hAnsi="Arial"/>
                <w:color w:val="111111"/>
                <w:sz w:val="18"/>
              </w:rPr>
              <w:t>11 (0 Shorts + 11 longform)</w:t>
            </w:r>
          </w:p>
        </w:tc>
      </w:tr>
      <w:tr>
        <w:tc>
          <w:tcPr>
            <w:tcW w:type="dxa" w:w="3600"/>
            <w:shd w:fill="F5F5FA" w:val="clear"/>
          </w:tcPr>
          <w:p>
            <w:r/>
            <w:r>
              <w:rPr>
                <w:rFonts w:ascii="Arial" w:hAnsi="Arial"/>
                <w:color w:val="111111"/>
                <w:sz w:val="18"/>
              </w:rPr>
              <w:t>Signal</w:t>
            </w:r>
          </w:p>
        </w:tc>
        <w:tc>
          <w:tcPr>
            <w:tcW w:type="dxa" w:w="5760"/>
            <w:shd w:fill="F5F5FA" w:val="clear"/>
          </w:tcPr>
          <w:p>
            <w:r/>
            <w:r>
              <w:rPr>
                <w:rFonts w:ascii="Arial" w:hAnsi="Arial"/>
                <w:color w:val="111111"/>
                <w:sz w:val="18"/>
              </w:rPr>
              <w:t>GROWING</w:t>
            </w:r>
          </w:p>
        </w:tc>
      </w:tr>
      <w:tr>
        <w:tc>
          <w:tcPr>
            <w:tcW w:type="dxa" w:w="3600"/>
          </w:tcPr>
          <w:p>
            <w:r/>
            <w:r>
              <w:rPr>
                <w:rFonts w:ascii="Arial" w:hAnsi="Arial"/>
                <w:color w:val="111111"/>
                <w:sz w:val="18"/>
              </w:rPr>
              <w:t>Cadence</w:t>
            </w:r>
          </w:p>
        </w:tc>
        <w:tc>
          <w:tcPr>
            <w:tcW w:type="dxa" w:w="5760"/>
          </w:tcPr>
          <w:p>
            <w:r/>
            <w:r>
              <w:rPr>
                <w:rFonts w:ascii="Arial" w:hAnsi="Arial"/>
                <w:color w:val="111111"/>
                <w:sz w:val="18"/>
              </w:rPr>
              <w:t>Strong</w:t>
            </w:r>
          </w:p>
        </w:tc>
      </w:tr>
    </w:tbl>
    <w:p>
      <w:pPr>
        <w:spacing w:before="120" w:after="0"/>
      </w:pPr>
    </w:p>
    <w:p>
      <w:pPr>
        <w:spacing w:before="60" w:after="60"/>
      </w:pPr>
      <w:r>
        <w:rPr>
          <w:rFonts w:ascii="Arial" w:hAnsi="Arial"/>
          <w:b w:val="0"/>
          <w:i w:val="0"/>
          <w:sz w:val="21"/>
        </w:rPr>
        <w:t>RUEL is the only managed channel with strong cadence and zero Shorts. In a dataset where 64% of all market uploads are Shorts, and where the editorial system states that “Shorts-first discovery is the norm,” RUEL is GROWING with a purely longform strategy.</w:t>
      </w:r>
    </w:p>
    <w:p>
      <w:pPr>
        <w:spacing w:before="60" w:after="60"/>
      </w:pPr>
      <w:r>
        <w:rPr>
          <w:rFonts w:ascii="Arial" w:hAnsi="Arial"/>
          <w:b/>
          <w:i w:val="0"/>
          <w:sz w:val="21"/>
        </w:rPr>
        <w:t xml:space="preserve">What makes this notable: </w:t>
      </w:r>
      <w:r>
        <w:rPr>
          <w:rFonts w:ascii="Arial" w:hAnsi="Arial"/>
          <w:b w:val="0"/>
          <w:i w:val="0"/>
          <w:sz w:val="21"/>
        </w:rPr>
        <w:t>This is a direct counterexample to the assumption that Shorts are necessary for discovery. A committed longform strategy, executed with strong cadence, can produce growth. This does not mean longform-only is “better” — but it means it is viable and should not be dismissed for artists whose content is naturally longform.</w:t>
      </w:r>
    </w:p>
    <w:p>
      <w:pPr>
        <w:spacing w:before="160" w:after="0"/>
      </w:pPr>
    </w:p>
    <w:p>
      <w:pPr>
        <w:pStyle w:val="Heading2"/>
      </w:pPr>
      <w:r>
        <w:t>Temper City (Market) — The Efficiency Outlier</w:t>
      </w:r>
    </w:p>
    <w:tbl>
      <w:tblPr>
        <w:tblW w:type="auto" w:w="0"/>
        <w:jc w:val="left"/>
        <w:tblLook w:firstColumn="1" w:firstRow="1" w:lastColumn="0" w:lastRow="0" w:noHBand="0" w:noVBand="1" w:val="04A0"/>
      </w:tblPr>
      <w:tblGrid>
        <w:gridCol w:w="4680"/>
        <w:gridCol w:w="4680"/>
      </w:tblGrid>
      <w:tr>
        <w:tc>
          <w:tcPr>
            <w:tcW w:type="dxa" w:w="3600"/>
            <w:shd w:fill="0F0F1A" w:val="clear"/>
          </w:tcPr>
          <w:p>
            <w:r/>
            <w:r>
              <w:rPr>
                <w:rFonts w:ascii="Arial" w:hAnsi="Arial"/>
                <w:b/>
                <w:color w:val="FFFFFF"/>
                <w:sz w:val="18"/>
              </w:rPr>
              <w:t>Metric</w:t>
            </w:r>
          </w:p>
        </w:tc>
        <w:tc>
          <w:tcPr>
            <w:tcW w:type="dxa" w:w="5760"/>
            <w:shd w:fill="0F0F1A" w:val="clear"/>
          </w:tcPr>
          <w:p>
            <w:r/>
            <w:r>
              <w:rPr>
                <w:rFonts w:ascii="Arial" w:hAnsi="Arial"/>
                <w:b/>
                <w:color w:val="FFFFFF"/>
                <w:sz w:val="18"/>
              </w:rPr>
              <w:t>Value</w:t>
            </w:r>
          </w:p>
        </w:tc>
      </w:tr>
      <w:tr>
        <w:tc>
          <w:tcPr>
            <w:tcW w:type="dxa" w:w="3600"/>
            <w:shd w:fill="F5F5FA" w:val="clear"/>
          </w:tcPr>
          <w:p>
            <w:r/>
            <w:r>
              <w:rPr>
                <w:rFonts w:ascii="Arial" w:hAnsi="Arial"/>
                <w:color w:val="111111"/>
                <w:sz w:val="18"/>
              </w:rPr>
              <w:t>Subscribers</w:t>
            </w:r>
          </w:p>
        </w:tc>
        <w:tc>
          <w:tcPr>
            <w:tcW w:type="dxa" w:w="5760"/>
            <w:shd w:fill="F5F5FA" w:val="clear"/>
          </w:tcPr>
          <w:p>
            <w:r/>
            <w:r>
              <w:rPr>
                <w:rFonts w:ascii="Arial" w:hAnsi="Arial"/>
                <w:color w:val="111111"/>
                <w:sz w:val="18"/>
              </w:rPr>
              <w:t>50.4K</w:t>
            </w:r>
          </w:p>
        </w:tc>
      </w:tr>
      <w:tr>
        <w:tc>
          <w:tcPr>
            <w:tcW w:type="dxa" w:w="3600"/>
          </w:tcPr>
          <w:p>
            <w:r/>
            <w:r>
              <w:rPr>
                <w:rFonts w:ascii="Arial" w:hAnsi="Arial"/>
                <w:color w:val="111111"/>
                <w:sz w:val="18"/>
              </w:rPr>
              <w:t>Views/Week</w:t>
            </w:r>
          </w:p>
        </w:tc>
        <w:tc>
          <w:tcPr>
            <w:tcW w:type="dxa" w:w="5760"/>
          </w:tcPr>
          <w:p>
            <w:r/>
            <w:r>
              <w:rPr>
                <w:rFonts w:ascii="Arial" w:hAnsi="Arial"/>
                <w:color w:val="111111"/>
                <w:sz w:val="18"/>
              </w:rPr>
              <w:t>4.54M</w:t>
            </w:r>
          </w:p>
        </w:tc>
      </w:tr>
      <w:tr>
        <w:tc>
          <w:tcPr>
            <w:tcW w:type="dxa" w:w="3600"/>
            <w:shd w:fill="F5F5FA" w:val="clear"/>
          </w:tcPr>
          <w:p>
            <w:r/>
            <w:r>
              <w:rPr>
                <w:rFonts w:ascii="Arial" w:hAnsi="Arial"/>
                <w:color w:val="111111"/>
                <w:sz w:val="18"/>
              </w:rPr>
              <w:t>Subs Gained/Week</w:t>
            </w:r>
          </w:p>
        </w:tc>
        <w:tc>
          <w:tcPr>
            <w:tcW w:type="dxa" w:w="5760"/>
            <w:shd w:fill="F5F5FA" w:val="clear"/>
          </w:tcPr>
          <w:p>
            <w:r/>
            <w:r>
              <w:rPr>
                <w:rFonts w:ascii="Arial" w:hAnsi="Arial"/>
                <w:color w:val="111111"/>
                <w:sz w:val="18"/>
              </w:rPr>
              <w:t>6,800</w:t>
            </w:r>
          </w:p>
        </w:tc>
      </w:tr>
      <w:tr>
        <w:tc>
          <w:tcPr>
            <w:tcW w:type="dxa" w:w="3600"/>
          </w:tcPr>
          <w:p>
            <w:r/>
            <w:r>
              <w:rPr>
                <w:rFonts w:ascii="Arial" w:hAnsi="Arial"/>
                <w:color w:val="111111"/>
                <w:sz w:val="18"/>
              </w:rPr>
              <w:t>Subs/1kViews</w:t>
            </w:r>
          </w:p>
        </w:tc>
        <w:tc>
          <w:tcPr>
            <w:tcW w:type="dxa" w:w="5760"/>
          </w:tcPr>
          <w:p>
            <w:r/>
            <w:r>
              <w:rPr>
                <w:rFonts w:ascii="Arial" w:hAnsi="Arial"/>
                <w:color w:val="111111"/>
                <w:sz w:val="18"/>
              </w:rPr>
              <w:t>1.5</w:t>
            </w:r>
          </w:p>
        </w:tc>
      </w:tr>
      <w:tr>
        <w:tc>
          <w:tcPr>
            <w:tcW w:type="dxa" w:w="3600"/>
            <w:shd w:fill="F5F5FA" w:val="clear"/>
          </w:tcPr>
          <w:p>
            <w:r/>
            <w:r>
              <w:rPr>
                <w:rFonts w:ascii="Arial" w:hAnsi="Arial"/>
                <w:color w:val="111111"/>
                <w:sz w:val="18"/>
              </w:rPr>
              <w:t>Uploads/30d</w:t>
            </w:r>
          </w:p>
        </w:tc>
        <w:tc>
          <w:tcPr>
            <w:tcW w:type="dxa" w:w="5760"/>
            <w:shd w:fill="F5F5FA" w:val="clear"/>
          </w:tcPr>
          <w:p>
            <w:r/>
            <w:r>
              <w:rPr>
                <w:rFonts w:ascii="Arial" w:hAnsi="Arial"/>
                <w:color w:val="111111"/>
                <w:sz w:val="18"/>
              </w:rPr>
              <w:t>1</w:t>
            </w:r>
          </w:p>
        </w:tc>
      </w:tr>
      <w:tr>
        <w:tc>
          <w:tcPr>
            <w:tcW w:type="dxa" w:w="3600"/>
          </w:tcPr>
          <w:p>
            <w:r/>
            <w:r>
              <w:rPr>
                <w:rFonts w:ascii="Arial" w:hAnsi="Arial"/>
                <w:color w:val="111111"/>
                <w:sz w:val="18"/>
              </w:rPr>
              <w:t>Signal</w:t>
            </w:r>
          </w:p>
        </w:tc>
        <w:tc>
          <w:tcPr>
            <w:tcW w:type="dxa" w:w="5760"/>
          </w:tcPr>
          <w:p>
            <w:r/>
            <w:r>
              <w:rPr>
                <w:rFonts w:ascii="Arial" w:hAnsi="Arial"/>
                <w:color w:val="111111"/>
                <w:sz w:val="18"/>
              </w:rPr>
              <w:t>UNDERFED</w:t>
            </w:r>
          </w:p>
        </w:tc>
      </w:tr>
    </w:tbl>
    <w:p>
      <w:pPr>
        <w:spacing w:before="120" w:after="0"/>
      </w:pPr>
    </w:p>
    <w:p>
      <w:pPr>
        <w:spacing w:before="60" w:after="60"/>
      </w:pPr>
      <w:r>
        <w:rPr>
          <w:rFonts w:ascii="Arial" w:hAnsi="Arial"/>
          <w:b w:val="0"/>
          <w:i w:val="0"/>
          <w:sz w:val="21"/>
        </w:rPr>
        <w:t>Temper City is the most efficient channel in the market benchmark data. A single upload generated 4.54 million views and 6,800 new subscribers. Despite being classified UNDERFED, the channel demonstrates what a single piece of high-performing content can achieve when it finds algorithmic traction.</w:t>
      </w:r>
    </w:p>
    <w:p>
      <w:pPr>
        <w:spacing w:before="60" w:after="60"/>
      </w:pPr>
      <w:r>
        <w:rPr>
          <w:rFonts w:ascii="Arial" w:hAnsi="Arial"/>
          <w:b/>
          <w:i w:val="0"/>
          <w:sz w:val="21"/>
        </w:rPr>
        <w:t xml:space="preserve">What makes this notable: </w:t>
      </w:r>
      <w:r>
        <w:rPr>
          <w:rFonts w:ascii="Arial" w:hAnsi="Arial"/>
          <w:b w:val="0"/>
          <w:i w:val="0"/>
          <w:sz w:val="21"/>
        </w:rPr>
        <w:t>The contrast with channels uploading 10–20 times per month for a fraction of these numbers is stark. Temper City is not a cadence success story — it is a content-quality story. One piece of content that resonates can outperform months of high-volume uploads that do not.</w:t>
      </w:r>
    </w:p>
    <w:p>
      <w:pPr>
        <w:spacing w:before="80" w:after="80"/>
        <w:ind w:left="360"/>
        <w:pBdr>
          <w:left w:val="single" w:sz="12" w:space="8" w:color="F7B731"/>
        </w:pBdr>
      </w:pPr>
      <w:r>
        <w:rPr>
          <w:rFonts w:ascii="Arial" w:hAnsi="Arial"/>
          <w:i/>
          <w:color w:val="333344"/>
          <w:sz w:val="20"/>
        </w:rPr>
        <w:t>Caveat: Single-upload viral moments are not reproducible strategies. Temper City’s result may be driven by a specific song going viral or external distribution. It is evidence of what is possible, not what is predictable.</w:t>
      </w:r>
    </w:p>
    <w:p>
      <w:pPr>
        <w:spacing w:before="280" w:after="0"/>
      </w:pPr>
    </w:p>
    <w:p>
      <w:pPr>
        <w:pStyle w:val="Heading1"/>
      </w:pPr>
      <w:r>
        <w:t>Section 4: What We Still Don’t Know</w:t>
      </w:r>
    </w:p>
    <w:p>
      <w:pPr>
        <w:spacing w:before="60" w:after="60"/>
      </w:pPr>
      <w:r>
        <w:rPr>
          <w:rFonts w:ascii="Arial" w:hAnsi="Arial"/>
          <w:b w:val="0"/>
          <w:i w:val="0"/>
          <w:sz w:val="21"/>
        </w:rPr>
        <w:t>The following questions cannot be answered from the current dataset. They represent gaps that would require additional data, different tracking approaches, or longitudinal analysis.</w:t>
      </w:r>
    </w:p>
    <w:p>
      <w:pPr>
        <w:pStyle w:val="Heading2"/>
      </w:pPr>
      <w:r>
        <w:t>4.1 We Have No Longitudinal Trend Data</w:t>
      </w:r>
    </w:p>
    <w:p>
      <w:pPr>
        <w:spacing w:before="60" w:after="60"/>
      </w:pPr>
      <w:r>
        <w:rPr>
          <w:rFonts w:ascii="Arial" w:hAnsi="Arial"/>
          <w:b w:val="0"/>
          <w:i w:val="0"/>
          <w:sz w:val="21"/>
        </w:rPr>
        <w:t>The current dataset provides a single meaningful weekly snapshot (W25, 90 artists). Earlier weeks tracked only 1–9 artists and cannot be used for comparison. We cannot answer:</w:t>
      </w:r>
    </w:p>
    <w:p>
      <w:pPr>
        <w:pStyle w:val="ListBullet"/>
        <w:spacing w:before="40" w:after="40"/>
      </w:pPr>
      <w:r>
        <w:rPr>
          <w:rFonts w:ascii="Arial" w:hAnsi="Arial"/>
          <w:sz w:val="21"/>
        </w:rPr>
        <w:t>Are GROWING channels sustaining growth week-over-week, or oscillating?</w:t>
      </w:r>
    </w:p>
    <w:p>
      <w:pPr>
        <w:pStyle w:val="ListBullet"/>
        <w:spacing w:before="40" w:after="40"/>
      </w:pPr>
      <w:r>
        <w:rPr>
          <w:rFonts w:ascii="Arial" w:hAnsi="Arial"/>
          <w:sz w:val="21"/>
        </w:rPr>
        <w:t>Do COLD channels eventually lose catalogue viewership, or does it plateau?</w:t>
      </w:r>
    </w:p>
    <w:p>
      <w:pPr>
        <w:pStyle w:val="ListBullet"/>
        <w:spacing w:before="40" w:after="40"/>
      </w:pPr>
      <w:r>
        <w:rPr>
          <w:rFonts w:ascii="Arial" w:hAnsi="Arial"/>
          <w:sz w:val="21"/>
        </w:rPr>
        <w:t>How long does it take for an UNDERFED channel to recover once cadence increases?</w:t>
      </w:r>
    </w:p>
    <w:p>
      <w:pPr>
        <w:pStyle w:val="ListBullet"/>
        <w:spacing w:before="40" w:after="40"/>
      </w:pPr>
      <w:r>
        <w:rPr>
          <w:rFonts w:ascii="Arial" w:hAnsi="Arial"/>
          <w:sz w:val="21"/>
        </w:rPr>
        <w:t>Do high early-stage conversion rates (like jo from school’s 30.3) persist or decay, and at what rate?</w:t>
      </w:r>
    </w:p>
    <w:p>
      <w:pPr>
        <w:spacing w:before="80" w:after="0"/>
      </w:pPr>
    </w:p>
    <w:p>
      <w:pPr>
        <w:spacing w:before="60" w:after="60"/>
      </w:pPr>
      <w:r>
        <w:rPr>
          <w:rFonts w:ascii="Arial" w:hAnsi="Arial"/>
          <w:b/>
          <w:i w:val="0"/>
          <w:sz w:val="21"/>
        </w:rPr>
        <w:t xml:space="preserve">Why this matters: </w:t>
      </w:r>
      <w:r>
        <w:rPr>
          <w:rFonts w:ascii="Arial" w:hAnsi="Arial"/>
          <w:b w:val="0"/>
          <w:i w:val="0"/>
          <w:sz w:val="21"/>
        </w:rPr>
        <w:t>Without trend data, every finding in this report is a cross-sectional observation. We can say “moderate cadence channels are disproportionately GROWING this week” but we cannot say whether that was also true last month or whether it will be true next month.</w:t>
      </w:r>
    </w:p>
    <w:p>
      <w:pPr>
        <w:pStyle w:val="Heading2"/>
      </w:pPr>
      <w:r>
        <w:t>4.2 We Cannot Isolate Cause from Correlation</w:t>
      </w:r>
    </w:p>
    <w:p>
      <w:pPr>
        <w:spacing w:before="60" w:after="60"/>
      </w:pPr>
      <w:r>
        <w:rPr>
          <w:rFonts w:ascii="Arial" w:hAnsi="Arial"/>
          <w:b w:val="0"/>
          <w:i w:val="0"/>
          <w:sz w:val="21"/>
        </w:rPr>
        <w:t>The cadence-classification relationship is strong, but we cannot confirm directionality:</w:t>
      </w:r>
    </w:p>
    <w:p>
      <w:pPr>
        <w:pStyle w:val="ListBullet"/>
        <w:spacing w:before="40" w:after="40"/>
      </w:pPr>
      <w:r>
        <w:rPr>
          <w:rFonts w:ascii="Arial" w:hAnsi="Arial"/>
          <w:sz w:val="21"/>
        </w:rPr>
        <w:t>Upload cadence drives growth (the intuitive reading)</w:t>
      </w:r>
    </w:p>
    <w:p>
      <w:pPr>
        <w:pStyle w:val="ListBullet"/>
        <w:spacing w:before="40" w:after="40"/>
      </w:pPr>
      <w:r>
        <w:rPr>
          <w:rFonts w:ascii="Arial" w:hAnsi="Arial"/>
          <w:sz w:val="21"/>
        </w:rPr>
        <w:t>Channels that are already growing invest more in upload cadence (reverse causation)</w:t>
      </w:r>
    </w:p>
    <w:p>
      <w:pPr>
        <w:pStyle w:val="ListBullet"/>
        <w:spacing w:before="40" w:after="40"/>
      </w:pPr>
      <w:r>
        <w:rPr>
          <w:rFonts w:ascii="Arial" w:hAnsi="Arial"/>
          <w:sz w:val="21"/>
        </w:rPr>
        <w:t>Both cadence and growth are driven by a third factor: active campaign investment</w:t>
      </w:r>
    </w:p>
    <w:p>
      <w:pPr>
        <w:spacing w:before="80" w:after="0"/>
      </w:pPr>
    </w:p>
    <w:p>
      <w:pPr>
        <w:spacing w:before="60" w:after="60"/>
      </w:pPr>
      <w:r>
        <w:rPr>
          <w:rFonts w:ascii="Arial" w:hAnsi="Arial"/>
          <w:b w:val="0"/>
          <w:i w:val="0"/>
          <w:sz w:val="21"/>
        </w:rPr>
        <w:t>Similarly, the format-mix findings are observational. We cannot isolate whether RUEL grows because of a longform-only strategy or despite it.</w:t>
      </w:r>
    </w:p>
    <w:p>
      <w:pPr>
        <w:pStyle w:val="Heading2"/>
      </w:pPr>
      <w:r>
        <w:t>4.3 We Don’t Know What Content Quality Looks Like</w:t>
      </w:r>
    </w:p>
    <w:p>
      <w:pPr>
        <w:spacing w:before="60" w:after="60"/>
      </w:pPr>
      <w:r>
        <w:rPr>
          <w:rFonts w:ascii="Arial" w:hAnsi="Arial"/>
          <w:b w:val="0"/>
          <w:i w:val="0"/>
          <w:sz w:val="21"/>
        </w:rPr>
        <w:t>The data tracks uploads, views, subscribers, and format type. It does not track content quality, production value, promotional spend, or external distribution (playlist placements, social media campaigns, sync deals). Two channels with identical upload patterns can produce radically different results — and we have no way to measure why from this data alone.</w:t>
      </w:r>
    </w:p>
    <w:p>
      <w:pPr>
        <w:pStyle w:val="Heading2"/>
      </w:pPr>
      <w:r>
        <w:t>4.4 We Don’t Know What Happens When Cold Channels Reactivate</w:t>
      </w:r>
    </w:p>
    <w:p>
      <w:pPr>
        <w:spacing w:before="60" w:after="60"/>
      </w:pPr>
      <w:r>
        <w:rPr>
          <w:rFonts w:ascii="Arial" w:hAnsi="Arial"/>
          <w:b w:val="0"/>
          <w:i w:val="0"/>
          <w:sz w:val="21"/>
        </w:rPr>
        <w:t>We identified COLD channels with latent audience demand (Bad Omens, Declan McKenna). But we have no historical examples in this dataset of a COLD channel resuming activity and the resulting trajectory. The “reactivation opportunity” is a hypothesis supported by observable demand signals, not by observed reactivation outcomes.</w:t>
      </w:r>
    </w:p>
    <w:p>
      <w:pPr>
        <w:pStyle w:val="Heading2"/>
      </w:pPr>
      <w:r>
        <w:t>4.5 The Classification System May Have Blind Spots</w:t>
      </w:r>
    </w:p>
    <w:p>
      <w:pPr>
        <w:spacing w:before="60" w:after="60"/>
      </w:pPr>
      <w:r>
        <w:rPr>
          <w:rFonts w:ascii="Arial" w:hAnsi="Arial"/>
          <w:b w:val="0"/>
          <w:i w:val="0"/>
          <w:sz w:val="21"/>
        </w:rPr>
        <w:t>The GROWING / WEAK_CONVERSION / UNDERFED / COLD system is based on upload activity, views, and subscriber movement. It may not capture:</w:t>
      </w:r>
    </w:p>
    <w:p>
      <w:pPr>
        <w:pStyle w:val="ListBullet"/>
        <w:spacing w:before="40" w:after="40"/>
      </w:pPr>
      <w:r>
        <w:rPr>
          <w:rFonts w:ascii="Arial" w:hAnsi="Arial"/>
          <w:sz w:val="21"/>
        </w:rPr>
        <w:t>Channels with very high engagement (likes, comments) but modest views</w:t>
      </w:r>
    </w:p>
    <w:p>
      <w:pPr>
        <w:pStyle w:val="ListBullet"/>
        <w:spacing w:before="40" w:after="40"/>
      </w:pPr>
      <w:r>
        <w:rPr>
          <w:rFonts w:ascii="Arial" w:hAnsi="Arial"/>
          <w:sz w:val="21"/>
        </w:rPr>
        <w:t>Channels whose audience growth comes through external platforms (TikTok → YouTube pipeline)</w:t>
      </w:r>
    </w:p>
    <w:p>
      <w:pPr>
        <w:pStyle w:val="ListBullet"/>
        <w:spacing w:before="40" w:after="40"/>
      </w:pPr>
      <w:r>
        <w:rPr>
          <w:rFonts w:ascii="Arial" w:hAnsi="Arial"/>
          <w:sz w:val="21"/>
        </w:rPr>
        <w:t>Channels where “views” are primarily YouTube Music streams, not traditional video consumption</w:t>
      </w:r>
    </w:p>
    <w:p>
      <w:pPr>
        <w:pStyle w:val="ListBullet"/>
        <w:spacing w:before="40" w:after="40"/>
      </w:pPr>
      <w:r>
        <w:rPr>
          <w:rFonts w:ascii="Arial" w:hAnsi="Arial"/>
          <w:sz w:val="21"/>
        </w:rPr>
        <w:t>Revenue performance, which may diverge significantly from subscriber/view signals</w:t>
      </w:r>
    </w:p>
    <w:p>
      <w:r>
        <w:br w:type="page"/>
      </w:r>
    </w:p>
    <w:p>
      <w:pPr>
        <w:pStyle w:val="Heading1"/>
      </w:pPr>
      <w:r>
        <w:t>Section 5: Recommendations</w:t>
      </w:r>
    </w:p>
    <w:p>
      <w:pPr>
        <w:spacing w:before="60" w:after="60"/>
      </w:pPr>
      <w:r>
        <w:rPr>
          <w:rFonts w:ascii="Arial" w:hAnsi="Arial"/>
          <w:b w:val="0"/>
          <w:i w:val="0"/>
          <w:sz w:val="21"/>
        </w:rPr>
        <w:t>These recommendations are ranked by strength of supporting evidence. Each is tied directly to a finding from Section 1.</w:t>
      </w:r>
    </w:p>
    <w:p>
      <w:pPr>
        <w:pStyle w:val="Heading2"/>
      </w:pPr>
      <w:r>
        <w:t>5.1 Investigate Strong-Cadence WEAK_CONVERSION Channels</w:t>
      </w:r>
    </w:p>
    <w:p>
      <w:pPr>
        <w:spacing w:before="60" w:after="60"/>
      </w:pPr>
      <w:r>
        <w:rPr>
          <w:rFonts w:ascii="Arial" w:hAnsi="Arial"/>
          <w:b/>
          <w:i w:val="0"/>
          <w:color w:val="16C79A"/>
          <w:sz w:val="21"/>
        </w:rPr>
        <w:t xml:space="preserve">Evidence strength: Strong. </w:t>
      </w:r>
      <w:r>
        <w:rPr>
          <w:rFonts w:ascii="Arial" w:hAnsi="Arial"/>
          <w:b w:val="0"/>
          <w:i w:val="0"/>
          <w:sz w:val="21"/>
        </w:rPr>
        <w:t>7 of 16 strong-cadence channels are WEAK_CONVERSION — uploading frequently but not converting. These channels (Nickelback, PlaqueBoyMax, Tove Lo, larissa lambert, The Snuts, Joji, Peter Gabriel) should be reviewed individually.</w:t>
      </w:r>
    </w:p>
    <w:p>
      <w:pPr>
        <w:spacing w:before="60" w:after="60"/>
      </w:pPr>
      <w:r>
        <w:rPr>
          <w:rFonts w:ascii="Arial" w:hAnsi="Arial"/>
          <w:b/>
          <w:i w:val="0"/>
          <w:sz w:val="21"/>
        </w:rPr>
        <w:t xml:space="preserve">Suggested action: </w:t>
      </w:r>
      <w:r>
        <w:rPr>
          <w:rFonts w:ascii="Arial" w:hAnsi="Arial"/>
          <w:b w:val="0"/>
          <w:i w:val="0"/>
          <w:sz w:val="21"/>
        </w:rPr>
        <w:t>Audit the content mix, format quality, and audience engagement metrics for each of these 7 channels. Determine whether the issue is content type (e.g. Nickelback’s all-Shorts approach), audience mismatch, or something else. Do not assume the solution is more uploads.</w:t>
      </w:r>
    </w:p>
    <w:p>
      <w:pPr>
        <w:pStyle w:val="Heading2"/>
      </w:pPr>
      <w:r>
        <w:t>5.2 Prioritise Content Support for Early-Stage Channels</w:t>
      </w:r>
    </w:p>
    <w:p>
      <w:pPr>
        <w:spacing w:before="60" w:after="60"/>
      </w:pPr>
      <w:r>
        <w:rPr>
          <w:rFonts w:ascii="Arial" w:hAnsi="Arial"/>
          <w:b/>
          <w:i w:val="0"/>
          <w:color w:val="F7B731"/>
          <w:sz w:val="21"/>
        </w:rPr>
        <w:t xml:space="preserve">Evidence strength: Moderate. </w:t>
      </w:r>
      <w:r>
        <w:rPr>
          <w:rFonts w:ascii="Arial" w:hAnsi="Arial"/>
          <w:b w:val="0"/>
          <w:i w:val="0"/>
          <w:sz w:val="21"/>
        </w:rPr>
        <w:t>The conversion rate pattern suggests that investing in content velocity for channels like jo from school, Aifric, Man Woman Chainsaw, and Lily Lyons during their early growth window could produce disproportionate subscriber growth per unit of effort.</w:t>
      </w:r>
    </w:p>
    <w:p>
      <w:pPr>
        <w:spacing w:before="60" w:after="60"/>
      </w:pPr>
      <w:r>
        <w:rPr>
          <w:rFonts w:ascii="Arial" w:hAnsi="Arial"/>
          <w:b/>
          <w:i w:val="0"/>
          <w:sz w:val="21"/>
        </w:rPr>
        <w:t xml:space="preserve">Suggested action: </w:t>
      </w:r>
      <w:r>
        <w:rPr>
          <w:rFonts w:ascii="Arial" w:hAnsi="Arial"/>
          <w:b w:val="0"/>
          <w:i w:val="0"/>
          <w:sz w:val="21"/>
        </w:rPr>
        <w:t>Identify managed channels under 10,000 subscribers with subs/1kViews above 2.0. Ensure these channels have support to maintain at least moderate cadence. Track whether conversion rates sustain or decay over the next 4–8 weeks.</w:t>
      </w:r>
    </w:p>
    <w:p>
      <w:pPr>
        <w:pStyle w:val="Heading2"/>
      </w:pPr>
      <w:r>
        <w:t>5.3 Build a Reactivation Playbook for High-Value COLD Channels</w:t>
      </w:r>
    </w:p>
    <w:p>
      <w:pPr>
        <w:spacing w:before="60" w:after="60"/>
      </w:pPr>
      <w:r>
        <w:rPr>
          <w:rFonts w:ascii="Arial" w:hAnsi="Arial"/>
          <w:b/>
          <w:i w:val="0"/>
          <w:color w:val="F7B731"/>
          <w:sz w:val="21"/>
        </w:rPr>
        <w:t xml:space="preserve">Evidence strength: Moderate. </w:t>
      </w:r>
      <w:r>
        <w:rPr>
          <w:rFonts w:ascii="Arial" w:hAnsi="Arial"/>
          <w:b w:val="0"/>
          <w:i w:val="0"/>
          <w:sz w:val="21"/>
        </w:rPr>
        <w:t>Bad Omens (3.54M catalogue views/week), Declan McKenna (1.45M), and other COLD channels with active viewership represent opportunities. The audience is demonstrably still watching. But we have no data on what happens when these channels resume activity.</w:t>
      </w:r>
    </w:p>
    <w:p>
      <w:pPr>
        <w:spacing w:before="60" w:after="60"/>
      </w:pPr>
      <w:r>
        <w:rPr>
          <w:rFonts w:ascii="Arial" w:hAnsi="Arial"/>
          <w:b/>
          <w:i w:val="0"/>
          <w:sz w:val="21"/>
        </w:rPr>
        <w:t xml:space="preserve">Suggested action: </w:t>
      </w:r>
      <w:r>
        <w:rPr>
          <w:rFonts w:ascii="Arial" w:hAnsi="Arial"/>
          <w:b w:val="0"/>
          <w:i w:val="0"/>
          <w:sz w:val="21"/>
        </w:rPr>
        <w:t>Rank COLD channels by current catalogue views and subscriber base. For the top 5, investigate whether there are upcoming releases or content opportunities. If any begin uploading again, track the trajectory closely — this will be the first data on reactivation dynamics.</w:t>
      </w:r>
    </w:p>
    <w:p>
      <w:pPr>
        <w:pStyle w:val="Heading2"/>
      </w:pPr>
      <w:r>
        <w:t>5.4 Do Not Prescribe a Single Format Strategy</w:t>
      </w:r>
    </w:p>
    <w:p>
      <w:pPr>
        <w:spacing w:before="60" w:after="60"/>
      </w:pPr>
      <w:r>
        <w:rPr>
          <w:rFonts w:ascii="Arial" w:hAnsi="Arial"/>
          <w:b/>
          <w:i w:val="0"/>
          <w:color w:val="16C79A"/>
          <w:sz w:val="21"/>
        </w:rPr>
        <w:t xml:space="preserve">Evidence strength: Strong. </w:t>
      </w:r>
      <w:r>
        <w:rPr>
          <w:rFonts w:ascii="Arial" w:hAnsi="Arial"/>
          <w:b w:val="0"/>
          <w:i w:val="0"/>
          <w:sz w:val="21"/>
        </w:rPr>
        <w:t>The data clearly shows that Shorts-only (Precious Pepala), longform-only (RUEL), and multiformat (Lukas Graham) can all produce GROWING classification. Prescribing “you must use Shorts” or “you need multiformat” is not supported by the evidence.</w:t>
      </w:r>
    </w:p>
    <w:p>
      <w:pPr>
        <w:spacing w:before="60" w:after="60"/>
      </w:pPr>
      <w:r>
        <w:rPr>
          <w:rFonts w:ascii="Arial" w:hAnsi="Arial"/>
          <w:b/>
          <w:i w:val="0"/>
          <w:sz w:val="21"/>
        </w:rPr>
        <w:t xml:space="preserve">Suggested action: </w:t>
      </w:r>
      <w:r>
        <w:rPr>
          <w:rFonts w:ascii="Arial" w:hAnsi="Arial"/>
          <w:b w:val="0"/>
          <w:i w:val="0"/>
          <w:sz w:val="21"/>
        </w:rPr>
        <w:t>Format strategy should be determined per-artist based on content fit and audience behaviour, not as a roster-wide mandate. The one consistent finding is that cadence matters more than format mix — whatever format the artist uses, consistency of output is the stronger predictor of growth.</w:t>
      </w:r>
    </w:p>
    <w:p>
      <w:pPr>
        <w:pStyle w:val="Heading2"/>
      </w:pPr>
      <w:r>
        <w:t>5.5 Establish Longitudinal Tracking</w:t>
      </w:r>
    </w:p>
    <w:p>
      <w:pPr>
        <w:spacing w:before="60" w:after="60"/>
      </w:pPr>
      <w:r>
        <w:rPr>
          <w:rFonts w:ascii="Arial" w:hAnsi="Arial"/>
          <w:b/>
          <w:i w:val="0"/>
          <w:color w:val="0F3460"/>
          <w:sz w:val="21"/>
        </w:rPr>
        <w:t xml:space="preserve">Evidence strength: Structural. </w:t>
      </w:r>
      <w:r>
        <w:rPr>
          <w:rFonts w:ascii="Arial" w:hAnsi="Arial"/>
          <w:b w:val="0"/>
          <w:i w:val="0"/>
          <w:sz w:val="21"/>
        </w:rPr>
        <w:t>The biggest limitation of this analysis is the lack of historical comparison data. Every finding is a single-week observation. To distinguish patterns from noise, we need weekly rollup data tracked over time.</w:t>
      </w:r>
    </w:p>
    <w:p>
      <w:pPr>
        <w:spacing w:before="60" w:after="60"/>
      </w:pPr>
      <w:r>
        <w:rPr>
          <w:rFonts w:ascii="Arial" w:hAnsi="Arial"/>
          <w:b/>
          <w:i w:val="0"/>
          <w:sz w:val="21"/>
        </w:rPr>
        <w:t xml:space="preserve">Suggested action: </w:t>
      </w:r>
      <w:r>
        <w:rPr>
          <w:rFonts w:ascii="Arial" w:hAnsi="Arial"/>
          <w:b w:val="0"/>
          <w:i w:val="0"/>
          <w:sz w:val="21"/>
        </w:rPr>
        <w:t>Ensure the weekly pulse rollup data is stored historically. After 8–12 weeks of data, re-run this analysis to determine which patterns are persistent. Key questions: Does the moderate-cadence advantage hold? Do early-stage conversion rates decay? What happens when a COLD channel reactivates?</w:t>
      </w:r>
    </w:p>
    <w:p>
      <w:r>
        <w:br w:type="page"/>
      </w:r>
    </w:p>
    <w:p>
      <w:pPr>
        <w:pStyle w:val="Heading1"/>
      </w:pPr>
      <w:r>
        <w:t>Appendix: Data Methodology</w:t>
      </w:r>
    </w:p>
    <w:p>
      <w:pPr>
        <w:pStyle w:val="Heading2"/>
      </w:pPr>
      <w:r>
        <w:t>Data Sources</w:t>
      </w:r>
    </w:p>
    <w:p>
      <w:pPr>
        <w:pStyle w:val="ListBullet"/>
        <w:spacing w:before="40" w:after="40"/>
      </w:pPr>
      <w:r>
        <w:rPr>
          <w:rFonts w:ascii="Arial" w:hAnsi="Arial"/>
          <w:sz w:val="21"/>
        </w:rPr>
        <w:t>YouTube Watcher: Tracks 142 channels (86 managed, 56 market benchmark) via YouTube Data API</w:t>
      </w:r>
    </w:p>
    <w:p>
      <w:pPr>
        <w:pStyle w:val="ListBullet"/>
        <w:spacing w:before="40" w:after="40"/>
      </w:pPr>
      <w:r>
        <w:rPr>
          <w:rFonts w:ascii="Arial" w:hAnsi="Arial"/>
          <w:sz w:val="21"/>
        </w:rPr>
        <w:t>Campaign Coach: Provides classification, cadence labels, multiformat scoring, and editorial insights</w:t>
      </w:r>
    </w:p>
    <w:p>
      <w:pPr>
        <w:pStyle w:val="ListBullet"/>
        <w:spacing w:before="40" w:after="40"/>
      </w:pPr>
      <w:r>
        <w:rPr>
          <w:rFonts w:ascii="Arial" w:hAnsi="Arial"/>
          <w:sz w:val="21"/>
        </w:rPr>
        <w:t>Weekly Pulse API: Aggregates channel data with rollup statistics</w:t>
      </w:r>
    </w:p>
    <w:p>
      <w:pPr>
        <w:pStyle w:val="ListBullet"/>
        <w:spacing w:before="40" w:after="40"/>
      </w:pPr>
      <w:r>
        <w:rPr>
          <w:rFonts w:ascii="Arial" w:hAnsi="Arial"/>
          <w:sz w:val="21"/>
        </w:rPr>
        <w:t>Channel Spotlight API: Provides growth signal analysis for top-performing channels</w:t>
      </w:r>
    </w:p>
    <w:p>
      <w:pPr>
        <w:pStyle w:val="Heading2"/>
      </w:pPr>
      <w:r>
        <w:t>Classification System</w:t>
      </w:r>
    </w:p>
    <w:p>
      <w:pPr>
        <w:spacing w:before="60" w:after="60"/>
      </w:pPr>
      <w:r>
        <w:rPr>
          <w:rFonts w:ascii="Arial" w:hAnsi="Arial"/>
          <w:b w:val="0"/>
          <w:i w:val="0"/>
          <w:sz w:val="21"/>
        </w:rPr>
        <w:t>Channels are classified into four categories based on upload activity, view trends, and subscriber movement:</w:t>
      </w:r>
    </w:p>
    <w:tbl>
      <w:tblPr>
        <w:tblW w:type="auto" w:w="0"/>
        <w:jc w:val="left"/>
        <w:tblLook w:firstColumn="1" w:firstRow="1" w:lastColumn="0" w:lastRow="0" w:noHBand="0" w:noVBand="1" w:val="04A0"/>
      </w:tblPr>
      <w:tblGrid>
        <w:gridCol w:w="3120"/>
        <w:gridCol w:w="3120"/>
        <w:gridCol w:w="3120"/>
      </w:tblGrid>
      <w:tr>
        <w:tc>
          <w:tcPr>
            <w:tcW w:type="dxa" w:w="2592"/>
            <w:shd w:fill="0F0F1A" w:val="clear"/>
          </w:tcPr>
          <w:p>
            <w:r/>
            <w:r>
              <w:rPr>
                <w:rFonts w:ascii="Arial" w:hAnsi="Arial"/>
                <w:b/>
                <w:color w:val="FFFFFF"/>
                <w:sz w:val="18"/>
              </w:rPr>
              <w:t>Classification</w:t>
            </w:r>
          </w:p>
        </w:tc>
        <w:tc>
          <w:tcPr>
            <w:tcW w:type="dxa" w:w="5040"/>
            <w:shd w:fill="0F0F1A" w:val="clear"/>
          </w:tcPr>
          <w:p>
            <w:r/>
            <w:r>
              <w:rPr>
                <w:rFonts w:ascii="Arial" w:hAnsi="Arial"/>
                <w:b/>
                <w:color w:val="FFFFFF"/>
                <w:sz w:val="18"/>
              </w:rPr>
              <w:t>Criteria</w:t>
            </w:r>
          </w:p>
        </w:tc>
        <w:tc>
          <w:tcPr>
            <w:tcW w:type="dxa" w:w="1656"/>
            <w:shd w:fill="0F0F1A" w:val="clear"/>
          </w:tcPr>
          <w:p>
            <w:r/>
            <w:r>
              <w:rPr>
                <w:rFonts w:ascii="Arial" w:hAnsi="Arial"/>
                <w:b/>
                <w:color w:val="FFFFFF"/>
                <w:sz w:val="18"/>
              </w:rPr>
              <w:t>Count (W25)</w:t>
            </w:r>
          </w:p>
        </w:tc>
      </w:tr>
      <w:tr>
        <w:tc>
          <w:tcPr>
            <w:tcW w:type="dxa" w:w="2592"/>
            <w:shd w:fill="F5F5FA" w:val="clear"/>
          </w:tcPr>
          <w:p>
            <w:r/>
            <w:r>
              <w:rPr>
                <w:rFonts w:ascii="Arial" w:hAnsi="Arial"/>
                <w:color w:val="111111"/>
                <w:sz w:val="18"/>
              </w:rPr>
              <w:t>GROWING</w:t>
            </w:r>
          </w:p>
        </w:tc>
        <w:tc>
          <w:tcPr>
            <w:tcW w:type="dxa" w:w="5040"/>
            <w:shd w:fill="F5F5FA" w:val="clear"/>
          </w:tcPr>
          <w:p>
            <w:r/>
            <w:r>
              <w:rPr>
                <w:rFonts w:ascii="Arial" w:hAnsi="Arial"/>
                <w:color w:val="111111"/>
                <w:sz w:val="18"/>
              </w:rPr>
              <w:t>Active uploads + positive sub/view signals</w:t>
            </w:r>
          </w:p>
        </w:tc>
        <w:tc>
          <w:tcPr>
            <w:tcW w:type="dxa" w:w="1656"/>
            <w:shd w:fill="F5F5FA" w:val="clear"/>
          </w:tcPr>
          <w:p>
            <w:r/>
            <w:r>
              <w:rPr>
                <w:rFonts w:ascii="Arial" w:hAnsi="Arial"/>
                <w:color w:val="111111"/>
                <w:sz w:val="18"/>
              </w:rPr>
              <w:t>26 (29%)</w:t>
            </w:r>
          </w:p>
        </w:tc>
      </w:tr>
      <w:tr>
        <w:tc>
          <w:tcPr>
            <w:tcW w:type="dxa" w:w="2592"/>
          </w:tcPr>
          <w:p>
            <w:r/>
            <w:r>
              <w:rPr>
                <w:rFonts w:ascii="Arial" w:hAnsi="Arial"/>
                <w:color w:val="111111"/>
                <w:sz w:val="18"/>
              </w:rPr>
              <w:t>WEAK_CONVERSION</w:t>
            </w:r>
          </w:p>
        </w:tc>
        <w:tc>
          <w:tcPr>
            <w:tcW w:type="dxa" w:w="5040"/>
          </w:tcPr>
          <w:p>
            <w:r/>
            <w:r>
              <w:rPr>
                <w:rFonts w:ascii="Arial" w:hAnsi="Arial"/>
                <w:color w:val="111111"/>
                <w:sz w:val="18"/>
              </w:rPr>
              <w:t>Active uploads + views but low subscriber growth</w:t>
            </w:r>
          </w:p>
        </w:tc>
        <w:tc>
          <w:tcPr>
            <w:tcW w:type="dxa" w:w="1656"/>
          </w:tcPr>
          <w:p>
            <w:r/>
            <w:r>
              <w:rPr>
                <w:rFonts w:ascii="Arial" w:hAnsi="Arial"/>
                <w:color w:val="111111"/>
                <w:sz w:val="18"/>
              </w:rPr>
              <w:t>16 (18%)</w:t>
            </w:r>
          </w:p>
        </w:tc>
      </w:tr>
      <w:tr>
        <w:tc>
          <w:tcPr>
            <w:tcW w:type="dxa" w:w="2592"/>
            <w:shd w:fill="F5F5FA" w:val="clear"/>
          </w:tcPr>
          <w:p>
            <w:r/>
            <w:r>
              <w:rPr>
                <w:rFonts w:ascii="Arial" w:hAnsi="Arial"/>
                <w:color w:val="111111"/>
                <w:sz w:val="18"/>
              </w:rPr>
              <w:t>UNDERFED</w:t>
            </w:r>
          </w:p>
        </w:tc>
        <w:tc>
          <w:tcPr>
            <w:tcW w:type="dxa" w:w="5040"/>
            <w:shd w:fill="F5F5FA" w:val="clear"/>
          </w:tcPr>
          <w:p>
            <w:r/>
            <w:r>
              <w:rPr>
                <w:rFonts w:ascii="Arial" w:hAnsi="Arial"/>
                <w:color w:val="111111"/>
                <w:sz w:val="18"/>
              </w:rPr>
              <w:t>Some activity but below cadence thresholds</w:t>
            </w:r>
          </w:p>
        </w:tc>
        <w:tc>
          <w:tcPr>
            <w:tcW w:type="dxa" w:w="1656"/>
            <w:shd w:fill="F5F5FA" w:val="clear"/>
          </w:tcPr>
          <w:p>
            <w:r/>
            <w:r>
              <w:rPr>
                <w:rFonts w:ascii="Arial" w:hAnsi="Arial"/>
                <w:color w:val="111111"/>
                <w:sz w:val="18"/>
              </w:rPr>
              <w:t>14 (16%)</w:t>
            </w:r>
          </w:p>
        </w:tc>
      </w:tr>
      <w:tr>
        <w:tc>
          <w:tcPr>
            <w:tcW w:type="dxa" w:w="2592"/>
          </w:tcPr>
          <w:p>
            <w:r/>
            <w:r>
              <w:rPr>
                <w:rFonts w:ascii="Arial" w:hAnsi="Arial"/>
                <w:color w:val="111111"/>
                <w:sz w:val="18"/>
              </w:rPr>
              <w:t>COLD</w:t>
            </w:r>
          </w:p>
        </w:tc>
        <w:tc>
          <w:tcPr>
            <w:tcW w:type="dxa" w:w="5040"/>
          </w:tcPr>
          <w:p>
            <w:r/>
            <w:r>
              <w:rPr>
                <w:rFonts w:ascii="Arial" w:hAnsi="Arial"/>
                <w:color w:val="111111"/>
                <w:sz w:val="18"/>
              </w:rPr>
              <w:t>No meaningful recent upload activity</w:t>
            </w:r>
          </w:p>
        </w:tc>
        <w:tc>
          <w:tcPr>
            <w:tcW w:type="dxa" w:w="1656"/>
          </w:tcPr>
          <w:p>
            <w:r/>
            <w:r>
              <w:rPr>
                <w:rFonts w:ascii="Arial" w:hAnsi="Arial"/>
                <w:color w:val="111111"/>
                <w:sz w:val="18"/>
              </w:rPr>
              <w:t>34 (38%)</w:t>
            </w:r>
          </w:p>
        </w:tc>
      </w:tr>
    </w:tbl>
    <w:p>
      <w:pPr>
        <w:spacing w:before="120" w:after="0"/>
      </w:pPr>
    </w:p>
    <w:p>
      <w:pPr>
        <w:pStyle w:val="Heading2"/>
      </w:pPr>
      <w:r>
        <w:t>Cadence Labels</w:t>
      </w:r>
    </w:p>
    <w:tbl>
      <w:tblPr>
        <w:tblW w:type="auto" w:w="0"/>
        <w:jc w:val="left"/>
        <w:tblLook w:firstColumn="1" w:firstRow="1" w:lastColumn="0" w:lastRow="0" w:noHBand="0" w:noVBand="1" w:val="04A0"/>
      </w:tblPr>
      <w:tblGrid>
        <w:gridCol w:w="3120"/>
        <w:gridCol w:w="3120"/>
        <w:gridCol w:w="3120"/>
      </w:tblGrid>
      <w:tr>
        <w:tc>
          <w:tcPr>
            <w:tcW w:type="dxa" w:w="2016"/>
            <w:shd w:fill="0F0F1A" w:val="clear"/>
          </w:tcPr>
          <w:p>
            <w:r/>
            <w:r>
              <w:rPr>
                <w:rFonts w:ascii="Arial" w:hAnsi="Arial"/>
                <w:b/>
                <w:color w:val="FFFFFF"/>
                <w:sz w:val="18"/>
              </w:rPr>
              <w:t>Label</w:t>
            </w:r>
          </w:p>
        </w:tc>
        <w:tc>
          <w:tcPr>
            <w:tcW w:type="dxa" w:w="5040"/>
            <w:shd w:fill="0F0F1A" w:val="clear"/>
          </w:tcPr>
          <w:p>
            <w:r/>
            <w:r>
              <w:rPr>
                <w:rFonts w:ascii="Arial" w:hAnsi="Arial"/>
                <w:b/>
                <w:color w:val="FFFFFF"/>
                <w:sz w:val="18"/>
              </w:rPr>
              <w:t>Approximate Threshold</w:t>
            </w:r>
          </w:p>
        </w:tc>
        <w:tc>
          <w:tcPr>
            <w:tcW w:type="dxa" w:w="2232"/>
            <w:shd w:fill="0F0F1A" w:val="clear"/>
          </w:tcPr>
          <w:p>
            <w:r/>
            <w:r>
              <w:rPr>
                <w:rFonts w:ascii="Arial" w:hAnsi="Arial"/>
                <w:b/>
                <w:color w:val="FFFFFF"/>
                <w:sz w:val="18"/>
              </w:rPr>
              <w:t>Count (W25)</w:t>
            </w:r>
          </w:p>
        </w:tc>
      </w:tr>
      <w:tr>
        <w:tc>
          <w:tcPr>
            <w:tcW w:type="dxa" w:w="2016"/>
            <w:shd w:fill="F5F5FA" w:val="clear"/>
          </w:tcPr>
          <w:p>
            <w:r/>
            <w:r>
              <w:rPr>
                <w:rFonts w:ascii="Arial" w:hAnsi="Arial"/>
                <w:color w:val="111111"/>
                <w:sz w:val="18"/>
              </w:rPr>
              <w:t>None</w:t>
            </w:r>
          </w:p>
        </w:tc>
        <w:tc>
          <w:tcPr>
            <w:tcW w:type="dxa" w:w="5040"/>
            <w:shd w:fill="F5F5FA" w:val="clear"/>
          </w:tcPr>
          <w:p>
            <w:r/>
            <w:r>
              <w:rPr>
                <w:rFonts w:ascii="Arial" w:hAnsi="Arial"/>
                <w:color w:val="111111"/>
                <w:sz w:val="18"/>
              </w:rPr>
              <w:t>0 uploads in 30 days</w:t>
            </w:r>
          </w:p>
        </w:tc>
        <w:tc>
          <w:tcPr>
            <w:tcW w:type="dxa" w:w="2232"/>
            <w:shd w:fill="F5F5FA" w:val="clear"/>
          </w:tcPr>
          <w:p>
            <w:r/>
            <w:r>
              <w:rPr>
                <w:rFonts w:ascii="Arial" w:hAnsi="Arial"/>
                <w:color w:val="111111"/>
                <w:sz w:val="18"/>
              </w:rPr>
              <w:t>29</w:t>
            </w:r>
          </w:p>
        </w:tc>
      </w:tr>
      <w:tr>
        <w:tc>
          <w:tcPr>
            <w:tcW w:type="dxa" w:w="2016"/>
          </w:tcPr>
          <w:p>
            <w:r/>
            <w:r>
              <w:rPr>
                <w:rFonts w:ascii="Arial" w:hAnsi="Arial"/>
                <w:color w:val="111111"/>
                <w:sz w:val="18"/>
              </w:rPr>
              <w:t>Light</w:t>
            </w:r>
          </w:p>
        </w:tc>
        <w:tc>
          <w:tcPr>
            <w:tcW w:type="dxa" w:w="5040"/>
          </w:tcPr>
          <w:p>
            <w:r/>
            <w:r>
              <w:rPr>
                <w:rFonts w:ascii="Arial" w:hAnsi="Arial"/>
                <w:color w:val="111111"/>
                <w:sz w:val="18"/>
              </w:rPr>
              <w:t>1–2 uploads in 30 days</w:t>
            </w:r>
          </w:p>
        </w:tc>
        <w:tc>
          <w:tcPr>
            <w:tcW w:type="dxa" w:w="2232"/>
          </w:tcPr>
          <w:p>
            <w:r/>
            <w:r>
              <w:rPr>
                <w:rFonts w:ascii="Arial" w:hAnsi="Arial"/>
                <w:color w:val="111111"/>
                <w:sz w:val="18"/>
              </w:rPr>
              <w:t>12</w:t>
            </w:r>
          </w:p>
        </w:tc>
      </w:tr>
      <w:tr>
        <w:tc>
          <w:tcPr>
            <w:tcW w:type="dxa" w:w="2016"/>
            <w:shd w:fill="F5F5FA" w:val="clear"/>
          </w:tcPr>
          <w:p>
            <w:r/>
            <w:r>
              <w:rPr>
                <w:rFonts w:ascii="Arial" w:hAnsi="Arial"/>
                <w:color w:val="111111"/>
                <w:sz w:val="18"/>
              </w:rPr>
              <w:t>Moderate</w:t>
            </w:r>
          </w:p>
        </w:tc>
        <w:tc>
          <w:tcPr>
            <w:tcW w:type="dxa" w:w="5040"/>
            <w:shd w:fill="F5F5FA" w:val="clear"/>
          </w:tcPr>
          <w:p>
            <w:r/>
            <w:r>
              <w:rPr>
                <w:rFonts w:ascii="Arial" w:hAnsi="Arial"/>
                <w:color w:val="111111"/>
                <w:sz w:val="18"/>
              </w:rPr>
              <w:t>3–9 uploads in 30 days</w:t>
            </w:r>
          </w:p>
        </w:tc>
        <w:tc>
          <w:tcPr>
            <w:tcW w:type="dxa" w:w="2232"/>
            <w:shd w:fill="F5F5FA" w:val="clear"/>
          </w:tcPr>
          <w:p>
            <w:r/>
            <w:r>
              <w:rPr>
                <w:rFonts w:ascii="Arial" w:hAnsi="Arial"/>
                <w:color w:val="111111"/>
                <w:sz w:val="18"/>
              </w:rPr>
              <w:t>22</w:t>
            </w:r>
          </w:p>
        </w:tc>
      </w:tr>
      <w:tr>
        <w:tc>
          <w:tcPr>
            <w:tcW w:type="dxa" w:w="2016"/>
          </w:tcPr>
          <w:p>
            <w:r/>
            <w:r>
              <w:rPr>
                <w:rFonts w:ascii="Arial" w:hAnsi="Arial"/>
                <w:color w:val="111111"/>
                <w:sz w:val="18"/>
              </w:rPr>
              <w:t>Strong</w:t>
            </w:r>
          </w:p>
        </w:tc>
        <w:tc>
          <w:tcPr>
            <w:tcW w:type="dxa" w:w="5040"/>
          </w:tcPr>
          <w:p>
            <w:r/>
            <w:r>
              <w:rPr>
                <w:rFonts w:ascii="Arial" w:hAnsi="Arial"/>
                <w:color w:val="111111"/>
                <w:sz w:val="18"/>
              </w:rPr>
              <w:t>10+ uploads in 30 days</w:t>
            </w:r>
          </w:p>
        </w:tc>
        <w:tc>
          <w:tcPr>
            <w:tcW w:type="dxa" w:w="2232"/>
          </w:tcPr>
          <w:p>
            <w:r/>
            <w:r>
              <w:rPr>
                <w:rFonts w:ascii="Arial" w:hAnsi="Arial"/>
                <w:color w:val="111111"/>
                <w:sz w:val="18"/>
              </w:rPr>
              <w:t>16</w:t>
            </w:r>
          </w:p>
        </w:tc>
      </w:tr>
    </w:tbl>
    <w:p>
      <w:pPr>
        <w:spacing w:before="120" w:after="0"/>
      </w:pPr>
    </w:p>
    <w:p>
      <w:pPr>
        <w:pStyle w:val="Heading2"/>
      </w:pPr>
      <w:r>
        <w:t>Known Limitations</w:t>
      </w:r>
    </w:p>
    <w:p>
      <w:pPr>
        <w:pStyle w:val="ListBullet"/>
        <w:spacing w:before="40" w:after="40"/>
      </w:pPr>
      <w:r>
        <w:rPr>
          <w:rFonts w:ascii="Arial" w:hAnsi="Arial"/>
          <w:sz w:val="21"/>
        </w:rPr>
        <w:t>Single-week snapshot: Only W25 has full roster coverage. Longitudinal analysis is not possible.</w:t>
      </w:r>
    </w:p>
    <w:p>
      <w:pPr>
        <w:pStyle w:val="ListBullet"/>
        <w:spacing w:before="40" w:after="40"/>
      </w:pPr>
      <w:r>
        <w:rPr>
          <w:rFonts w:ascii="Arial" w:hAnsi="Arial"/>
          <w:sz w:val="21"/>
        </w:rPr>
        <w:t>Classification circularity: Cadence labels and signal classifications may use overlapping inputs.</w:t>
      </w:r>
    </w:p>
    <w:p>
      <w:pPr>
        <w:pStyle w:val="ListBullet"/>
        <w:spacing w:before="40" w:after="40"/>
      </w:pPr>
      <w:r>
        <w:rPr>
          <w:rFonts w:ascii="Arial" w:hAnsi="Arial"/>
          <w:sz w:val="21"/>
        </w:rPr>
        <w:t>No revenue data: Views and subscribers are tracked but monetisation is not.</w:t>
      </w:r>
    </w:p>
    <w:p>
      <w:pPr>
        <w:pStyle w:val="ListBullet"/>
        <w:spacing w:before="40" w:after="40"/>
      </w:pPr>
      <w:r>
        <w:rPr>
          <w:rFonts w:ascii="Arial" w:hAnsi="Arial"/>
          <w:sz w:val="21"/>
        </w:rPr>
        <w:t>No content quality metrics: Production value, engagement rate, and retention are not captured.</w:t>
      </w:r>
    </w:p>
    <w:p>
      <w:pPr>
        <w:pStyle w:val="ListBullet"/>
        <w:spacing w:before="40" w:after="40"/>
      </w:pPr>
      <w:r>
        <w:rPr>
          <w:rFonts w:ascii="Arial" w:hAnsi="Arial"/>
          <w:sz w:val="21"/>
        </w:rPr>
        <w:t>Market channels are observed, not managed: Their strategies cannot be attributed to any intervention.</w:t>
      </w:r>
    </w:p>
    <w:p>
      <w:pPr>
        <w:pStyle w:val="ListBullet"/>
        <w:spacing w:before="40" w:after="40"/>
      </w:pPr>
      <w:r>
        <w:rPr>
          <w:rFonts w:ascii="Arial" w:hAnsi="Arial"/>
          <w:sz w:val="21"/>
        </w:rPr>
        <w:t>WoW percentage changes on small bases can be misleading (e.g. +257% on 2,875 views).</w:t>
      </w:r>
    </w:p>
    <w:sectPr w:rsidR="00FC693F" w:rsidRPr="0006063C" w:rsidSect="00034616">
      <w:headerReference w:type="default" r:id="rId9"/>
      <w:footerReference w:type="default" r:id="rId10"/>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6B80"/>
        <w:sz w:val="16"/>
      </w:rPr>
      <w:t xml:space="preserve">Page </w:t>
    </w:r>
    <w:r>
      <w:rPr>
        <w:rFonts w:ascii="Arial" w:hAnsi="Arial"/>
        <w:color w:val="6B6B80"/>
        <w:sz w:val="16"/>
      </w:rPr>
      <w:fldChar w:fldCharType="begin"/>
    </w:r>
    <w:r>
      <w:rPr>
        <w:rFonts w:ascii="Arial" w:hAnsi="Arial"/>
        <w:color w:val="6B6B80"/>
        <w:sz w:val="16"/>
      </w:rPr>
      <w:instrText xml:space="preserve"> PAGE </w:instrText>
    </w:r>
    <w:r>
      <w:rPr>
        <w:rFonts w:ascii="Arial" w:hAnsi="Arial"/>
        <w:color w:val="6B6B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B6B80"/>
        <w:sz w:val="16"/>
      </w:rPr>
      <w:t>YouTube Channel Behaviour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F0F1A"/>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F3460"/>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E9456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