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3324"/>
        <w:gridCol w:w="3324"/>
        <w:gridCol w:w="3324"/>
      </w:tblGrid>
      <w:tr>
        <w:tc>
          <w:tcPr>
            <w:tcW w:type="dxa" w:w="3324"/>
          </w:tcPr>
          <w:p>
            <w:pPr>
              <w:jc w:val="center"/>
            </w:pPr>
            <w:r>
              <w:rPr>
                <w:rFonts w:ascii="Times New Roman" w:hAnsi="Times New Roman"/>
                <w:b/>
                <w:sz w:val="18"/>
              </w:rPr>
              <w:t>RÉPUBLIQUE DU CAMEROUN</w:t>
            </w:r>
          </w:p>
          <w:p>
            <w:pPr>
              <w:jc w:val="center"/>
            </w:pPr>
            <w:r>
              <w:rPr>
                <w:rFonts w:ascii="Times New Roman" w:hAnsi="Times New Roman"/>
                <w:sz w:val="18"/>
              </w:rPr>
              <w:t>Paix-Travail-Patrie</w:t>
            </w:r>
          </w:p>
          <w:p>
            <w:pPr>
              <w:jc w:val="center"/>
            </w:pPr>
            <w:r>
              <w:rPr>
                <w:rFonts w:ascii="Times New Roman" w:hAnsi="Times New Roman"/>
                <w:sz w:val="18"/>
              </w:rPr>
              <w:t>***</w:t>
            </w:r>
          </w:p>
          <w:p>
            <w:pPr>
              <w:jc w:val="center"/>
            </w:pPr>
            <w:r>
              <w:rPr>
                <w:rFonts w:ascii="Times New Roman" w:hAnsi="Times New Roman"/>
                <w:b/>
                <w:sz w:val="18"/>
              </w:rPr>
              <w:t>UNIVERSITÉ DE DSCHANG</w:t>
            </w:r>
          </w:p>
          <w:p>
            <w:pPr>
              <w:jc w:val="center"/>
            </w:pPr>
            <w:r>
              <w:rPr>
                <w:rFonts w:ascii="Times New Roman" w:hAnsi="Times New Roman"/>
                <w:b/>
                <w:sz w:val="18"/>
              </w:rPr>
              <w:t>ÉCOLE DOCTORALE</w:t>
            </w:r>
          </w:p>
          <w:p>
            <w:pPr>
              <w:jc w:val="center"/>
            </w:pPr>
            <w:r>
              <w:rPr>
                <w:rFonts w:ascii="Times New Roman" w:hAnsi="Times New Roman"/>
                <w:sz w:val="18"/>
              </w:rPr>
              <w:t>***</w:t>
            </w:r>
          </w:p>
          <w:p>
            <w:pPr>
              <w:jc w:val="center"/>
            </w:pPr>
            <w:r>
              <w:rPr>
                <w:rFonts w:ascii="Times New Roman" w:hAnsi="Times New Roman"/>
                <w:sz w:val="18"/>
              </w:rPr>
              <w:t>UFD Sciences Fondamentales et Technologiques</w:t>
            </w:r>
          </w:p>
          <w:p>
            <w:pPr>
              <w:jc w:val="center"/>
            </w:pPr>
            <w:r>
              <w:rPr>
                <w:rFonts w:ascii="Times New Roman" w:hAnsi="Times New Roman"/>
                <w:sz w:val="18"/>
              </w:rPr>
              <w:t>***</w:t>
            </w:r>
          </w:p>
          <w:p>
            <w:pPr>
              <w:jc w:val="center"/>
            </w:pPr>
            <w:r>
              <w:rPr>
                <w:rFonts w:ascii="Times New Roman" w:hAnsi="Times New Roman"/>
                <w:sz w:val="18"/>
              </w:rPr>
              <w:t>Unité de Recherche en Informatique Fondamentale,</w:t>
            </w:r>
          </w:p>
          <w:p>
            <w:pPr>
              <w:jc w:val="center"/>
            </w:pPr>
            <w:r>
              <w:rPr>
                <w:rFonts w:ascii="Times New Roman" w:hAnsi="Times New Roman"/>
                <w:sz w:val="18"/>
              </w:rPr>
              <w:t>Ingénierie et Applications</w:t>
            </w:r>
          </w:p>
          <w:p>
            <w:pPr>
              <w:jc w:val="center"/>
            </w:pPr>
            <w:r>
              <w:rPr>
                <w:rFonts w:ascii="Times New Roman" w:hAnsi="Times New Roman"/>
                <w:b/>
                <w:sz w:val="18"/>
              </w:rPr>
              <w:t>(URIFIA)</w:t>
            </w:r>
          </w:p>
        </w:tc>
        <w:tc>
          <w:tcPr>
            <w:tcW w:type="dxa" w:w="3324"/>
          </w:tcPr>
          <w:p>
            <w:pPr>
              <w:jc w:val="center"/>
            </w:pPr>
          </w:p>
        </w:tc>
        <w:tc>
          <w:tcPr>
            <w:tcW w:type="dxa" w:w="3324"/>
          </w:tcPr>
          <w:p>
            <w:pPr>
              <w:jc w:val="center"/>
            </w:pPr>
            <w:r>
              <w:rPr>
                <w:rFonts w:ascii="Times New Roman" w:hAnsi="Times New Roman"/>
                <w:b/>
                <w:sz w:val="18"/>
              </w:rPr>
              <w:t>REPUBLIC OF CAMEROON</w:t>
            </w:r>
          </w:p>
          <w:p>
            <w:pPr>
              <w:jc w:val="center"/>
            </w:pPr>
            <w:r>
              <w:rPr>
                <w:rFonts w:ascii="Times New Roman" w:hAnsi="Times New Roman"/>
                <w:sz w:val="18"/>
              </w:rPr>
              <w:t>Peace-Work-Fatherland</w:t>
            </w:r>
          </w:p>
          <w:p>
            <w:pPr>
              <w:jc w:val="center"/>
            </w:pPr>
            <w:r>
              <w:rPr>
                <w:rFonts w:ascii="Times New Roman" w:hAnsi="Times New Roman"/>
                <w:sz w:val="18"/>
              </w:rPr>
              <w:t>***</w:t>
            </w:r>
          </w:p>
          <w:p>
            <w:pPr>
              <w:jc w:val="center"/>
            </w:pPr>
            <w:r>
              <w:rPr>
                <w:rFonts w:ascii="Times New Roman" w:hAnsi="Times New Roman"/>
                <w:b/>
                <w:sz w:val="18"/>
              </w:rPr>
              <w:t>UNIVERSITY OF DSCHANG</w:t>
            </w:r>
          </w:p>
          <w:p>
            <w:pPr>
              <w:jc w:val="center"/>
            </w:pPr>
            <w:r>
              <w:rPr>
                <w:rFonts w:ascii="Times New Roman" w:hAnsi="Times New Roman"/>
                <w:b/>
                <w:sz w:val="18"/>
              </w:rPr>
              <w:t>DOCTORAL SCHOOL</w:t>
            </w:r>
          </w:p>
          <w:p>
            <w:pPr>
              <w:jc w:val="center"/>
            </w:pPr>
            <w:r>
              <w:rPr>
                <w:rFonts w:ascii="Times New Roman" w:hAnsi="Times New Roman"/>
                <w:sz w:val="18"/>
              </w:rPr>
              <w:t>***</w:t>
            </w:r>
          </w:p>
          <w:p>
            <w:pPr>
              <w:jc w:val="center"/>
            </w:pPr>
            <w:r>
              <w:rPr>
                <w:rFonts w:ascii="Times New Roman" w:hAnsi="Times New Roman"/>
                <w:sz w:val="18"/>
              </w:rPr>
              <w:t>Dschang School of Science and Technology</w:t>
            </w:r>
          </w:p>
          <w:p>
            <w:pPr>
              <w:jc w:val="center"/>
            </w:pPr>
            <w:r>
              <w:rPr>
                <w:rFonts w:ascii="Times New Roman" w:hAnsi="Times New Roman"/>
                <w:sz w:val="18"/>
              </w:rPr>
              <w:t>***</w:t>
            </w:r>
          </w:p>
          <w:p>
            <w:pPr>
              <w:jc w:val="center"/>
            </w:pPr>
            <w:r>
              <w:rPr>
                <w:rFonts w:ascii="Times New Roman" w:hAnsi="Times New Roman"/>
                <w:sz w:val="18"/>
              </w:rPr>
              <w:t>Fundamental Computer Science, Engineering,</w:t>
            </w:r>
          </w:p>
          <w:p>
            <w:pPr>
              <w:jc w:val="center"/>
            </w:pPr>
            <w:r>
              <w:rPr>
                <w:rFonts w:ascii="Times New Roman" w:hAnsi="Times New Roman"/>
                <w:sz w:val="18"/>
              </w:rPr>
              <w:t>and Application research unit</w:t>
            </w:r>
          </w:p>
          <w:p>
            <w:pPr>
              <w:jc w:val="center"/>
            </w:pPr>
            <w:r>
              <w:rPr>
                <w:rFonts w:ascii="Times New Roman" w:hAnsi="Times New Roman"/>
                <w:b/>
                <w:sz w:val="18"/>
              </w:rPr>
              <w:t>(URIFIA)</w:t>
            </w:r>
          </w:p>
        </w:tc>
      </w:tr>
    </w:tbl>
    <w:p/>
    <w:p/>
    <w:p>
      <w:pPr>
        <w:jc w:val="center"/>
      </w:pPr>
      <w:r>
        <w:rPr>
          <w:rFonts w:ascii="Times New Roman" w:hAnsi="Times New Roman"/>
          <w:b/>
          <w:sz w:val="28"/>
        </w:rPr>
        <w:t>RAPPORT SCIENTIFIQUE SUR LE MÉMOIRE DE MASTER</w:t>
      </w:r>
    </w:p>
    <w:p>
      <w:pPr>
        <w:jc w:val="center"/>
      </w:pPr>
      <w:r>
        <w:rPr>
          <w:rFonts w:ascii="Times New Roman" w:hAnsi="Times New Roman"/>
          <w:b/>
          <w:sz w:val="24"/>
        </w:rPr>
        <w:t>Présenté par :</w:t>
      </w:r>
      <w:r>
        <w:rPr>
          <w:rFonts w:ascii="Times New Roman" w:hAnsi="Times New Roman"/>
          <w:i/>
          <w:sz w:val="24"/>
        </w:rPr>
        <w:br/>
        <w:t>M. KENFACK Leonel</w:t>
      </w:r>
      <w:r>
        <w:rPr>
          <w:rFonts w:ascii="Times New Roman" w:hAnsi="Times New Roman"/>
          <w:i/>
          <w:sz w:val="24"/>
        </w:rPr>
        <w:br/>
        <w:t>Matricule : CM-UDS-17SCI0998</w:t>
      </w:r>
      <w:r>
        <w:rPr>
          <w:rFonts w:ascii="Times New Roman" w:hAnsi="Times New Roman"/>
          <w:i/>
          <w:sz w:val="24"/>
        </w:rPr>
        <w:br/>
        <w:t>Étudiant en Master en Informatique, option Informatique Fondamentale, spécialisation Intelligence Artificielle</w:t>
      </w:r>
      <w:r>
        <w:rPr>
          <w:rFonts w:ascii="Times New Roman" w:hAnsi="Times New Roman"/>
          <w:i/>
          <w:sz w:val="24"/>
        </w:rPr>
        <w:br/>
        <w:t>Département de Mathématiques et Informatique</w:t>
      </w:r>
      <w:r>
        <w:rPr>
          <w:rFonts w:ascii="Times New Roman" w:hAnsi="Times New Roman"/>
          <w:i/>
          <w:sz w:val="24"/>
        </w:rPr>
        <w:br/>
        <w:t>Faculté des Sciences, Université de Dschang</w:t>
      </w:r>
    </w:p>
    <w:p>
      <w:pPr>
        <w:jc w:val="center"/>
      </w:pPr>
      <w:r>
        <w:rPr>
          <w:rFonts w:ascii="Times New Roman" w:hAnsi="Times New Roman"/>
          <w:i/>
          <w:sz w:val="24"/>
        </w:rPr>
        <w:t>Mémoire de Master réalisé au sein de l'Unité de Recherche en Informatique Fondamentale, Ingénierie et Applications (URIFIA), sous la direction du Pr. BOMGNI Alain Bertrand, Professeur Titulaire à l'Université de Dschang.</w:t>
      </w:r>
    </w:p>
    <w:p/>
    <w:p>
      <w:pPr>
        <w:jc w:val="left"/>
      </w:pPr>
      <w:r>
        <w:rPr>
          <w:rFonts w:ascii="Times New Roman" w:hAnsi="Times New Roman"/>
          <w:b/>
          <w:sz w:val="24"/>
        </w:rPr>
        <w:t>Thème :</w:t>
      </w:r>
      <w:r>
        <w:rPr>
          <w:rFonts w:ascii="Times New Roman" w:hAnsi="Times New Roman"/>
          <w:sz w:val="24"/>
        </w:rPr>
        <w:t xml:space="preserve"> </w:t>
      </w:r>
      <w:r>
        <w:rPr>
          <w:rFonts w:ascii="Times New Roman" w:hAnsi="Times New Roman"/>
          <w:b/>
          <w:i/>
          <w:sz w:val="24"/>
        </w:rPr>
        <w:t>« Développement de Méthodes d'Apprentissage Automatique pour la Mise à l'Échelle Spatiale des Données Climatiques »</w:t>
      </w:r>
    </w:p>
    <w:p/>
    <w:p>
      <w:pPr>
        <w:jc w:val="both"/>
      </w:pPr>
      <w:r>
        <w:rPr>
          <w:rFonts w:ascii="Times New Roman" w:hAnsi="Times New Roman"/>
          <w:sz w:val="22"/>
        </w:rPr>
        <w:t>Le changement climatique impose aux décideurs locaux des choix de plus en plus fins en matière d'agriculture, de gestion de l'eau et d'urbanisme. Or les modèles climatiques globaux utilisés par le GIEC simulent l'atmosphère à 100 à 250 km par maille, soit une résolution très en deçà de ce qu'exige la planification communale. Le passage à une représentation au kilomètre, dite descente d'échelle climatique, est donc une étape nécessaire à toute application d'aide à la décision. Pour le contexte africain en général et camerounais en particulier, cette étape est doublement contrainte : les modèles régionaux dynamiques coûtent plusieurs centaines de cœurs HPC par scénario et un continent qui héberge moins de 1 % des capacités HPC mondiales en est de fait exclu.</w:t>
      </w:r>
    </w:p>
    <w:p>
      <w:pPr>
        <w:jc w:val="both"/>
      </w:pPr>
      <w:r>
        <w:rPr>
          <w:rFonts w:ascii="Times New Roman" w:hAnsi="Times New Roman"/>
          <w:sz w:val="22"/>
        </w:rPr>
        <w:t xml:space="preserve">Dans ce contexte, le mémoire de </w:t>
      </w:r>
      <w:r>
        <w:rPr>
          <w:rFonts w:ascii="Times New Roman" w:hAnsi="Times New Roman"/>
          <w:b/>
          <w:sz w:val="22"/>
        </w:rPr>
        <w:t>M. KENFACK Leonel</w:t>
      </w:r>
      <w:r>
        <w:rPr>
          <w:rFonts w:ascii="Times New Roman" w:hAnsi="Times New Roman"/>
          <w:sz w:val="22"/>
        </w:rPr>
        <w:t xml:space="preserve"> propose une réponse architecturale originale : </w:t>
      </w:r>
      <w:r>
        <w:rPr>
          <w:rFonts w:ascii="Times New Roman" w:hAnsi="Times New Roman"/>
          <w:b/>
          <w:sz w:val="22"/>
        </w:rPr>
        <w:t>Oracle</w:t>
      </w:r>
      <w:r>
        <w:rPr>
          <w:rFonts w:ascii="Times New Roman" w:hAnsi="Times New Roman"/>
          <w:sz w:val="22"/>
        </w:rPr>
        <w:t xml:space="preserve">, une architecture générative à deux étages où la causalité est placée dans la topologie même du graphe de calcul plutôt que dans une régularisation de la perte. Un premier étage causal produit la moyenne déterministe haute résolution via un graphe atmosphérique hétérogène, un encodeur intelligible par variable et un réseau causal récurrent sous contrainte d'acyclicité </w:t>
      </w:r>
      <w:r>
        <w:rPr>
          <w:rFonts w:ascii="Times New Roman" w:hAnsi="Times New Roman"/>
          <w:i/>
          <w:sz w:val="22"/>
        </w:rPr>
        <w:t>DAGMA</w:t>
      </w:r>
      <w:r>
        <w:rPr>
          <w:rFonts w:ascii="Times New Roman" w:hAnsi="Times New Roman"/>
          <w:sz w:val="22"/>
        </w:rPr>
        <w:t xml:space="preserve">. Un second étage de diffusion </w:t>
      </w:r>
      <w:r>
        <w:rPr>
          <w:rFonts w:ascii="Times New Roman" w:hAnsi="Times New Roman"/>
          <w:i/>
          <w:sz w:val="22"/>
        </w:rPr>
        <w:t>EDM</w:t>
      </w:r>
      <w:r>
        <w:rPr>
          <w:rFonts w:ascii="Times New Roman" w:hAnsi="Times New Roman"/>
          <w:sz w:val="22"/>
        </w:rPr>
        <w:t>, conditionné par concaténation de canaux, échantillonne le résiduel stochastique en garantissant par construction qu'aucune information ne contourne le chemin causal.</w:t>
      </w:r>
    </w:p>
    <w:p>
      <w:pPr>
        <w:jc w:val="both"/>
      </w:pPr>
      <w:r>
        <w:rPr>
          <w:rFonts w:ascii="Times New Roman" w:hAnsi="Times New Roman"/>
          <w:sz w:val="22"/>
        </w:rPr>
        <w:t>Le travail de l'étudiant s'articule autour de quatre chapitres, encadrés par une introduction générale et une conclusion. Sa structure rigoureuse et sa méthodologie hybride, mêlant formalisation causale (modèles structurels de Pearl), apprentissage de graphes (DAGMA), diffusion préconditionnée (EDM de Karras), et évaluation probabiliste sur trois GCM, témoignent de la richesse scientifique de l'approche.</w:t>
      </w:r>
    </w:p>
    <w:p>
      <w:pPr>
        <w:jc w:val="both"/>
      </w:pPr>
      <w:r>
        <w:rPr>
          <w:rFonts w:ascii="Times New Roman" w:hAnsi="Times New Roman"/>
          <w:sz w:val="22"/>
        </w:rPr>
        <w:t>Le premier chapitre introduit les fondements du downscaling climatique : modèles globaux et régionaux, propriétés statistiques de la précipitation (intermittence, queue lourde, hétérogénéité spatiale), méthodes classiques de désagrégation, paradigmes probabilistes et génératifs récents, formalisme causal structurel. Il formule un trilemme entre stabilité d'entraînement, réalisme des extrêmes et robustesse hors-distribution qui structure la suite du manuscrit.</w:t>
      </w:r>
    </w:p>
    <w:p>
      <w:pPr>
        <w:jc w:val="both"/>
      </w:pPr>
      <w:r>
        <w:rPr>
          <w:rFonts w:ascii="Times New Roman" w:hAnsi="Times New Roman"/>
          <w:sz w:val="22"/>
        </w:rPr>
        <w:t xml:space="preserve">Le deuxième chapitre dresse un état de l'art critique des approches profondes : déterministes (DeepSD, FNO), adversariales (cGAN néo-zélandaise de Rampal et al.), à vraisemblance explicite (VAE, flots), de diffusion (DDPM, EDM, SR3), puis détaille le paradigme à deux étages de </w:t>
      </w:r>
      <w:r>
        <w:rPr>
          <w:rFonts w:ascii="Times New Roman" w:hAnsi="Times New Roman"/>
          <w:i/>
          <w:sz w:val="22"/>
        </w:rPr>
        <w:t>CorrDiff</w:t>
      </w:r>
      <w:r>
        <w:rPr>
          <w:rFonts w:ascii="Times New Roman" w:hAnsi="Times New Roman"/>
          <w:sz w:val="22"/>
        </w:rPr>
        <w:t xml:space="preserve"> de Mardani et al., qui sert d'antécédent direct à la proposition. Une analyse fine identifie le gap scientifique : aucune approche existante ne place la causalité dans la topologie du graphe de calcul.</w:t>
      </w:r>
    </w:p>
    <w:p>
      <w:pPr>
        <w:jc w:val="both"/>
      </w:pPr>
      <w:r>
        <w:rPr>
          <w:rFonts w:ascii="Times New Roman" w:hAnsi="Times New Roman"/>
          <w:sz w:val="22"/>
        </w:rPr>
        <w:t>Le troisième chapitre, cœur de la contribution, formalise l'architecture Oracle : graphe atmosphérique hétérogène à six nœuds typés, encodeur intelligible à quinze perceptrons multicouches dédiés (un par couple variable-niveau), cellule récurrente combinant propagation par matrice causale et mise à jour GRU, apprentissage du DAG par caractérisation continue de l'acyclicité (DAGMA), décodeur graphe-à-grille par attention croisée à résolution intermédiaire, et interface inter-étages par concaténation de canaux garantissant la propriété O3.</w:t>
      </w:r>
    </w:p>
    <w:p>
      <w:pPr>
        <w:jc w:val="both"/>
      </w:pPr>
      <w:r>
        <w:rPr>
          <w:rFonts w:ascii="Times New Roman" w:hAnsi="Times New Roman"/>
          <w:sz w:val="22"/>
        </w:rPr>
        <w:t>Le quatrième chapitre présente le protocole expérimental sur la Nouvelle-Zélande, choisie comme bac à sable méthodologique exigeant (diversité climatique compacte de quatre régimes de Köppen sur moins de 270 000 km², gradient orographique parmi les plus extrêmes au monde). Les résultats sont rapportés sur six familles de métriques (erreur ponctuelle, calibration probabiliste, structure spectrale, extrêmes ETCCDI, robustesse inter-GCM, diagnostics causaux), puis discutés de manière critique.</w:t>
      </w:r>
    </w:p>
    <w:p>
      <w:pPr>
        <w:jc w:val="both"/>
      </w:pPr>
      <w:r>
        <w:rPr>
          <w:rFonts w:ascii="Times New Roman" w:hAnsi="Times New Roman"/>
          <w:sz w:val="22"/>
        </w:rPr>
        <w:t>Les résultats obtenus montrent qu'Oracle améliore significativement la calibration probabiliste : le CRPS recule de 40 % en distribution et de 28 à 30 % en inter-GCM historique, le ratio spread-skill passe d'environ 0,30 à 1,0 (un facteur 3,5), la distance spectrale chute de 0,45 à 0,001. Sur deux interventions contrôlées (perturbations d'humidité de 20 % et de température de 3 K), Oracle répond avec les signes physiquement attendus, là où la baseline non-causale échoue sur l'intervention thermique. Une variante exploratoire à 9 nœuds atteint un score de fidélité physique du DAG appris de 0,9997, ce qui valide que l'architecture est intrinsèquement capable d'apprendre une structure causale physiquement fidèle dès que la cardinalité du graphe correspond au système.</w:t>
      </w:r>
    </w:p>
    <w:p>
      <w:pPr>
        <w:jc w:val="both"/>
      </w:pPr>
      <w:r>
        <w:rPr>
          <w:rFonts w:ascii="Times New Roman" w:hAnsi="Times New Roman"/>
          <w:sz w:val="22"/>
        </w:rPr>
        <w:t>Malgré quelques limites assumées, notamment la configuration principale à six nœuds typés qui produit un DAG aux magnitudes plates, l'absence d'orographie haute résolution en entrée qui pénalise les extrêmes sur le versant occidental des Alpes du Sud, et une évaluation inter-GCM restée historique sans test sur scénario climatique futur, le système démontre un potentiel remarquable pour le downscaling causal génératif. Une section perspectives identifie cinq pistes correctives concrètes : enrichissement du graphe par des nœuds dédiés aux extrêmes (IVT, MSLP, CAPE), injection de l'orographie haute résolution, tête Bernoulli-Gamma pour l'intermittence, régularisation physiquement informée du DAG, évaluation sous scénario SSP5-8.5.</w:t>
      </w:r>
    </w:p>
    <w:p>
      <w:pPr>
        <w:jc w:val="both"/>
      </w:pPr>
      <w:r>
        <w:rPr>
          <w:rFonts w:ascii="Times New Roman" w:hAnsi="Times New Roman"/>
          <w:sz w:val="22"/>
        </w:rPr>
        <w:t>Ce travail se distingue par :</w:t>
      </w:r>
    </w:p>
    <w:p>
      <w:pPr>
        <w:pStyle w:val="ListBullet"/>
        <w:jc w:val="both"/>
      </w:pPr>
      <w:r>
        <w:rPr>
          <w:rFonts w:ascii="Times New Roman" w:hAnsi="Times New Roman"/>
          <w:sz w:val="22"/>
        </w:rPr>
        <w:t>Une valeur scientifique indéniable</w:t>
      </w:r>
      <w:r>
        <w:rPr>
          <w:rFonts w:ascii="Times New Roman" w:hAnsi="Times New Roman"/>
          <w:sz w:val="22"/>
        </w:rPr>
        <w:t>, à travers la première intégration architecturalement contraignante d'un graphe causal appris dans un paradigme génératif à deux étages pour le downscaling climatique probabiliste ;</w:t>
      </w:r>
    </w:p>
    <w:p>
      <w:pPr>
        <w:pStyle w:val="ListBullet"/>
        <w:jc w:val="both"/>
      </w:pPr>
      <w:r>
        <w:rPr>
          <w:rFonts w:ascii="Times New Roman" w:hAnsi="Times New Roman"/>
          <w:sz w:val="22"/>
        </w:rPr>
        <w:t>Une valeur méthodologique forte</w:t>
      </w:r>
      <w:r>
        <w:rPr>
          <w:rFonts w:ascii="Times New Roman" w:hAnsi="Times New Roman"/>
          <w:sz w:val="22"/>
        </w:rPr>
        <w:t>, par la définition d'un protocole expérimental original incluant un test d'intervention contrôlée et une métrique d'indispensabilité architecturale du graphe causal (propriété O3) ;</w:t>
      </w:r>
    </w:p>
    <w:p>
      <w:pPr>
        <w:pStyle w:val="ListBullet"/>
        <w:jc w:val="both"/>
      </w:pPr>
      <w:r>
        <w:rPr>
          <w:rFonts w:ascii="Times New Roman" w:hAnsi="Times New Roman"/>
          <w:sz w:val="22"/>
        </w:rPr>
        <w:t>Une valeur sociétale</w:t>
      </w:r>
      <w:r>
        <w:rPr>
          <w:rFonts w:ascii="Times New Roman" w:hAnsi="Times New Roman"/>
          <w:sz w:val="22"/>
        </w:rPr>
        <w:t>, en proposant une architecture transférable à terme vers le contexte africain où les ressources de calcul à grande échelle restent inaccessibles et où l'adaptation climatique conditionne la sécurité alimentaire.</w:t>
      </w:r>
    </w:p>
    <w:p/>
    <w:p>
      <w:pPr>
        <w:jc w:val="both"/>
      </w:pPr>
      <w:r>
        <w:rPr>
          <w:rFonts w:ascii="Times New Roman" w:hAnsi="Times New Roman"/>
          <w:sz w:val="22"/>
        </w:rPr>
        <w:t>Compte tenu de la qualité du travail réalisé, tant sur le fond que sur la forme, de la pertinence du sujet, de la maîtrise technique démontrée et des perspectives offertes par ce mémoire, je recommande avec conviction que celui-ci soit publiquement soutenu.</w:t>
      </w:r>
    </w:p>
    <w:p/>
    <w:p>
      <w:pPr>
        <w:jc w:val="left"/>
      </w:pPr>
      <w:r>
        <w:rPr>
          <w:rFonts w:ascii="Times New Roman" w:hAnsi="Times New Roman"/>
          <w:sz w:val="22"/>
        </w:rPr>
        <w:t>Fait à Dschang, le 28 juin 2026</w:t>
      </w:r>
    </w:p>
    <w:p/>
    <w:p/>
    <w:p>
      <w:pPr>
        <w:jc w:val="left"/>
      </w:pPr>
      <w:r>
        <w:rPr>
          <w:rFonts w:ascii="Times New Roman" w:hAnsi="Times New Roman"/>
          <w:b/>
          <w:sz w:val="24"/>
        </w:rPr>
        <w:t>Directeur de mémoire</w:t>
      </w:r>
    </w:p>
    <w:p/>
    <w:p/>
    <w:p>
      <w:pPr>
        <w:jc w:val="left"/>
      </w:pPr>
      <w:r>
        <w:rPr>
          <w:rFonts w:ascii="Times New Roman" w:hAnsi="Times New Roman"/>
          <w:b/>
          <w:sz w:val="24"/>
        </w:rPr>
        <w:t>Pr. BOMGNI Alain Bertrand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