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spacing w:after="80" w:before="0" w:line="269" w:lineRule="auto"/>
      </w:pPr>
      <w:r>
        <w:t>Path to Conversion Copilot: Propuesta de Proyecto</w:t>
      </w:r>
    </w:p>
    <w:p>
      <w:pPr>
        <w:spacing w:after="140" w:before="0" w:line="269" w:lineRule="auto"/>
      </w:pPr>
      <w:r>
        <w:rPr>
          <w:b/>
        </w:rPr>
        <w:t>Data AI Hackathon 2026</w:t>
      </w:r>
      <w:r>
        <w:rPr>
          <w:b w:val="0"/>
        </w:rPr>
        <w:t xml:space="preserve"> · Un problema real de cliente resuelto con una app funcional, demostrable en vivo, que usa IA donde aporta y la mantiene lejos de la aritmética.</w:t>
      </w:r>
    </w:p>
    <w:p>
      <w:pPr>
        <w:pStyle w:val="Heading2"/>
        <w:spacing w:after="80" w:before="180" w:line="269" w:lineRule="auto"/>
      </w:pPr>
      <w:r>
        <w:t>1. Presentación de la idea</w:t>
      </w:r>
    </w:p>
    <w:p>
      <w:pPr>
        <w:spacing w:after="140" w:before="0" w:line="269" w:lineRule="auto"/>
      </w:pPr>
      <w:r>
        <w:rPr>
          <w:b w:val="0"/>
        </w:rPr>
        <w:t>Path to Conversion Copilot convierte un export crudo de Campaign Manager 360 (Path to Conversion) en un reporte de negocio escrito, con gráficos y narrativa, en menos de dos minutos y sin una cifra inventada. Son dos agentes Gemini con un motor de cálculo determinístico en el medio: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Agente de Mapping (Gemini)</w:t>
      </w:r>
      <w:r>
        <w:rPr>
          <w:b w:val="0"/>
        </w:rPr>
        <w:t>: lee los nombres de campañas y sitios del export e infiere qué es Search y qué es Mid-funnel. El usuario aprueba o corrige esa taxonomía antes de que se calcule nada.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Análisis (Python, sin IA)</w:t>
      </w:r>
      <w:r>
        <w:rPr>
          <w:b w:val="0"/>
        </w:rPr>
        <w:t>: reconstruye cada camino de conversión, calcula todas las métricas y dibuja los 8 gráficos. No es un agente: la aritmética es reproducible.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Agente de Narrativa (Gemini)</w:t>
      </w:r>
      <w:r>
        <w:rPr>
          <w:b w:val="0"/>
        </w:rPr>
        <w:t>: redacta la prosa de las 9 secciones sobre esos números y escribe las Conclusiones y Recomendaciones desde cero, leyendo todo el reporte.</w:t>
      </w:r>
    </w:p>
    <w:p>
      <w:pPr>
        <w:spacing w:after="140" w:before="0" w:line="269" w:lineRule="auto"/>
      </w:pPr>
      <w:r>
        <w:rPr>
          <w:b/>
        </w:rPr>
        <w:t>Flujo en 4 pasos</w:t>
      </w:r>
      <w:r>
        <w:rPr>
          <w:b w:val="0"/>
        </w:rPr>
        <w:t>: Upload (export + cliente) → Context (background del cliente en texto libre) → Generate (mapping, aprobación humana, análisis, narrativa) → Report (lectura, auditoría y descarga del .docx).</w:t>
      </w:r>
    </w:p>
    <w:p>
      <w:pPr>
        <w:pStyle w:val="Heading2"/>
        <w:spacing w:after="80" w:before="180" w:line="269" w:lineRule="auto"/>
      </w:pPr>
      <w:r>
        <w:t>2. Qué viene a solucionar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Fricción analítica manual</w:t>
      </w:r>
      <w:r>
        <w:rPr>
          <w:b w:val="0"/>
        </w:rPr>
        <w:t>: el export de prueba trae 30.159 filas con hasta 10 interacciones por conversión. Reconstruir los caminos a mano son horas de tablas dinámicas en cada refresh.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Sesgo del período de activación</w:t>
      </w:r>
      <w:r>
        <w:rPr>
          <w:b w:val="0"/>
        </w:rPr>
        <w:t>: medido sobre el export completo, las semanas previas al tagging de mid-funnel son Search-only por construcción y arrastran toda métrica hacia cero. La app detecta el arranque real en los datos y recorta ese ramp-up sola.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Walled gardens</w:t>
      </w:r>
      <w:r>
        <w:rPr>
          <w:b w:val="0"/>
        </w:rPr>
        <w:t>: CM360 es el único punto donde se ve el cruce entre plataformas cerradas, y el reporte lo usa para medir asistencias reales entre mid-funnel y Search.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Alucinaciones sobre datos de cliente</w:t>
      </w:r>
      <w:r>
        <w:rPr>
          <w:b w:val="0"/>
        </w:rPr>
        <w:t>: un LLM suelto sobre métricas de atribución inventa o re-redondea cifras, y ese riesgo es justamente lo que hoy frena el uso de IA en entregables que firma un account lead.</w:t>
      </w:r>
    </w:p>
    <w:p>
      <w:pPr>
        <w:pStyle w:val="Heading2"/>
        <w:spacing w:after="80" w:before="180" w:line="269" w:lineRule="auto"/>
      </w:pPr>
      <w:r>
        <w:t>3. Por qué proponemos esta solución</w:t>
      </w:r>
    </w:p>
    <w:p>
      <w:pPr>
        <w:spacing w:after="140" w:before="0" w:line="269" w:lineRule="auto"/>
      </w:pPr>
      <w:r>
        <w:rPr>
          <w:b w:val="0"/>
        </w:rPr>
        <w:t>La IA hace lo que hace bien (nombres ambiguos, redacción, criterio) y no toca la aritmética. Lo que lo vuelve confiable no es pedirlo en el prompt sino verificarlo: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Grounding numérico verificado</w:t>
      </w:r>
      <w:r>
        <w:rPr>
          <w:b w:val="0"/>
        </w:rPr>
        <w:t>: cada número que escribe el agente debe aparecer carácter por carácter en los hechos calculados. Si lo inventa o lo re-redondea se rechaza, se reintenta una vez nombrando la cifra, y si vuelve a fallar queda la redacción determinística. El peor caso es prosa más seca, nunca un dato falso.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Conclusiones generativas con libertad real</w:t>
      </w:r>
      <w:r>
        <w:rPr>
          <w:b w:val="0"/>
        </w:rPr>
        <w:t>: para la última sección el agente recibe un digest de todo el reporte (los hechos, los datos detrás de los 8 gráficos, la prosa final de las otras secciones, el contexto del cliente y los flags de calidad de datos) y decide él las conclusiones, los caveats y las recomendaciones priorizadas.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Comparaciones pre-calculadas</w:t>
      </w:r>
      <w:r>
        <w:rPr>
          <w:b w:val="0"/>
        </w:rPr>
        <w:t>: shares, ratios contra el líder y múltiplos se calculan en Python y se le entregan listos, para que compare plataformas sin hacer cuentas propias.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Human-in-the-loop donde importa</w:t>
      </w:r>
      <w:r>
        <w:rPr>
          <w:b w:val="0"/>
        </w:rPr>
        <w:t>: la taxonomía es el único punto donde un error se propaga a todos los números, y es el único que pide aprobación.</w:t>
      </w:r>
    </w:p>
    <w:p>
      <w:pPr>
        <w:pStyle w:val="Heading2"/>
        <w:spacing w:after="80" w:before="180" w:line="269" w:lineRule="auto"/>
      </w:pPr>
      <w:r>
        <w:t>4. Usuario final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Media planners y estrategas</w:t>
      </w:r>
      <w:r>
        <w:rPr>
          <w:b w:val="0"/>
        </w:rPr>
        <w:t>: leen el journey completo sin días de procesamiento previo.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Campaign managers y performance leads</w:t>
      </w:r>
      <w:r>
        <w:rPr>
          <w:b w:val="0"/>
        </w:rPr>
        <w:t>: verifican qué tácticas de mid-funnel asisten de verdad a la conversión.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QA y quien firma el entregable</w:t>
      </w:r>
      <w:r>
        <w:rPr>
          <w:b w:val="0"/>
        </w:rPr>
        <w:t>: reciben un reporte auditable cifra por cifra.</w:t>
      </w:r>
    </w:p>
    <w:p>
      <w:pPr>
        <w:pStyle w:val="Heading2"/>
        <w:spacing w:after="80" w:before="180" w:line="269" w:lineRule="auto"/>
      </w:pPr>
      <w:r>
        <w:t>5. Qué assets y herramientas necesitamos</w:t>
      </w:r>
    </w:p>
    <w:p>
      <w:pPr>
        <w:pStyle w:val="Heading2"/>
        <w:spacing w:after="80" w:before="180" w:line="269" w:lineRule="auto"/>
      </w:pPr>
      <w:r>
        <w:t>6. Cuál es el output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Un .docx de 10 secciones</w:t>
      </w:r>
      <w:r>
        <w:rPr>
          <w:b w:val="0"/>
        </w:rPr>
        <w:t xml:space="preserve"> con los 8 gráficos embebidos: portada, metodología con la taxonomía usada, mix de caminos, top converting paths, transiciones entre plataformas, velocidad, breakdown por plataforma, flujo primer-a-último toque, lag de asistencia y conclusiones.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El mismo reporte en la app</w:t>
      </w:r>
      <w:r>
        <w:rPr>
          <w:b w:val="0"/>
        </w:rPr>
        <w:t>, con auditoría por sección: las cifras no verificadas si hubiera, y la evidencia declarada detrás de cada recomendación.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Corrida real (Rates.ca, 26 jun al 16 ago 2026)</w:t>
      </w:r>
      <w:r>
        <w:rPr>
          <w:b w:val="0"/>
        </w:rPr>
        <w:t>: 30.159 filas → 7.281 conversiones atribuidas, 10 secciones (9 reescritas y 1 generada), 42 párrafos auditados con 0 cifras no verificadas, 12 llamadas a Gemini y 104 segundos punta a punta.</w:t>
      </w:r>
    </w:p>
    <w:p>
      <w:pPr>
        <w:pStyle w:val="Heading2"/>
        <w:spacing w:after="80" w:before="180" w:line="269" w:lineRule="auto"/>
      </w:pPr>
      <w:r>
        <w:t>7. Costos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API</w:t>
      </w:r>
      <w:r>
        <w:rPr>
          <w:b w:val="0"/>
        </w:rPr>
        <w:t>: 12 llamadas y unos 42.000 tokens en modelos flash por reporte, es decir centavos de dólar.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Cómputo</w:t>
      </w:r>
      <w:r>
        <w:rPr>
          <w:b w:val="0"/>
        </w:rPr>
        <w:t>: pandas y matplotlib en una máquina común, costo despreciable.</w:t>
      </w:r>
    </w:p>
    <w:p>
      <w:pPr>
        <w:pStyle w:val="Heading2"/>
        <w:spacing w:after="80" w:before="180" w:line="269" w:lineRule="auto"/>
      </w:pPr>
      <w:r>
        <w:t>8. Beneficios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Cero cifras inventadas</w:t>
      </w:r>
      <w:r>
        <w:rPr>
          <w:b w:val="0"/>
        </w:rPr>
        <w:t>, verificado sobre el .docx final y no sólo en memoria.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De horas a minutos</w:t>
      </w:r>
      <w:r>
        <w:rPr>
          <w:b w:val="0"/>
        </w:rPr>
        <w:t xml:space="preserve"> por reporte, y re-correrlo sobre datos frescos cuesta casi nada.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Recomendaciones específicas y trazables</w:t>
      </w:r>
      <w:r>
        <w:rPr>
          <w:b w:val="0"/>
        </w:rPr>
        <w:t>: en la corrida real propuso sostener Reddit (826 conversiones influenciadas contra 18 de TikTok), mover presupuesto de TikTok (0,2% de las conversiones) y adoptar una ventana de atribución multi-día (lag mediano de 4,7 días), declarando las cifras que respaldan cada una.</w:t>
      </w:r>
    </w:p>
    <w:p>
      <w:pPr>
        <w:pStyle w:val="Heading2"/>
        <w:spacing w:after="80" w:before="180" w:line="269" w:lineRule="auto"/>
      </w:pPr>
      <w:r>
        <w:t>9. Relación costo / beneficio</w:t>
      </w:r>
    </w:p>
    <w:p>
      <w:pPr>
        <w:spacing w:after="140" w:before="0" w:line="269" w:lineRule="auto"/>
      </w:pPr>
      <w:r>
        <w:rPr>
          <w:b w:val="0"/>
        </w:rPr>
        <w:t>Centavos de API y minutos de cómputo contra decenas de horas de analista por campaña, más el riesgo reputacional de entregarle a un cliente un número que no cierra. Y mejora en cada refresh, porque el setup ya está hecho.</w:t>
      </w:r>
    </w:p>
    <w:p>
      <w:pPr>
        <w:pStyle w:val="Heading2"/>
        <w:spacing w:after="80" w:before="180" w:line="269" w:lineRule="auto"/>
      </w:pPr>
      <w:r>
        <w:t>10. Escalabilidad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Fase 1 (hoy, funcionando)</w:t>
      </w:r>
      <w:r>
        <w:rPr>
          <w:b w:val="0"/>
        </w:rPr>
        <w:t>: app de 4 pasos, dos agentes más el análisis, reporte descargable y auditado.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Fase 2</w:t>
      </w:r>
      <w:r>
        <w:rPr>
          <w:b w:val="0"/>
        </w:rPr>
        <w:t>: conexión directa a la CM360 Reporting API y contexto de cliente persistente entre reportes.</w:t>
      </w:r>
    </w:p>
    <w:p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269" w:lineRule="auto" w:before="0"/>
        <w:ind w:left="720" w:right="0" w:hanging="360"/>
        <w:jc w:val="left"/>
      </w:pPr>
      <w:r>
        <w:rPr>
          <w:b/>
        </w:rPr>
        <w:t>Fase 3</w:t>
      </w:r>
      <w:r>
        <w:rPr>
          <w:b w:val="0"/>
        </w:rPr>
        <w:t>: otras fuentes de atribución y un agente de reasignación de presupuesto sobre las mismas cifras verificadas.</w:t>
      </w:r>
    </w:p>
    <w:p>
      <w:pPr>
        <w:pStyle w:val="Heading2"/>
        <w:spacing w:after="80" w:before="180" w:line="269" w:lineRule="auto"/>
      </w:pPr>
      <w:r>
        <w:t>11. Nivel de impacto en el negocio</w:t>
      </w:r>
    </w:p>
    <w:p>
      <w:pPr>
        <w:spacing w:after="0" w:before="0" w:line="269" w:lineRule="auto"/>
      </w:pPr>
      <w:r>
        <w:rPr>
          <w:b w:val="0"/>
        </w:rPr>
        <w:t>Alto. Acorta un entregable recurrente de horas a minutos y lo vuelve auditable, y deja un patrón reutilizable: la IA aporta criterio y redacción, el código aporta la aritmética, y una validación automática en el medio hace que el resultado sea presentable ante un cliente. Ese patrón sirve para cualquier reporte con números que hoy no automatizamos por miedo a las alucinaciones.</w:t>
      </w:r>
    </w:p>
    <w:sectPr>
      <w:pgSz w:h="15840" w:w="12240" w:orient="portrait"/>
      <w:pgMar w:bottom="1440" w:top="1440" w:left="1440" w:right="1440" w:header="0" w:footer="720"/>
      <w:pgNumType w:start="1"/>
    </w:sectPr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6525"/>
        <w:tblGridChange w:id="0">
          <w:tblGrid>
            <w:gridCol w:w="2535"/>
            <w:gridCol w:w="65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pPr>
              <w:spacing w:after="20" w:before="0" w:line="269" w:lineRule="auto"/>
            </w:pPr>
            <w:r>
              <w:rPr>
                <w:b w:val="0"/>
              </w:rPr>
              <w:t>Categoría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pPr>
              <w:spacing w:after="20" w:before="0" w:line="269" w:lineRule="auto"/>
            </w:pPr>
            <w:r>
              <w:rPr>
                <w:b w:val="0"/>
              </w:rPr>
              <w:t>Requerimientos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pPr>
              <w:spacing w:after="20" w:before="0" w:line="269" w:lineRule="auto"/>
            </w:pPr>
            <w:r>
              <w:rPr>
                <w:b w:val="0"/>
              </w:rPr>
              <w:t>Input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pPr>
              <w:spacing w:after="20" w:before="0" w:line="269" w:lineRule="auto"/>
            </w:pPr>
            <w:r>
              <w:rPr>
                <w:b w:val="0"/>
              </w:rPr>
              <w:t>Export de CM360 Path to Conversion (CSV), nombre del cliente y contexto en texto libre.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pPr>
              <w:spacing w:after="20" w:before="0" w:line="269" w:lineRule="auto"/>
            </w:pPr>
            <w:r>
              <w:rPr>
                <w:b w:val="0"/>
              </w:rPr>
              <w:t>Agentes Gemini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pPr>
              <w:spacing w:after="20" w:before="0" w:line="269" w:lineRule="auto"/>
            </w:pPr>
            <w:r>
              <w:rPr>
                <w:b w:val="0"/>
              </w:rPr>
              <w:t>SDK google-genai con salida estructurada por JSON schema. gemini-3-flash-preview, con fallback automático a otros modelos flash si uno no responde.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pPr>
              <w:spacing w:after="20" w:before="0" w:line="269" w:lineRule="auto"/>
            </w:pPr>
            <w:r>
              <w:rPr>
                <w:b w:val="0"/>
              </w:rPr>
              <w:t>Análisis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pPr>
              <w:spacing w:after="20" w:before="0" w:line="269" w:lineRule="auto"/>
            </w:pPr>
            <w:r>
              <w:rPr>
                <w:b w:val="0"/>
              </w:rPr>
              <w:t>Python 3.12, pandas, matplotlib, plotly + kaleido (Sankey) y python-docx.</w:t>
            </w:r>
          </w:p>
        </w:tc>
      </w:tr>
      <w:tr>
        <w:tc>
          <w:tcPr>
            <w:tcW w:type="dxa" w:w="2535"/>
          </w:tcPr>
          <w:p>
            <w:pPr>
              <w:spacing w:after="20" w:before="0" w:line="269" w:lineRule="auto"/>
            </w:pPr>
            <w:r>
              <w:rPr>
                <w:b w:val="0"/>
              </w:rPr>
              <w:t>App</w:t>
            </w:r>
          </w:p>
        </w:tc>
        <w:tc>
          <w:tcPr>
            <w:tcW w:type="dxa" w:w="6525"/>
          </w:tcPr>
          <w:p>
            <w:pPr>
              <w:spacing w:after="20" w:before="0" w:line="269" w:lineRule="auto"/>
            </w:pPr>
            <w:r>
              <w:rPr>
                <w:b w:val="0"/>
              </w:rPr>
              <w:t>Streamlit: 4 pasos, editor de taxonomía, pestaña de auditoría y descarga.</w:t>
            </w:r>
          </w:p>
        </w:tc>
      </w:tr>
      <w:tr>
        <w:tc>
          <w:tcPr>
            <w:tcW w:type="dxa" w:w="2535"/>
          </w:tcPr>
          <w:p>
            <w:pPr>
              <w:spacing w:after="20" w:before="0" w:line="269" w:lineRule="auto"/>
            </w:pPr>
            <w:r>
              <w:rPr>
                <w:b w:val="0"/>
              </w:rPr>
              <w:t>Credenciales</w:t>
            </w:r>
          </w:p>
        </w:tc>
        <w:tc>
          <w:tcPr>
            <w:tcW w:type="dxa" w:w="6525"/>
          </w:tcPr>
          <w:p>
            <w:pPr>
              <w:spacing w:after="20" w:before="0" w:line="269" w:lineRule="auto"/>
            </w:pPr>
            <w:r>
              <w:rPr>
                <w:b w:val="0"/>
              </w:rPr>
              <w:t>GEMINI_API_KEY en .env. Corre local, sin infraestructura nueva.</w:t>
            </w:r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widowControl w:val="0"/>
        <w:spacing w:after="300" w:line="300" w:lineRule="auto"/>
        <w:ind w:left="300" w:right="300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spacing w:after="225" w:line="300" w:lineRule="auto"/>
      <w:ind w:left="300" w:right="300" w:firstLine="0"/>
      <w:jc w:val="both"/>
    </w:pPr>
    <w:rPr>
      <w:b w:val="1"/>
      <w:bCs w:val="1"/>
      <w:color w:val="202124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