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El Número Mágico del Real Estate – Capítulos 10, 12 y 17 (v3)</w:t>
      </w:r>
    </w:p>
    <w:p>
      <w:pPr>
        <w:jc w:val="center"/>
      </w:pPr>
      <w:r>
        <w:rPr>
          <w:i/>
        </w:rPr>
        <w:t>Ticket · Costos y Punto de Equilibrio · Métricas &amp; Automatización</w:t>
      </w:r>
    </w:p>
    <w:p>
      <w:pPr>
        <w:jc w:val="center"/>
      </w:pPr>
      <w:r>
        <w:rPr>
          <w:b/>
        </w:rPr>
        <w:t>por Leonel Donatini</w:t>
      </w:r>
    </w:p>
    <w:p>
      <w:r>
        <w:br w:type="page"/>
      </w:r>
    </w:p>
    <w:p>
      <w:pPr>
        <w:pStyle w:val="Heading1"/>
      </w:pPr>
      <w:r>
        <w:t>Capítulo 10 – Ticket: subir de categoría con método</w:t>
      </w:r>
    </w:p>
    <w:p>
      <w:pPr>
        <w:pStyle w:val="Heading2"/>
      </w:pPr>
      <w:r>
        <w:t>Por qué el ticket importa</w:t>
      </w:r>
    </w:p>
    <w:p>
      <w:pPr>
        <w:spacing w:after="120" w:line="276" w:lineRule="auto"/>
      </w:pPr>
      <w:r>
        <w:t>La cantidad construye la base. La calidad convierte. **El ticket multiplica.**</w:t>
        <w:br/>
        <w:t>Cada punto de ticket que subís impacta de forma directa en tu facturación.</w:t>
        <w:br/>
        <w:t>La ecuación es simple:</w:t>
        <w:br/>
        <w:t>• Ingresos = Ventas × Ticket Promedio × % Comisión × % Oficina (luego del split y gastos).</w:t>
      </w:r>
    </w:p>
    <w:p>
      <w:pPr>
        <w:spacing w:after="120" w:line="276" w:lineRule="auto"/>
      </w:pPr>
      <w:r>
        <w:t>Cuando tu oficina ya tiene ritmo de captación (4% de ventas sobre el stock), **elevar el ticket promedio** se vuelve el acelerador más poderoso, siempre que la calidad acompañe (exclusivas, pricing y servicio).</w:t>
      </w:r>
    </w:p>
    <w:p>
      <w:pPr>
        <w:pStyle w:val="Heading2"/>
      </w:pPr>
      <w:r>
        <w:t>Diagnóstico de tu ticket actual</w:t>
      </w:r>
    </w:p>
    <w:p>
      <w:pPr>
        <w:spacing w:after="120" w:line="276" w:lineRule="auto"/>
      </w:pPr>
      <w:r>
        <w:t>Antes de subir, medí:</w:t>
        <w:br/>
        <w:t>• Ticket promedio y mediana por asesor y por tipología (casa, depto, PH, terreno, local).</w:t>
        <w:br/>
        <w:t>• % de la cartera en bandas de precio (p. ej. &lt;50k · 50–100k · 100–200k · 200k+).</w:t>
        <w:br/>
        <w:t>• Velocidad de rotación por banda (días en mercado vs. tasa de cierre).</w:t>
        <w:br/>
        <w:t>• Ratio visita→oferta por banda (dónde ‘convierte’ mejor el equipo).</w:t>
        <w:br/>
        <w:t>• Porcentaje de **exclusivas** en bandas altas (si es &lt;40%, hay oportunidad).</w:t>
      </w:r>
    </w:p>
    <w:p>
      <w:pPr>
        <w:pStyle w:val="Heading2"/>
      </w:pPr>
      <w:r>
        <w:t>Dónde jugar: zonas y tipologías</w:t>
      </w:r>
    </w:p>
    <w:p>
      <w:pPr>
        <w:spacing w:after="120" w:line="276" w:lineRule="auto"/>
      </w:pPr>
      <w:r>
        <w:t>Elegí el campo de juego con datos:</w:t>
        <w:br/>
        <w:t>• Zonas 'hot' por absorción (ventas/stock) y ticket objetivo.</w:t>
        <w:br/>
        <w:t>• Tipologías con mejor valor percibido: casas en lote propio, PH con patio, semipisos, lotes premium, barrios cerrados o countries, locales en esquinas estratégicas.</w:t>
        <w:br/>
        <w:t>• Productos con relato: vista abierta, cochera, amenities reales, metros bien distribuidos.</w:t>
      </w:r>
    </w:p>
    <w:p>
      <w:pPr>
        <w:spacing w:after="120" w:line="276" w:lineRule="auto"/>
      </w:pPr>
      <w:r>
        <w:t>**Matriz simple (decidir rápido):**</w:t>
        <w:br/>
        <w:t>• Alta absorción + ticket alto → Prioridad 1.</w:t>
        <w:br/>
        <w:t>• Alta absorción + ticket medio → Prioridad 2 (escala).</w:t>
        <w:br/>
        <w:t>• Baja absorción + ticket alto → Cautela (exclusiva y pricing).</w:t>
        <w:br/>
        <w:t>• Baja absorción + ticket bajo → Evitar/rotar.</w:t>
      </w:r>
    </w:p>
    <w:p>
      <w:pPr>
        <w:pStyle w:val="Heading2"/>
      </w:pPr>
      <w:r>
        <w:t>Estrategias para subir ticket (6 movimientos)</w:t>
      </w:r>
    </w:p>
    <w:p>
      <w:pPr>
        <w:spacing w:after="120" w:line="276" w:lineRule="auto"/>
      </w:pPr>
      <w:r>
        <w:t>1) **Exclusivas premium**: guión de valor, home-staging básico, video vertical y plano.</w:t>
        <w:br/>
        <w:t>2) **Alianzas**: estudios de arquitectura, escribanías, administradores de consorcio y corredores zonales con inventario alto.</w:t>
        <w:br/>
        <w:t>3) **Relato de autoridad**: informes de zona, open houses curados, newsletter de alto valor.</w:t>
        <w:br/>
        <w:t>4) **Prospección segmentada**: propietarios de tipologías ‘ancla’ (PH c/patio, casas, semipisos).</w:t>
        <w:br/>
        <w:t>5) **Pricing inteligente**: ACM actualizado y ajuste cada 21 días; estrategia de ‘rango’ según elasticidad de la zona.</w:t>
        <w:br/>
        <w:t>6) **Señales de prestigio**: fotos profesionales, tour en video, ficha técnica impecable y textos que vendan beneficios (no solo atributos).</w:t>
      </w:r>
    </w:p>
    <w:p>
      <w:pPr>
        <w:pStyle w:val="Heading2"/>
      </w:pPr>
      <w:r>
        <w:t>Guiones prácticos para captar ticket alto</w:t>
      </w:r>
    </w:p>
    <w:p>
      <w:pPr>
        <w:spacing w:after="120" w:line="276" w:lineRule="auto"/>
      </w:pPr>
      <w:r>
        <w:t>Dueño de propiedad premium (llamada breve):</w:t>
        <w:br/>
        <w:t>“Hola, [Nombre]. Trabajo fuertemente tu zona. En 15’ te muestro un comparativo real de cierres, un plan de exposición 360° y cómo traer compradores calificados en 30–45 días. Si no ves valor, yo mismo te digo que no sigamos. ¿Martes o miércoles?”</w:t>
      </w:r>
    </w:p>
    <w:p>
      <w:pPr>
        <w:spacing w:after="120" w:line="276" w:lineRule="auto"/>
      </w:pPr>
      <w:r>
        <w:t>WhatsApp post-visita:</w:t>
        <w:br/>
        <w:t>“Gracias por recibirme, [Nombre]. Adjunto comparativo de cierres y la proyección de absorción de tu tipología. Si ajustamos condiciones, ponemos tu propiedad en la *shortlist* de compradores activos esta semana.”</w:t>
      </w:r>
    </w:p>
    <w:p>
      <w:pPr>
        <w:pStyle w:val="Heading2"/>
      </w:pPr>
      <w:r>
        <w:t>KPIs de ticket para el tablero</w:t>
      </w:r>
    </w:p>
    <w:p>
      <w:pPr>
        <w:spacing w:after="120" w:line="276" w:lineRule="auto"/>
      </w:pPr>
      <w:r>
        <w:t>Del asesor:</w:t>
        <w:br/>
        <w:t>• Ticket promedio y mediana de su cartera.</w:t>
        <w:br/>
        <w:t>• % de propiedades en bandas altas (meta: +20% en 90 días).</w:t>
        <w:br/>
        <w:t>• % de exclusivas en bandas altas (meta: ≥50%).</w:t>
        <w:br/>
        <w:t>• Ratio visita→oferta en bandas altas.</w:t>
      </w:r>
    </w:p>
    <w:p>
      <w:pPr>
        <w:spacing w:after="120" w:line="276" w:lineRule="auto"/>
      </w:pPr>
      <w:r>
        <w:t>De la oficina:</w:t>
        <w:br/>
        <w:t>• Ticket promedio ponderado (por ventas).</w:t>
        <w:br/>
        <w:t>• Mix por tipología y zona (heatmap).</w:t>
        <w:br/>
        <w:t>• Días en mercado por banda.</w:t>
        <w:br/>
        <w:t>• Participación de bandas altas sobre facturación total.</w:t>
      </w:r>
    </w:p>
    <w:p>
      <w:pPr>
        <w:pStyle w:val="Heading2"/>
      </w:pPr>
      <w:r>
        <w:t>Cierre del capítulo</w:t>
      </w:r>
    </w:p>
    <w:p>
      <w:pPr>
        <w:spacing w:after="120" w:line="276" w:lineRule="auto"/>
      </w:pPr>
      <w:r>
        <w:t>Elevar el ticket no es un golpe de suerte: es **posicionamiento con método**.</w:t>
        <w:br/>
        <w:t>Cuando elegís bien el campo de juego y subís estándares, la misma cantidad y la misma calidad te llevan más lejos. El ticket es el multiplicador que acelera tu camino a objetivos de facturación ambiciosos.</w:t>
      </w:r>
    </w:p>
    <w:p>
      <w:r>
        <w:br w:type="page"/>
      </w:r>
    </w:p>
    <w:p>
      <w:pPr>
        <w:pStyle w:val="Heading1"/>
      </w:pPr>
      <w:r>
        <w:t>Capítulo 12 – Costos, inversión y punto de equilibrio</w:t>
      </w:r>
    </w:p>
    <w:p>
      <w:pPr>
        <w:pStyle w:val="Heading2"/>
      </w:pPr>
      <w:r>
        <w:t>Estructura de costos: simple y sincera</w:t>
      </w:r>
    </w:p>
    <w:p>
      <w:pPr>
        <w:spacing w:after="120" w:line="276" w:lineRule="auto"/>
      </w:pPr>
      <w:r>
        <w:t>**Inversión inicial**: USD 20.000–30.000 (sin franquicia). Recomendación conservadora: **caja de USD 100.000** si empezás de cero.</w:t>
        <w:br/>
        <w:t>**Gastos fijos mensuales** (referenciales): alquiler/coworking, administrativo, legal, capacitación, herramientas, portales, marketing, servicios. En promedio, **~USD 5.000/mes**.</w:t>
      </w:r>
    </w:p>
    <w:p>
      <w:pPr>
        <w:spacing w:after="120" w:line="276" w:lineRule="auto"/>
      </w:pPr>
      <w:r>
        <w:t>Consejo: empezar en **coworking** hasta estabilizar stock y flujo de ventas. Invertir fuerte en **captación y formación** antes que en metros de oficina.</w:t>
      </w:r>
    </w:p>
    <w:p>
      <w:pPr>
        <w:pStyle w:val="Heading2"/>
      </w:pPr>
      <w:r>
        <w:t>Fórmula del punto de equilibrio (breakeven)</w:t>
      </w:r>
    </w:p>
    <w:p>
      <w:pPr>
        <w:spacing w:after="120" w:line="276" w:lineRule="auto"/>
      </w:pPr>
      <w:r>
        <w:t>Ventas necesarias = **Gastos fijos / (Ticket × % Comisión × % Oficina)**</w:t>
        <w:br/>
        <w:t>Ejemplo (Base):</w:t>
        <w:br/>
        <w:t>• Gastos fijos: USD 5.000</w:t>
        <w:br/>
        <w:t>• Ticket: USD 70.000</w:t>
        <w:br/>
        <w:t>• Comisión: 3%</w:t>
        <w:br/>
        <w:t>• Oficina (neto tras split y costos variables): 40%</w:t>
        <w:br/>
        <w:t>Resultado por venta: 70.000 × 0,03 × 0,40 = **USD 840**</w:t>
        <w:br/>
        <w:t>Ventas para breakeven: 5.000 / 840 = **6 ventas/mes**</w:t>
      </w:r>
    </w:p>
    <w:p>
      <w:pPr>
        <w:pStyle w:val="Heading2"/>
      </w:pPr>
      <w:r>
        <w:t>Del breakeven al stock necesario (con número mágico)</w:t>
      </w:r>
    </w:p>
    <w:p>
      <w:pPr>
        <w:spacing w:after="120" w:line="276" w:lineRule="auto"/>
      </w:pPr>
      <w:r>
        <w:t>Si tu **ratio venta/stock** es del **4%**, entonces:</w:t>
        <w:br/>
        <w:t>Stock necesario = **Ventas / 0,04**</w:t>
        <w:br/>
        <w:t>Con 6 ventas/mes → 6 / 0,04 = **150 propiedades activas**.</w:t>
      </w:r>
    </w:p>
    <w:p>
      <w:pPr>
        <w:spacing w:after="120" w:line="276" w:lineRule="auto"/>
      </w:pPr>
      <w:r>
        <w:t>Regla práctica:</w:t>
        <w:br/>
        <w:t>• 100 propiedades ≈ 4 ventas/mes (con 4%).</w:t>
        <w:br/>
        <w:t>• 150 propiedades ≈ 6 ventas/mes.</w:t>
        <w:br/>
        <w:t>• 200 propiedades ≈ 8 ventas/mes.</w:t>
      </w:r>
    </w:p>
    <w:p>
      <w:pPr>
        <w:pStyle w:val="Heading2"/>
      </w:pPr>
      <w:r>
        <w:t>Tabla de escenarios de breakeven (resumen)</w:t>
      </w:r>
    </w:p>
    <w:p>
      <w:pPr>
        <w:spacing w:after="120" w:line="276" w:lineRule="auto"/>
      </w:pPr>
      <w:r>
        <w:t>Escenario A – Austeridad: Gastos 4.000 / Ticket 60.000 / 3% / 40% → ~6 ventas.</w:t>
        <w:br/>
        <w:t>Escenario B – Base: Gastos 5.000 / Ticket 70.000 / 3% / 40% → ~6 ventas.</w:t>
        <w:br/>
        <w:t>Escenario C – Escala: Gastos 8.000 / Ticket 90.000 / 3% / 40% → ~8 ventas.</w:t>
        <w:br/>
        <w:t>(Usá la fórmula para recalcular con tus números).</w:t>
      </w:r>
    </w:p>
    <w:p>
      <w:pPr>
        <w:pStyle w:val="Heading2"/>
      </w:pPr>
      <w:r>
        <w:t>Franquicia y mercados de bajo volumen</w:t>
      </w:r>
    </w:p>
    <w:p>
      <w:pPr>
        <w:spacing w:after="120" w:line="276" w:lineRule="auto"/>
      </w:pPr>
      <w:r>
        <w:t>Si el **volumen del mercado** es bajo, ceder un **porcentaje alto del negocio** a una franquicia puede volver **inviable** la operación.</w:t>
        <w:br/>
        <w:t>Recomendación: **negociar** condiciones cuando la marca sea estratégica, o **postergar** la inversión de franquicia hasta alcanzar un **stock mínimo** que justifique el modelo.</w:t>
        <w:br/>
        <w:t>La oficina debe ser **rentable para vos y para la red**; un cierre temprano no beneficia a nadie.</w:t>
      </w:r>
    </w:p>
    <w:p>
      <w:pPr>
        <w:pStyle w:val="Heading2"/>
      </w:pPr>
      <w:r>
        <w:t>Riesgos a evitar y señales de alerta</w:t>
      </w:r>
    </w:p>
    <w:p>
      <w:pPr>
        <w:spacing w:after="120" w:line="276" w:lineRule="auto"/>
      </w:pPr>
      <w:r>
        <w:t>• Subestimar gastos fijos (portales, publicidad, herramientas).</w:t>
        <w:br/>
        <w:t>• Enamorarse de mercados sin volumen (stock total bajo).</w:t>
        <w:br/>
        <w:t>• Crecer estructura antes de tener **stock** y **flujo de ventas**.</w:t>
        <w:br/>
        <w:t>• Falta de caja para 6–9 meses de operación.</w:t>
        <w:br/>
        <w:t>• No medir split real ‘oficina neta’ por operación.</w:t>
      </w:r>
    </w:p>
    <w:p>
      <w:pPr>
        <w:pStyle w:val="Heading2"/>
      </w:pPr>
      <w:r>
        <w:t>Plan 90-180 días a breakeven</w:t>
      </w:r>
    </w:p>
    <w:p>
      <w:pPr>
        <w:spacing w:after="120" w:line="276" w:lineRule="auto"/>
      </w:pPr>
      <w:r>
        <w:t>• Mes 1–2: coworking, foco en captación (2–3 propiedades/asesor/mes), proceso de exclusivas, guiones y pricing.</w:t>
        <w:br/>
        <w:t>• Mes 3–4: 100 propiedades activas, 4 ventas/mes; SLA leads ≤5’.</w:t>
        <w:br/>
        <w:t>• Mes 5–6: 150 propiedades, 6 ventas/mes (breakeven base).</w:t>
        <w:br/>
        <w:t>• Mes 7–9: optimizar mix de ticket y calidad; preparar mudanza a oficina propia si conviene.</w:t>
      </w:r>
    </w:p>
    <w:p>
      <w:r>
        <w:br w:type="page"/>
      </w:r>
    </w:p>
    <w:p>
      <w:pPr>
        <w:pStyle w:val="Heading1"/>
      </w:pPr>
      <w:r>
        <w:t>Capítulo 17 – Métricas, tableros y automatización (Power BI)</w:t>
      </w:r>
    </w:p>
    <w:p>
      <w:pPr>
        <w:pStyle w:val="Heading2"/>
      </w:pPr>
      <w:r>
        <w:t>Gobernar con datos: el tablero manda</w:t>
      </w:r>
    </w:p>
    <w:p>
      <w:pPr>
        <w:spacing w:after="120" w:line="276" w:lineRule="auto"/>
      </w:pPr>
      <w:r>
        <w:t>Lo que no se mide, se adivina. Y en este negocio **adivinar sale caro**.</w:t>
        <w:br/>
        <w:t>Un buen tablero convierte el día a día en decisiones: qué captar, qué ajustar, a quién acompañar y dónde invertir marketing.</w:t>
        <w:br/>
        <w:t>La regla: **datos visibles para todos** (oficina y asesores) y **rituales** para revisar, decidir y ejecutar.</w:t>
      </w:r>
    </w:p>
    <w:p>
      <w:pPr>
        <w:pStyle w:val="Heading2"/>
      </w:pPr>
      <w:r>
        <w:t>Modelo de datos mínimo (Power BI/Sheets)</w:t>
      </w:r>
    </w:p>
    <w:p>
      <w:pPr>
        <w:spacing w:after="120" w:line="276" w:lineRule="auto"/>
      </w:pPr>
      <w:r>
        <w:t>Entidades clave:</w:t>
        <w:br/>
        <w:t>• Propiedad (ID, tipología, zona, precio, m2, estado, fecha alta/baja).</w:t>
        <w:br/>
        <w:t>• Asesor (ID, seniority, cartera, exclusivas, KPIs).</w:t>
        <w:br/>
        <w:t>• Lead (fuente, fecha, SLA respuesta, estado, canal).</w:t>
        <w:br/>
        <w:t>• Actividad (tasación, visitas, ofertas, ajustes de precio).</w:t>
        <w:br/>
        <w:t>• Operación (fecha, monto, comisión, split).</w:t>
      </w:r>
    </w:p>
    <w:p>
      <w:pPr>
        <w:spacing w:after="120" w:line="276" w:lineRule="auto"/>
      </w:pPr>
      <w:r>
        <w:t>Integraciones típicas:</w:t>
        <w:br/>
        <w:t>• Portales y formularios → Lead.</w:t>
        <w:br/>
        <w:t>• CRM/Sheets → Propiedad/Actividad.</w:t>
        <w:br/>
        <w:t>• WhatsApp/Telefonía → SLA y seguimiento.</w:t>
        <w:br/>
        <w:t>• Power BI → Tableros de oficina y de asesor.</w:t>
      </w:r>
    </w:p>
    <w:p>
      <w:pPr>
        <w:pStyle w:val="Heading2"/>
      </w:pPr>
      <w:r>
        <w:t>KPIs críticos por nivel</w:t>
      </w:r>
    </w:p>
    <w:p>
      <w:pPr>
        <w:spacing w:after="120" w:line="276" w:lineRule="auto"/>
      </w:pPr>
      <w:r>
        <w:t>Oficina:</w:t>
        <w:br/>
        <w:t>• Stock total y net listings (altas-bajas) por mes.</w:t>
        <w:br/>
        <w:t>• Ratio venta/stock (global y por zona).</w:t>
        <w:br/>
        <w:t>• Ticket promedio ponderado por ventas.</w:t>
        <w:br/>
        <w:t>• Días en mercado por tipología y zona.</w:t>
        <w:br/>
        <w:t>• Funnel de leads: llegada → contacto ≤5’ → visita → oferta → cierre.</w:t>
      </w:r>
    </w:p>
    <w:p>
      <w:pPr>
        <w:spacing w:after="120" w:line="276" w:lineRule="auto"/>
      </w:pPr>
      <w:r>
        <w:t>Asesor:</w:t>
        <w:br/>
        <w:t>• Cartera activa y % exclusivas.</w:t>
        <w:br/>
        <w:t>• Captaciones/mes (meta 3; mínimo 2).</w:t>
        <w:br/>
        <w:t>• SLA respuesta leads (meta ≤5 min).</w:t>
        <w:br/>
        <w:t>• Ratio visita→oferta y oferta→cierre.</w:t>
        <w:br/>
        <w:t>• Ventas/mes y facturación neta oficina.</w:t>
      </w:r>
    </w:p>
    <w:p>
      <w:pPr>
        <w:pStyle w:val="Heading2"/>
      </w:pPr>
      <w:r>
        <w:t>Automatización práctica (liberar al broker)</w:t>
      </w:r>
    </w:p>
    <w:p>
      <w:pPr>
        <w:spacing w:after="120" w:line="276" w:lineRule="auto"/>
      </w:pPr>
      <w:r>
        <w:t>• **Precalificación de propiedades**: checklist y flujo de documentos; alerta de faltantes.</w:t>
        <w:br/>
        <w:t>• **Cargas y publicaciones**: plantillas de ficha, fotos y video; publicación en 72 h.</w:t>
        <w:br/>
        <w:t>• **Seguimiento a propietarios**: reporte quincenal automático (consultas, visitas, feedback, comparables).</w:t>
        <w:br/>
        <w:t>• **Lead routing + SLA**: derivación por zona/tipología; alertas si la respuesta supera 5 min.</w:t>
        <w:br/>
        <w:t>• **Panel del asesor**: evolución de cartera, tareas pendientes y alertas (precios sin ajuste, fichas incompletas).</w:t>
        <w:br/>
        <w:t>• **Capacitación segmentada**: contenidos por nivel (cartera 0–10, 10–20, 20+).</w:t>
      </w:r>
    </w:p>
    <w:p>
      <w:pPr>
        <w:pStyle w:val="Heading2"/>
      </w:pPr>
      <w:r>
        <w:t>Rituales de gestión (calendario)</w:t>
      </w:r>
    </w:p>
    <w:p>
      <w:pPr>
        <w:spacing w:after="120" w:line="276" w:lineRule="auto"/>
      </w:pPr>
      <w:r>
        <w:t>Diario (15’):</w:t>
        <w:br/>
        <w:t>• Revisión de SLA, leads calientes y avisos críticos.</w:t>
        <w:br/>
        <w:t>Semanal (30–60’):</w:t>
        <w:br/>
        <w:t>• Comité de captación (net listings, exclusivas, pricing).</w:t>
        <w:br/>
        <w:t>• Comité de calidad (fotos/textos, tiempos de respuesta, posventa).</w:t>
        <w:br/>
        <w:t>Mensual (90’):</w:t>
        <w:br/>
        <w:t>• Retrospectiva de KPIs: ratio venta/stock, ticket, días en mercado.</w:t>
        <w:br/>
        <w:t>• Plan de mejora por equipo y por asesor.</w:t>
        <w:br/>
        <w:t>Trimestral (2 h):</w:t>
        <w:br/>
        <w:t>• Revisión de zonas, tipologías y porción de mercado objetivo.</w:t>
      </w:r>
    </w:p>
    <w:p>
      <w:pPr>
        <w:pStyle w:val="Heading2"/>
      </w:pPr>
      <w:r>
        <w:t>Cierre del capítulo</w:t>
      </w:r>
    </w:p>
    <w:p>
      <w:pPr>
        <w:spacing w:after="120" w:line="276" w:lineRule="auto"/>
      </w:pPr>
      <w:r>
        <w:t>Métricas claras, tableros visibles y automatización simple crean **tracción**.</w:t>
        <w:br/>
        <w:t>Tu equipo deja de correr detrás del día a día y empieza a mejorar cada semana. La diferencia no es la suerte: es el sistema.</w:t>
        <w:br/>
        <w:t>Cuando los números hablan, el negocio avanza.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