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FFCCF" w14:textId="77777777" w:rsidR="00BA67CD" w:rsidRDefault="00BA67CD" w:rsidP="00BA67CD">
      <w:pPr>
        <w:spacing w:line="480" w:lineRule="auto"/>
        <w:rPr>
          <w:rFonts w:ascii="Times New Roman" w:hAnsi="Times New Roman" w:cs="Times New Roman"/>
        </w:rPr>
      </w:pPr>
    </w:p>
    <w:p w14:paraId="7CD1BD3C" w14:textId="77777777" w:rsidR="00BA67CD" w:rsidRDefault="00BA67CD" w:rsidP="00BA67CD">
      <w:pPr>
        <w:spacing w:line="480" w:lineRule="auto"/>
        <w:rPr>
          <w:rFonts w:ascii="Times New Roman" w:hAnsi="Times New Roman" w:cs="Times New Roman"/>
        </w:rPr>
      </w:pPr>
    </w:p>
    <w:p w14:paraId="1067CE99" w14:textId="77777777" w:rsidR="00BA67CD" w:rsidRDefault="00BA67CD" w:rsidP="00BA67CD">
      <w:pPr>
        <w:spacing w:line="480" w:lineRule="auto"/>
        <w:rPr>
          <w:rFonts w:ascii="Times New Roman" w:hAnsi="Times New Roman" w:cs="Times New Roman"/>
        </w:rPr>
      </w:pPr>
    </w:p>
    <w:p w14:paraId="7774AC82" w14:textId="77777777" w:rsidR="00BA67CD" w:rsidRDefault="00BA67CD" w:rsidP="00BA67CD">
      <w:pPr>
        <w:spacing w:line="480" w:lineRule="auto"/>
        <w:rPr>
          <w:rFonts w:ascii="Times New Roman" w:hAnsi="Times New Roman" w:cs="Times New Roman"/>
        </w:rPr>
      </w:pPr>
    </w:p>
    <w:p w14:paraId="05CF363C" w14:textId="77777777" w:rsidR="00BA67CD" w:rsidRDefault="00BA67CD" w:rsidP="00BA67CD">
      <w:pPr>
        <w:spacing w:line="480" w:lineRule="auto"/>
        <w:rPr>
          <w:rFonts w:ascii="Times New Roman" w:hAnsi="Times New Roman" w:cs="Times New Roman"/>
        </w:rPr>
      </w:pPr>
    </w:p>
    <w:p w14:paraId="7EB42343" w14:textId="77777777" w:rsidR="00BA67CD" w:rsidRDefault="00BA67CD" w:rsidP="00BA67CD">
      <w:pPr>
        <w:spacing w:line="480" w:lineRule="auto"/>
        <w:rPr>
          <w:rFonts w:ascii="Times New Roman" w:hAnsi="Times New Roman" w:cs="Times New Roman"/>
        </w:rPr>
      </w:pPr>
    </w:p>
    <w:p w14:paraId="424D1A2E" w14:textId="79604E98" w:rsidR="00BA67CD" w:rsidRP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Mega-Corp Information Security and Privacy Regulatory Guidance</w:t>
      </w:r>
    </w:p>
    <w:p w14:paraId="22F21C79" w14:textId="6F5EFE90" w:rsidR="00BA67CD" w:rsidRPr="00BA67CD" w:rsidRDefault="00BA67CD" w:rsidP="00BA67CD">
      <w:pPr>
        <w:spacing w:line="480" w:lineRule="auto"/>
        <w:jc w:val="center"/>
        <w:rPr>
          <w:rFonts w:ascii="Times New Roman" w:hAnsi="Times New Roman" w:cs="Times New Roman"/>
        </w:rPr>
      </w:pPr>
      <w:r>
        <w:rPr>
          <w:rFonts w:ascii="Times New Roman" w:hAnsi="Times New Roman" w:cs="Times New Roman"/>
        </w:rPr>
        <w:t>Leo Newton</w:t>
      </w:r>
      <w:r w:rsidRPr="00BA67CD">
        <w:rPr>
          <w:rFonts w:ascii="Times New Roman" w:hAnsi="Times New Roman" w:cs="Times New Roman"/>
        </w:rPr>
        <w:br/>
      </w:r>
      <w:r>
        <w:rPr>
          <w:rFonts w:ascii="Times New Roman" w:hAnsi="Times New Roman" w:cs="Times New Roman"/>
        </w:rPr>
        <w:t>11/07/24</w:t>
      </w:r>
      <w:r w:rsidRPr="00BA67CD">
        <w:rPr>
          <w:rFonts w:ascii="Times New Roman" w:hAnsi="Times New Roman" w:cs="Times New Roman"/>
        </w:rPr>
        <w:br/>
      </w:r>
    </w:p>
    <w:p w14:paraId="3B17F910" w14:textId="77777777" w:rsidR="00BA67CD" w:rsidRDefault="00BA67CD" w:rsidP="00BA67CD">
      <w:pPr>
        <w:spacing w:line="480" w:lineRule="auto"/>
        <w:rPr>
          <w:rFonts w:ascii="Times New Roman" w:hAnsi="Times New Roman" w:cs="Times New Roman"/>
        </w:rPr>
      </w:pPr>
    </w:p>
    <w:p w14:paraId="134F553B" w14:textId="77777777" w:rsidR="00BA67CD" w:rsidRDefault="00BA67CD" w:rsidP="00BA67CD">
      <w:pPr>
        <w:spacing w:line="480" w:lineRule="auto"/>
        <w:rPr>
          <w:rFonts w:ascii="Times New Roman" w:hAnsi="Times New Roman" w:cs="Times New Roman"/>
        </w:rPr>
      </w:pPr>
    </w:p>
    <w:p w14:paraId="4AFF7603" w14:textId="77777777" w:rsidR="00BA67CD" w:rsidRDefault="00BA67CD" w:rsidP="00BA67CD">
      <w:pPr>
        <w:spacing w:line="480" w:lineRule="auto"/>
        <w:rPr>
          <w:rFonts w:ascii="Times New Roman" w:hAnsi="Times New Roman" w:cs="Times New Roman"/>
        </w:rPr>
      </w:pPr>
    </w:p>
    <w:p w14:paraId="725A3776" w14:textId="77777777" w:rsidR="00BA67CD" w:rsidRDefault="00BA67CD" w:rsidP="00BA67CD">
      <w:pPr>
        <w:spacing w:line="480" w:lineRule="auto"/>
        <w:rPr>
          <w:rFonts w:ascii="Times New Roman" w:hAnsi="Times New Roman" w:cs="Times New Roman"/>
        </w:rPr>
      </w:pPr>
    </w:p>
    <w:p w14:paraId="6EDEAEE0" w14:textId="77777777" w:rsidR="00BA67CD" w:rsidRDefault="00BA67CD" w:rsidP="00BA67CD">
      <w:pPr>
        <w:spacing w:line="480" w:lineRule="auto"/>
        <w:rPr>
          <w:rFonts w:ascii="Times New Roman" w:hAnsi="Times New Roman" w:cs="Times New Roman"/>
        </w:rPr>
      </w:pPr>
    </w:p>
    <w:p w14:paraId="2531A05E" w14:textId="77777777" w:rsidR="00BA67CD" w:rsidRDefault="00BA67CD" w:rsidP="00BA67CD">
      <w:pPr>
        <w:spacing w:line="480" w:lineRule="auto"/>
        <w:rPr>
          <w:rFonts w:ascii="Times New Roman" w:hAnsi="Times New Roman" w:cs="Times New Roman"/>
        </w:rPr>
      </w:pPr>
    </w:p>
    <w:p w14:paraId="74038616" w14:textId="77777777" w:rsidR="00BA67CD" w:rsidRDefault="00BA67CD" w:rsidP="00BA67CD">
      <w:pPr>
        <w:spacing w:line="480" w:lineRule="auto"/>
        <w:rPr>
          <w:rFonts w:ascii="Times New Roman" w:hAnsi="Times New Roman" w:cs="Times New Roman"/>
        </w:rPr>
      </w:pPr>
    </w:p>
    <w:p w14:paraId="034B20C0" w14:textId="77777777" w:rsidR="00BA67CD" w:rsidRDefault="00BA67CD" w:rsidP="00BA67CD">
      <w:pPr>
        <w:spacing w:line="480" w:lineRule="auto"/>
        <w:rPr>
          <w:rFonts w:ascii="Times New Roman" w:hAnsi="Times New Roman" w:cs="Times New Roman"/>
        </w:rPr>
      </w:pPr>
    </w:p>
    <w:p w14:paraId="0BC74E1F" w14:textId="77777777" w:rsidR="00BA67CD" w:rsidRDefault="00BA67CD" w:rsidP="00BA67CD">
      <w:pPr>
        <w:spacing w:line="480" w:lineRule="auto"/>
        <w:rPr>
          <w:rFonts w:ascii="Times New Roman" w:hAnsi="Times New Roman" w:cs="Times New Roman"/>
        </w:rPr>
      </w:pPr>
    </w:p>
    <w:p w14:paraId="1A954EF4" w14:textId="77777777" w:rsidR="00BA67CD" w:rsidRDefault="00BA67CD" w:rsidP="00BA67CD">
      <w:pPr>
        <w:spacing w:line="480" w:lineRule="auto"/>
        <w:rPr>
          <w:rFonts w:ascii="Times New Roman" w:hAnsi="Times New Roman" w:cs="Times New Roman"/>
        </w:rPr>
      </w:pPr>
    </w:p>
    <w:p w14:paraId="1AF2DF23" w14:textId="77777777" w:rsidR="00BA67CD" w:rsidRDefault="00BA67CD" w:rsidP="00BA67CD">
      <w:pPr>
        <w:spacing w:line="480" w:lineRule="auto"/>
        <w:rPr>
          <w:rFonts w:ascii="Times New Roman" w:hAnsi="Times New Roman" w:cs="Times New Roman"/>
        </w:rPr>
      </w:pPr>
    </w:p>
    <w:p w14:paraId="760985BE" w14:textId="77777777" w:rsidR="00BA67CD" w:rsidRDefault="00BA67CD" w:rsidP="00BA67CD">
      <w:pPr>
        <w:spacing w:line="480" w:lineRule="auto"/>
        <w:rPr>
          <w:rFonts w:ascii="Times New Roman" w:hAnsi="Times New Roman" w:cs="Times New Roman"/>
        </w:rPr>
      </w:pPr>
    </w:p>
    <w:p w14:paraId="0DCA4739" w14:textId="77777777" w:rsidR="00BA67CD" w:rsidRDefault="00BA67CD" w:rsidP="00BA67CD">
      <w:pPr>
        <w:spacing w:line="480" w:lineRule="auto"/>
        <w:rPr>
          <w:rFonts w:ascii="Times New Roman" w:hAnsi="Times New Roman" w:cs="Times New Roman"/>
        </w:rPr>
      </w:pPr>
    </w:p>
    <w:p w14:paraId="3D3B058E" w14:textId="665CB64B"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lastRenderedPageBreak/>
        <w:t>Abstract</w:t>
      </w:r>
    </w:p>
    <w:p w14:paraId="2DD50AED" w14:textId="77777777" w:rsidR="00BA67CD" w:rsidRPr="00BA67CD" w:rsidRDefault="00BA67CD" w:rsidP="00BA67CD">
      <w:pPr>
        <w:spacing w:line="480" w:lineRule="auto"/>
        <w:jc w:val="center"/>
        <w:rPr>
          <w:rFonts w:ascii="Times New Roman" w:hAnsi="Times New Roman" w:cs="Times New Roman"/>
        </w:rPr>
      </w:pPr>
    </w:p>
    <w:p w14:paraId="1C50E9E3"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This document offers guidance to Mega-Corp executives on the implications of information security and privacy regulations as they contemplate an Initial Public Offering (IPO). It examines the global impact of diverse encryption regulations, analyzes the potential conflict between information security practices and employee rights, and details key information security and privacy laws applicable to Mega-Corp, both currently and post-IPO. This information aims to empower Mega-Corp's leadership to make well-informed decisions during the IPO process.</w:t>
      </w:r>
    </w:p>
    <w:p w14:paraId="590073A5" w14:textId="77777777" w:rsidR="00BA67CD" w:rsidRPr="00BA67CD" w:rsidRDefault="00BA67CD" w:rsidP="00BA67CD">
      <w:pPr>
        <w:spacing w:line="480" w:lineRule="auto"/>
        <w:rPr>
          <w:rFonts w:ascii="Times New Roman" w:hAnsi="Times New Roman" w:cs="Times New Roman"/>
        </w:rPr>
      </w:pPr>
    </w:p>
    <w:p w14:paraId="67296003"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Introduction</w:t>
      </w:r>
    </w:p>
    <w:p w14:paraId="116E1F1B" w14:textId="77777777" w:rsidR="00BA67CD" w:rsidRPr="00BA67CD" w:rsidRDefault="00BA67CD" w:rsidP="00BA67CD">
      <w:pPr>
        <w:spacing w:line="480" w:lineRule="auto"/>
        <w:jc w:val="center"/>
        <w:rPr>
          <w:rFonts w:ascii="Times New Roman" w:hAnsi="Times New Roman" w:cs="Times New Roman"/>
        </w:rPr>
      </w:pPr>
    </w:p>
    <w:p w14:paraId="395535EC"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As Mega-Corp transitions towards becoming a publicly traded entity, understanding the intricate landscape of information security and privacy regulations is crucial. This document provides an overview of the relevant regulations, their potential impact on Mega-Corp's operations, and strategies for effectively addressing these legal obligations. It analyzes both the current organizational framework and the anticipated changes that will accompany the IPO. This includes a detailed examination of how information security and privacy will be integrated into Mega-Corp’s organizational structure, culture, and operations.</w:t>
      </w:r>
    </w:p>
    <w:p w14:paraId="3F45AA9F" w14:textId="77777777" w:rsidR="00BA67CD" w:rsidRPr="00BA67CD" w:rsidRDefault="00BA67CD" w:rsidP="00BA67CD">
      <w:pPr>
        <w:spacing w:line="480" w:lineRule="auto"/>
        <w:rPr>
          <w:rFonts w:ascii="Times New Roman" w:hAnsi="Times New Roman" w:cs="Times New Roman"/>
        </w:rPr>
      </w:pPr>
    </w:p>
    <w:p w14:paraId="617CEB49" w14:textId="77777777" w:rsidR="00BA67CD" w:rsidRDefault="00BA67CD" w:rsidP="00BA67CD">
      <w:pPr>
        <w:spacing w:line="480" w:lineRule="auto"/>
        <w:jc w:val="center"/>
        <w:rPr>
          <w:rFonts w:ascii="Times New Roman" w:hAnsi="Times New Roman" w:cs="Times New Roman"/>
        </w:rPr>
      </w:pPr>
    </w:p>
    <w:p w14:paraId="14D59A05" w14:textId="77777777" w:rsidR="00BA67CD" w:rsidRDefault="00BA67CD" w:rsidP="00BA67CD">
      <w:pPr>
        <w:spacing w:line="480" w:lineRule="auto"/>
        <w:jc w:val="center"/>
        <w:rPr>
          <w:rFonts w:ascii="Times New Roman" w:hAnsi="Times New Roman" w:cs="Times New Roman"/>
        </w:rPr>
      </w:pPr>
    </w:p>
    <w:p w14:paraId="621BA3ED" w14:textId="77777777" w:rsidR="00BA67CD" w:rsidRDefault="00BA67CD" w:rsidP="00BA67CD">
      <w:pPr>
        <w:spacing w:line="480" w:lineRule="auto"/>
        <w:jc w:val="center"/>
        <w:rPr>
          <w:rFonts w:ascii="Times New Roman" w:hAnsi="Times New Roman" w:cs="Times New Roman"/>
        </w:rPr>
      </w:pPr>
    </w:p>
    <w:p w14:paraId="1502689E" w14:textId="618262F8"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lastRenderedPageBreak/>
        <w:t>International Encryption Regulations</w:t>
      </w:r>
    </w:p>
    <w:p w14:paraId="77494C55" w14:textId="77777777" w:rsidR="00BA67CD" w:rsidRPr="00BA67CD" w:rsidRDefault="00BA67CD" w:rsidP="00BA67CD">
      <w:pPr>
        <w:spacing w:line="480" w:lineRule="auto"/>
        <w:jc w:val="center"/>
        <w:rPr>
          <w:rFonts w:ascii="Times New Roman" w:hAnsi="Times New Roman" w:cs="Times New Roman"/>
        </w:rPr>
      </w:pPr>
    </w:p>
    <w:p w14:paraId="18742CA0"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Navigating the complex web of international encryption regulations presents a significant challenge for multinational organizations like Mega-Corp (Whitaker et al., 2019). These regulations vary widely, from countries mandating strict encryption controls and data localization requirements to those promoting the use of strong encryption for data protection. This divergence creates a challenging operational environment. For example, complying with data localization mandates might necessitate establishing separate data centers in specific countries, increasing operational costs and complexity. Conversely, utilizing strong encryption methods, while beneficial for security, could be viewed with suspicion by governments seeking access to data for surveillance purposes. Mega-Corp must develop a comprehensive encryption strategy that balances these competing interests, considering the legal and operational implications in each region it operates. This strategy should include clear guidelines on encryption key management, data storage locations, and procedures for responding to government requests for data access. Failure to comply with local encryption regulations can lead to significant consequences, including fines, market access restrictions, and reputational damage, potentially jeopardizing the success of the IPO.</w:t>
      </w:r>
    </w:p>
    <w:p w14:paraId="76F6C850" w14:textId="77777777" w:rsidR="00BA67CD" w:rsidRPr="00BA67CD" w:rsidRDefault="00BA67CD" w:rsidP="00BA67CD">
      <w:pPr>
        <w:spacing w:line="480" w:lineRule="auto"/>
        <w:rPr>
          <w:rFonts w:ascii="Times New Roman" w:hAnsi="Times New Roman" w:cs="Times New Roman"/>
        </w:rPr>
      </w:pPr>
    </w:p>
    <w:p w14:paraId="3BE0A495"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Information Security and Employee Rights</w:t>
      </w:r>
    </w:p>
    <w:p w14:paraId="7AD62B6E" w14:textId="77777777" w:rsidR="00BA67CD" w:rsidRPr="00BA67CD" w:rsidRDefault="00BA67CD" w:rsidP="00BA67CD">
      <w:pPr>
        <w:spacing w:line="480" w:lineRule="auto"/>
        <w:jc w:val="center"/>
        <w:rPr>
          <w:rFonts w:ascii="Times New Roman" w:hAnsi="Times New Roman" w:cs="Times New Roman"/>
        </w:rPr>
      </w:pPr>
    </w:p>
    <w:p w14:paraId="4BEADD40" w14:textId="596CA126"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While crucial for safeguarding organizational assets, information security activities can potentially encroach upon employee privacy and civil rights (Mitnick &amp; Simon, 2021). Activities like monitoring employee computer usage, accessing personal devices under BYOD policies, </w:t>
      </w:r>
      <w:r w:rsidRPr="00BA67CD">
        <w:rPr>
          <w:rFonts w:ascii="Times New Roman" w:hAnsi="Times New Roman" w:cs="Times New Roman"/>
        </w:rPr>
        <w:lastRenderedPageBreak/>
        <w:t>and implementing data loss prevention (DLP) solutions, although legitimate security measures, can raise concerns about employee autonomy and data privacy. For example, monitoring employee emails could reveal sensitive personal information, while DLP solutions might flag legitimate communication as potential data breaches. Similarly, device monitoring software installed on employee-owned devices under a BYOD policy could blur the lines between professional and personal life. Establishing clear policies, communicating them transparently, and implementing mechanisms for redress can help mitigate these concerns.</w:t>
      </w:r>
    </w:p>
    <w:p w14:paraId="2C73A02C" w14:textId="77777777" w:rsidR="00BA67CD" w:rsidRDefault="00BA67CD" w:rsidP="00BA67CD">
      <w:pPr>
        <w:spacing w:line="480" w:lineRule="auto"/>
        <w:jc w:val="center"/>
        <w:rPr>
          <w:rFonts w:ascii="Times New Roman" w:hAnsi="Times New Roman" w:cs="Times New Roman"/>
        </w:rPr>
      </w:pPr>
    </w:p>
    <w:p w14:paraId="65E8B21D" w14:textId="0C36C6C1"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Balancing Security and Employee Rights</w:t>
      </w:r>
    </w:p>
    <w:p w14:paraId="3D463120" w14:textId="77777777" w:rsidR="00BA67CD" w:rsidRPr="00BA67CD" w:rsidRDefault="00BA67CD" w:rsidP="00BA67CD">
      <w:pPr>
        <w:spacing w:line="480" w:lineRule="auto"/>
        <w:jc w:val="center"/>
        <w:rPr>
          <w:rFonts w:ascii="Times New Roman" w:hAnsi="Times New Roman" w:cs="Times New Roman"/>
        </w:rPr>
      </w:pPr>
    </w:p>
    <w:p w14:paraId="2B05DE06"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Achieving a balance between security needs and employee rights requires a thoughtful and comprehensive strategy (Stallings &amp; Brown, 2018). Transparency is paramount: employees should be fully informed about implemented security measures, their purpose, and the scope of any monitoring. Informed consent should be obtained before implementing measures that could be perceived as intrusive. Data minimization, collecting only necessary information for legitimate security purposes, is a critical principle. Data retention policies should be clear, outlining how long data is stored and for what purpose. Finally, a well-defined process for addressing employee grievances related to security practices should be established, providing a mechanism for employees to voice concerns and seek resolution. This approach fosters trust, encourages compliance, and protects both organizational interests and employee rights.</w:t>
      </w:r>
    </w:p>
    <w:p w14:paraId="3D20D3C7" w14:textId="77777777" w:rsidR="00BA67CD" w:rsidRPr="00BA67CD" w:rsidRDefault="00BA67CD" w:rsidP="00BA67CD">
      <w:pPr>
        <w:spacing w:line="480" w:lineRule="auto"/>
        <w:rPr>
          <w:rFonts w:ascii="Times New Roman" w:hAnsi="Times New Roman" w:cs="Times New Roman"/>
        </w:rPr>
      </w:pPr>
    </w:p>
    <w:p w14:paraId="3BF0197D" w14:textId="77777777" w:rsidR="00BA67CD" w:rsidRDefault="00BA67CD" w:rsidP="00BA67CD">
      <w:pPr>
        <w:spacing w:line="480" w:lineRule="auto"/>
        <w:jc w:val="center"/>
        <w:rPr>
          <w:rFonts w:ascii="Times New Roman" w:hAnsi="Times New Roman" w:cs="Times New Roman"/>
        </w:rPr>
      </w:pPr>
    </w:p>
    <w:p w14:paraId="204F97C9" w14:textId="77777777" w:rsidR="00BA67CD" w:rsidRDefault="00BA67CD" w:rsidP="00BA67CD">
      <w:pPr>
        <w:spacing w:line="480" w:lineRule="auto"/>
        <w:jc w:val="center"/>
        <w:rPr>
          <w:rFonts w:ascii="Times New Roman" w:hAnsi="Times New Roman" w:cs="Times New Roman"/>
        </w:rPr>
      </w:pPr>
    </w:p>
    <w:p w14:paraId="1B235DB4" w14:textId="050EB558"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lastRenderedPageBreak/>
        <w:t>Information Security and Privacy Regulations</w:t>
      </w:r>
    </w:p>
    <w:p w14:paraId="7314FA25" w14:textId="77777777" w:rsidR="00BA67CD" w:rsidRPr="00BA67CD" w:rsidRDefault="00BA67CD" w:rsidP="00BA67CD">
      <w:pPr>
        <w:spacing w:line="480" w:lineRule="auto"/>
        <w:jc w:val="center"/>
        <w:rPr>
          <w:rFonts w:ascii="Times New Roman" w:hAnsi="Times New Roman" w:cs="Times New Roman"/>
        </w:rPr>
      </w:pPr>
    </w:p>
    <w:p w14:paraId="36CE8DD8"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A complex network of laws, rules, and statutes governs information security and privacy across various industries. These regulations often vary by industry and jurisdiction, creating a complex compliance landscape. The following sections provide a more detailed examination of key regulations pertinent to Mega-Corp.</w:t>
      </w:r>
    </w:p>
    <w:p w14:paraId="1241DE24" w14:textId="77777777" w:rsidR="00BA67CD" w:rsidRPr="00BA67CD" w:rsidRDefault="00BA67CD" w:rsidP="00BA67CD">
      <w:pPr>
        <w:spacing w:line="480" w:lineRule="auto"/>
        <w:rPr>
          <w:rFonts w:ascii="Times New Roman" w:hAnsi="Times New Roman" w:cs="Times New Roman"/>
        </w:rPr>
      </w:pPr>
    </w:p>
    <w:p w14:paraId="2D246DF0"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Americans with Disabilities Act (ADA), Section 508</w:t>
      </w:r>
    </w:p>
    <w:p w14:paraId="3784DEF9" w14:textId="77777777" w:rsidR="00BA67CD" w:rsidRPr="00BA67CD" w:rsidRDefault="00BA67CD" w:rsidP="00BA67CD">
      <w:pPr>
        <w:spacing w:line="480" w:lineRule="auto"/>
        <w:jc w:val="center"/>
        <w:rPr>
          <w:rFonts w:ascii="Times New Roman" w:hAnsi="Times New Roman" w:cs="Times New Roman"/>
        </w:rPr>
      </w:pPr>
    </w:p>
    <w:p w14:paraId="699A5B30" w14:textId="317B16FE"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Section 508 mandates that electronic and information technology used by federal agencies be accessible to individuals with disabilities (United States Access Board, </w:t>
      </w:r>
      <w:r w:rsidR="00383A87">
        <w:rPr>
          <w:rFonts w:ascii="Times New Roman" w:hAnsi="Times New Roman" w:cs="Times New Roman"/>
        </w:rPr>
        <w:t>2024</w:t>
      </w:r>
      <w:r w:rsidRPr="00BA67CD">
        <w:rPr>
          <w:rFonts w:ascii="Times New Roman" w:hAnsi="Times New Roman" w:cs="Times New Roman"/>
        </w:rPr>
        <w:t>). This includes ensuring websites, software, and other digital resources are usable by people with visual, auditory, motor, or cognitive impairments. For Mega-Corp, this translates to ensuring their online platforms, internal systems, and digital communications are accessible. Failure to comply can lead to legal action and reputational damage.</w:t>
      </w:r>
    </w:p>
    <w:p w14:paraId="1F56ECDD" w14:textId="77777777" w:rsidR="00BA67CD" w:rsidRPr="00BA67CD" w:rsidRDefault="00BA67CD" w:rsidP="00BA67CD">
      <w:pPr>
        <w:spacing w:line="480" w:lineRule="auto"/>
        <w:ind w:firstLine="720"/>
        <w:rPr>
          <w:rFonts w:ascii="Times New Roman" w:hAnsi="Times New Roman" w:cs="Times New Roman"/>
        </w:rPr>
      </w:pPr>
    </w:p>
    <w:p w14:paraId="61A939D2"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BYOD Issues</w:t>
      </w:r>
    </w:p>
    <w:p w14:paraId="07C43859" w14:textId="77777777" w:rsidR="00BA67CD" w:rsidRPr="00BA67CD" w:rsidRDefault="00BA67CD" w:rsidP="00BA67CD">
      <w:pPr>
        <w:spacing w:line="480" w:lineRule="auto"/>
        <w:jc w:val="center"/>
        <w:rPr>
          <w:rFonts w:ascii="Times New Roman" w:hAnsi="Times New Roman" w:cs="Times New Roman"/>
        </w:rPr>
      </w:pPr>
    </w:p>
    <w:p w14:paraId="341C1105"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Bring Your Own Device (BYOD) policies, while offering flexibility and cost savings, introduce significant security and privacy challenges. Allowing employees to use personal devices for work blurs the lines between personal and corporate data, creating potential vulnerabilities for data breaches. Mega-Corp must establish clear BYOD policies that address data ownership, acceptable use, device security standards, and data wiping procedures in case of </w:t>
      </w:r>
      <w:r w:rsidRPr="00BA67CD">
        <w:rPr>
          <w:rFonts w:ascii="Times New Roman" w:hAnsi="Times New Roman" w:cs="Times New Roman"/>
        </w:rPr>
        <w:lastRenderedPageBreak/>
        <w:t>device loss or employee termination. These policies should be aligned with industry best practices and relevant regulations.</w:t>
      </w:r>
    </w:p>
    <w:p w14:paraId="7EC25600" w14:textId="77777777" w:rsidR="00BA67CD" w:rsidRPr="00BA67CD" w:rsidRDefault="00BA67CD" w:rsidP="00BA67CD">
      <w:pPr>
        <w:spacing w:line="480" w:lineRule="auto"/>
        <w:rPr>
          <w:rFonts w:ascii="Times New Roman" w:hAnsi="Times New Roman" w:cs="Times New Roman"/>
        </w:rPr>
      </w:pPr>
    </w:p>
    <w:p w14:paraId="33C5BD97" w14:textId="77777777" w:rsidR="00BA67CD" w:rsidRP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Computer Security Act</w:t>
      </w:r>
    </w:p>
    <w:p w14:paraId="44071C5A" w14:textId="3D940776"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Computer Security Act of 1987, though primarily directed at federal agencies, established a framework for managing information security risk (NIST, </w:t>
      </w:r>
      <w:r w:rsidR="00C9018E">
        <w:rPr>
          <w:rFonts w:ascii="Times New Roman" w:hAnsi="Times New Roman" w:cs="Times New Roman"/>
        </w:rPr>
        <w:t>1987</w:t>
      </w:r>
      <w:r w:rsidRPr="00BA67CD">
        <w:rPr>
          <w:rFonts w:ascii="Times New Roman" w:hAnsi="Times New Roman" w:cs="Times New Roman"/>
        </w:rPr>
        <w:t>). It mandates the development of security plans, the implementation of security controls, and the training of personnel. While not directly applicable to Mega-Corp in its current form, the principles of the act serve as a valuable foundation for building a strong security posture.</w:t>
      </w:r>
    </w:p>
    <w:p w14:paraId="2BCEC9CB" w14:textId="77777777" w:rsidR="00BA67CD" w:rsidRPr="00BA67CD" w:rsidRDefault="00BA67CD" w:rsidP="00BA67CD">
      <w:pPr>
        <w:spacing w:line="480" w:lineRule="auto"/>
        <w:rPr>
          <w:rFonts w:ascii="Times New Roman" w:hAnsi="Times New Roman" w:cs="Times New Roman"/>
        </w:rPr>
      </w:pPr>
    </w:p>
    <w:p w14:paraId="5FD78202"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Gramm-Leach-Bliley Act (GLBA)</w:t>
      </w:r>
    </w:p>
    <w:p w14:paraId="6D27CAAB" w14:textId="77777777" w:rsidR="00BA67CD" w:rsidRPr="00BA67CD" w:rsidRDefault="00BA67CD" w:rsidP="00BA67CD">
      <w:pPr>
        <w:spacing w:line="480" w:lineRule="auto"/>
        <w:jc w:val="center"/>
        <w:rPr>
          <w:rFonts w:ascii="Times New Roman" w:hAnsi="Times New Roman" w:cs="Times New Roman"/>
        </w:rPr>
      </w:pPr>
    </w:p>
    <w:p w14:paraId="69A37458" w14:textId="7B8393B4"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Gramm-Leach-Bliley Act (GLBA) requires financial institutions to protect the confidentiality and security of customer financial information (Federal Trade Commission, </w:t>
      </w:r>
      <w:r w:rsidR="00C9018E">
        <w:rPr>
          <w:rFonts w:ascii="Times New Roman" w:hAnsi="Times New Roman" w:cs="Times New Roman"/>
        </w:rPr>
        <w:t>1999</w:t>
      </w:r>
      <w:r w:rsidRPr="00BA67CD">
        <w:rPr>
          <w:rFonts w:ascii="Times New Roman" w:hAnsi="Times New Roman" w:cs="Times New Roman"/>
        </w:rPr>
        <w:t>). This includes implementing administrative, technical, and physical safeguards to protect nonpublic personal information. Depending on the financial services Mega-Corp offers, particularly after the IPO, compliance with GLBA might become a requirement. This would necessitate the development of comprehensive information security program addressing data encryption, access controls, and incident response procedures.</w:t>
      </w:r>
    </w:p>
    <w:p w14:paraId="07140123" w14:textId="77777777" w:rsidR="00BA67CD" w:rsidRPr="00BA67CD" w:rsidRDefault="00BA67CD" w:rsidP="00BA67CD">
      <w:pPr>
        <w:spacing w:line="480" w:lineRule="auto"/>
        <w:rPr>
          <w:rFonts w:ascii="Times New Roman" w:hAnsi="Times New Roman" w:cs="Times New Roman"/>
        </w:rPr>
      </w:pPr>
    </w:p>
    <w:p w14:paraId="0FBDDD47" w14:textId="77777777" w:rsidR="00BA67CD" w:rsidRDefault="00BA67CD" w:rsidP="00BA67CD">
      <w:pPr>
        <w:spacing w:line="480" w:lineRule="auto"/>
        <w:jc w:val="center"/>
        <w:rPr>
          <w:rFonts w:ascii="Times New Roman" w:hAnsi="Times New Roman" w:cs="Times New Roman"/>
        </w:rPr>
      </w:pPr>
    </w:p>
    <w:p w14:paraId="572FAC49" w14:textId="77777777" w:rsidR="00BA67CD" w:rsidRDefault="00BA67CD" w:rsidP="00BA67CD">
      <w:pPr>
        <w:spacing w:line="480" w:lineRule="auto"/>
        <w:jc w:val="center"/>
        <w:rPr>
          <w:rFonts w:ascii="Times New Roman" w:hAnsi="Times New Roman" w:cs="Times New Roman"/>
        </w:rPr>
      </w:pPr>
    </w:p>
    <w:p w14:paraId="7730488E" w14:textId="77777777" w:rsidR="00BA67CD" w:rsidRDefault="00BA67CD" w:rsidP="00BA67CD">
      <w:pPr>
        <w:spacing w:line="480" w:lineRule="auto"/>
        <w:jc w:val="center"/>
        <w:rPr>
          <w:rFonts w:ascii="Times New Roman" w:hAnsi="Times New Roman" w:cs="Times New Roman"/>
        </w:rPr>
      </w:pPr>
    </w:p>
    <w:p w14:paraId="3EB34A35" w14:textId="5AF153FF"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lastRenderedPageBreak/>
        <w:t>HIPAA/FERPA</w:t>
      </w:r>
    </w:p>
    <w:p w14:paraId="23954069" w14:textId="77777777" w:rsidR="00BA67CD" w:rsidRPr="00BA67CD" w:rsidRDefault="00BA67CD" w:rsidP="00BA67CD">
      <w:pPr>
        <w:spacing w:line="480" w:lineRule="auto"/>
        <w:jc w:val="center"/>
        <w:rPr>
          <w:rFonts w:ascii="Times New Roman" w:hAnsi="Times New Roman" w:cs="Times New Roman"/>
        </w:rPr>
      </w:pPr>
    </w:p>
    <w:p w14:paraId="7F329EDA"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The Health Insurance Portability and Accountability Act (HIPAA) safeguards the privacy and security of protected health information (PHI). The Family Educational Rights and Privacy Act (FERPA) protects the privacy of student educational records. While not immediately applicable to Mega-Corp’s current operations, compliance with these regulations could become relevant if Mega-Corp expands into healthcare or education sectors in the future.</w:t>
      </w:r>
    </w:p>
    <w:p w14:paraId="199CCE40" w14:textId="77777777" w:rsidR="00BA67CD" w:rsidRPr="00BA67CD" w:rsidRDefault="00BA67CD" w:rsidP="00BA67CD">
      <w:pPr>
        <w:spacing w:line="480" w:lineRule="auto"/>
        <w:rPr>
          <w:rFonts w:ascii="Times New Roman" w:hAnsi="Times New Roman" w:cs="Times New Roman"/>
        </w:rPr>
      </w:pPr>
    </w:p>
    <w:p w14:paraId="54051BF6"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Payment Card Industry Data Security Standard (PCI DSS)</w:t>
      </w:r>
    </w:p>
    <w:p w14:paraId="57178736" w14:textId="77777777" w:rsidR="00BA67CD" w:rsidRPr="00BA67CD" w:rsidRDefault="00BA67CD" w:rsidP="00BA67CD">
      <w:pPr>
        <w:spacing w:line="480" w:lineRule="auto"/>
        <w:jc w:val="center"/>
        <w:rPr>
          <w:rFonts w:ascii="Times New Roman" w:hAnsi="Times New Roman" w:cs="Times New Roman"/>
        </w:rPr>
      </w:pPr>
    </w:p>
    <w:p w14:paraId="630E957D" w14:textId="217E45C6"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PCI DSS applies to all entities that process, store, or transmit credit card information (PCI Security Standards Council, </w:t>
      </w:r>
      <w:r w:rsidR="00383A87">
        <w:rPr>
          <w:rFonts w:ascii="Times New Roman" w:hAnsi="Times New Roman" w:cs="Times New Roman"/>
        </w:rPr>
        <w:t>2024</w:t>
      </w:r>
      <w:r w:rsidRPr="00BA67CD">
        <w:rPr>
          <w:rFonts w:ascii="Times New Roman" w:hAnsi="Times New Roman" w:cs="Times New Roman"/>
        </w:rPr>
        <w:t>). It mandates a set of security controls designed to protect cardholder data, including building and maintaining a secure network, protecting cardholder data, maintaining a vulnerability management program, implementing strong access control measures, regularly monitoring and testing networks, and maintaining an information security policy. Given that Tasty Fried Foods processes customer payments, Mega-Corp must ensure ongoing compliance with PCI DSS. Failure to do so could result in significant fines and reputational damage.</w:t>
      </w:r>
    </w:p>
    <w:p w14:paraId="59E203AB" w14:textId="77777777" w:rsidR="00BA67CD" w:rsidRPr="00BA67CD" w:rsidRDefault="00BA67CD" w:rsidP="00BA67CD">
      <w:pPr>
        <w:spacing w:line="480" w:lineRule="auto"/>
        <w:rPr>
          <w:rFonts w:ascii="Times New Roman" w:hAnsi="Times New Roman" w:cs="Times New Roman"/>
        </w:rPr>
      </w:pPr>
    </w:p>
    <w:p w14:paraId="4189D68B"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Children's Online Privacy Protection Act (COPPA)</w:t>
      </w:r>
    </w:p>
    <w:p w14:paraId="5D39B798" w14:textId="77777777" w:rsidR="00BA67CD" w:rsidRPr="00BA67CD" w:rsidRDefault="00BA67CD" w:rsidP="00BA67CD">
      <w:pPr>
        <w:spacing w:line="480" w:lineRule="auto"/>
        <w:jc w:val="center"/>
        <w:rPr>
          <w:rFonts w:ascii="Times New Roman" w:hAnsi="Times New Roman" w:cs="Times New Roman"/>
        </w:rPr>
      </w:pPr>
    </w:p>
    <w:p w14:paraId="5FF86F2E" w14:textId="06C49ACA"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Children's Online Privacy Protection Act (COPPA) regulates the online collection of personal information from children under the age of 13 (Federal Trade Commission, </w:t>
      </w:r>
      <w:r w:rsidR="00C9018E">
        <w:rPr>
          <w:rFonts w:ascii="Times New Roman" w:hAnsi="Times New Roman" w:cs="Times New Roman"/>
        </w:rPr>
        <w:t>1998</w:t>
      </w:r>
      <w:r w:rsidRPr="00BA67CD">
        <w:rPr>
          <w:rFonts w:ascii="Times New Roman" w:hAnsi="Times New Roman" w:cs="Times New Roman"/>
        </w:rPr>
        <w:t xml:space="preserve">). </w:t>
      </w:r>
      <w:r w:rsidRPr="00BA67CD">
        <w:rPr>
          <w:rFonts w:ascii="Times New Roman" w:hAnsi="Times New Roman" w:cs="Times New Roman"/>
        </w:rPr>
        <w:lastRenderedPageBreak/>
        <w:t>Websites and online services targeting children must obtain verifiable parental consent before collecting, using, or disclosing children's personal information. While COPPA isn't currently relevant to Mega-Corp, it should be considered if the company decides to develop online services or marketing campaigns directed at children.</w:t>
      </w:r>
    </w:p>
    <w:p w14:paraId="7C18573C" w14:textId="77777777" w:rsidR="00BA67CD" w:rsidRPr="00BA67CD" w:rsidRDefault="00BA67CD" w:rsidP="00BA67CD">
      <w:pPr>
        <w:spacing w:line="480" w:lineRule="auto"/>
        <w:rPr>
          <w:rFonts w:ascii="Times New Roman" w:hAnsi="Times New Roman" w:cs="Times New Roman"/>
        </w:rPr>
      </w:pPr>
    </w:p>
    <w:p w14:paraId="58CE2C00"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Sarbanes-Oxley Act (SOX)</w:t>
      </w:r>
    </w:p>
    <w:p w14:paraId="04607A69" w14:textId="77777777" w:rsidR="00BA67CD" w:rsidRPr="00BA67CD" w:rsidRDefault="00BA67CD" w:rsidP="00BA67CD">
      <w:pPr>
        <w:spacing w:line="480" w:lineRule="auto"/>
        <w:jc w:val="center"/>
        <w:rPr>
          <w:rFonts w:ascii="Times New Roman" w:hAnsi="Times New Roman" w:cs="Times New Roman"/>
        </w:rPr>
      </w:pPr>
    </w:p>
    <w:p w14:paraId="787AD23D" w14:textId="2AE3B85D"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Sarbanes-Oxley Act (SOX) mandates stringent internal controls and reporting requirements for publicly traded companies (Securities and Exchange Commission, </w:t>
      </w:r>
      <w:r w:rsidR="00383A87">
        <w:rPr>
          <w:rFonts w:ascii="Times New Roman" w:hAnsi="Times New Roman" w:cs="Times New Roman"/>
        </w:rPr>
        <w:t>2002</w:t>
      </w:r>
      <w:r w:rsidRPr="00BA67CD">
        <w:rPr>
          <w:rFonts w:ascii="Times New Roman" w:hAnsi="Times New Roman" w:cs="Times New Roman"/>
        </w:rPr>
        <w:t>). It aims to prevent financial fraud and enhance corporate accountability. As Mega-Corp prepares for its IPO, SOX compliance will become a crucial obligation. This will involve implementing robust internal controls over financial reporting, ensuring data integrity, and establishing audit trails.</w:t>
      </w:r>
    </w:p>
    <w:p w14:paraId="37680326" w14:textId="77777777" w:rsidR="00BA67CD" w:rsidRPr="00BA67CD" w:rsidRDefault="00BA67CD" w:rsidP="00BA67CD">
      <w:pPr>
        <w:spacing w:line="480" w:lineRule="auto"/>
        <w:rPr>
          <w:rFonts w:ascii="Times New Roman" w:hAnsi="Times New Roman" w:cs="Times New Roman"/>
        </w:rPr>
      </w:pPr>
    </w:p>
    <w:p w14:paraId="1AE070FD"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State, Federal, and International Standards and Jurisdictions</w:t>
      </w:r>
    </w:p>
    <w:p w14:paraId="36350A58" w14:textId="77777777" w:rsidR="00BA67CD" w:rsidRPr="00BA67CD" w:rsidRDefault="00BA67CD" w:rsidP="00BA67CD">
      <w:pPr>
        <w:spacing w:line="480" w:lineRule="auto"/>
        <w:jc w:val="center"/>
        <w:rPr>
          <w:rFonts w:ascii="Times New Roman" w:hAnsi="Times New Roman" w:cs="Times New Roman"/>
        </w:rPr>
      </w:pPr>
    </w:p>
    <w:p w14:paraId="2F5B52EF" w14:textId="77777777" w:rsidR="00BA67CD" w:rsidRP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regulatory landscape for information security and privacy is complex and varies significantly across state, federal, and international jurisdictions. Mega-Corp must comply with all applicable laws in the regions where it operates. This includes state-level data breach notification laws, which vary in their requirements and penalties. Internationally, Mega-Corp must consider regulations such as the European Union's General Data Protection Regulation (GDPR), which imposes strict requirements for data protection and privacy. Navigating this </w:t>
      </w:r>
      <w:r w:rsidRPr="00BA67CD">
        <w:rPr>
          <w:rFonts w:ascii="Times New Roman" w:hAnsi="Times New Roman" w:cs="Times New Roman"/>
        </w:rPr>
        <w:lastRenderedPageBreak/>
        <w:t>complex web of regulations requires a comprehensive legal review and the implementation of adaptable compliance programs.</w:t>
      </w:r>
    </w:p>
    <w:p w14:paraId="5D895711"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USA Patriot Act</w:t>
      </w:r>
    </w:p>
    <w:p w14:paraId="00617CBD" w14:textId="77777777" w:rsidR="00BA67CD" w:rsidRPr="00BA67CD" w:rsidRDefault="00BA67CD" w:rsidP="00BA67CD">
      <w:pPr>
        <w:spacing w:line="480" w:lineRule="auto"/>
        <w:jc w:val="center"/>
        <w:rPr>
          <w:rFonts w:ascii="Times New Roman" w:hAnsi="Times New Roman" w:cs="Times New Roman"/>
        </w:rPr>
      </w:pPr>
    </w:p>
    <w:p w14:paraId="78DE0283" w14:textId="575C7D5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The USA Patriot Act, enacted in response to the September 11th attacks, broadened government surveillance powers (U.S. Department of Justice, </w:t>
      </w:r>
      <w:r w:rsidR="00740399">
        <w:rPr>
          <w:rFonts w:ascii="Times New Roman" w:hAnsi="Times New Roman" w:cs="Times New Roman"/>
        </w:rPr>
        <w:t>2001</w:t>
      </w:r>
      <w:r w:rsidRPr="00BA67CD">
        <w:rPr>
          <w:rFonts w:ascii="Times New Roman" w:hAnsi="Times New Roman" w:cs="Times New Roman"/>
        </w:rPr>
        <w:t>). It allows law enforcement agencies greater access to electronic communications and other data under specific circumstances. Mega-Corp must be aware of the requirements of the Patriot Act and ensure its data retention and access policies are compliant.</w:t>
      </w:r>
    </w:p>
    <w:p w14:paraId="27A09D8C" w14:textId="77777777" w:rsidR="00BA67CD" w:rsidRPr="00BA67CD" w:rsidRDefault="00BA67CD" w:rsidP="00BA67CD">
      <w:pPr>
        <w:spacing w:line="480" w:lineRule="auto"/>
        <w:ind w:firstLine="720"/>
        <w:rPr>
          <w:rFonts w:ascii="Times New Roman" w:hAnsi="Times New Roman" w:cs="Times New Roman"/>
        </w:rPr>
      </w:pPr>
    </w:p>
    <w:p w14:paraId="78134589" w14:textId="77777777"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Impact on Mega-Corp and the IPO</w:t>
      </w:r>
    </w:p>
    <w:p w14:paraId="58837F6E" w14:textId="77777777" w:rsidR="00BA67CD" w:rsidRPr="00BA67CD" w:rsidRDefault="00BA67CD" w:rsidP="00BA67CD">
      <w:pPr>
        <w:spacing w:line="480" w:lineRule="auto"/>
        <w:jc w:val="center"/>
        <w:rPr>
          <w:rFonts w:ascii="Times New Roman" w:hAnsi="Times New Roman" w:cs="Times New Roman"/>
        </w:rPr>
      </w:pPr>
    </w:p>
    <w:p w14:paraId="165F92D5" w14:textId="77777777" w:rsid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 xml:space="preserve">Currently, PCI DSS and Section 508 of the ADA directly impact Mega-Corp. The PCI DSS impacts the credit card processing operations within Tasty Fried Foods, while Section 508 applies to Mega-Corp’s websites and online resources. Following the IPO, SOX compliance will become mandatory, impacting financial reporting and internal controls. Furthermore, GLBA may become relevant depending on the specific financial services offered post-IPO. State-level data breach notification laws will also be applicable in all states </w:t>
      </w:r>
      <w:proofErr w:type="gramStart"/>
      <w:r w:rsidRPr="00BA67CD">
        <w:rPr>
          <w:rFonts w:ascii="Times New Roman" w:hAnsi="Times New Roman" w:cs="Times New Roman"/>
        </w:rPr>
        <w:t>where</w:t>
      </w:r>
      <w:proofErr w:type="gramEnd"/>
      <w:r w:rsidRPr="00BA67CD">
        <w:rPr>
          <w:rFonts w:ascii="Times New Roman" w:hAnsi="Times New Roman" w:cs="Times New Roman"/>
        </w:rPr>
        <w:t xml:space="preserve"> Mega-Corp conducts business. These regulations will require robust security measures, comprehensive data governance policies, and stringent compliance monitoring.</w:t>
      </w:r>
    </w:p>
    <w:p w14:paraId="4DA40C06" w14:textId="77777777" w:rsidR="00BA67CD" w:rsidRPr="00BA67CD" w:rsidRDefault="00BA67CD" w:rsidP="00BA67CD">
      <w:pPr>
        <w:spacing w:line="480" w:lineRule="auto"/>
        <w:rPr>
          <w:rFonts w:ascii="Times New Roman" w:hAnsi="Times New Roman" w:cs="Times New Roman"/>
        </w:rPr>
      </w:pPr>
    </w:p>
    <w:p w14:paraId="0B82EC0F" w14:textId="77777777" w:rsidR="00ED0E10" w:rsidRDefault="00ED0E10" w:rsidP="00BA67CD">
      <w:pPr>
        <w:spacing w:line="480" w:lineRule="auto"/>
        <w:jc w:val="center"/>
        <w:rPr>
          <w:rFonts w:ascii="Times New Roman" w:hAnsi="Times New Roman" w:cs="Times New Roman"/>
        </w:rPr>
      </w:pPr>
    </w:p>
    <w:p w14:paraId="6BB2FFAD" w14:textId="77777777" w:rsidR="00ED0E10" w:rsidRDefault="00ED0E10" w:rsidP="00BA67CD">
      <w:pPr>
        <w:spacing w:line="480" w:lineRule="auto"/>
        <w:jc w:val="center"/>
        <w:rPr>
          <w:rFonts w:ascii="Times New Roman" w:hAnsi="Times New Roman" w:cs="Times New Roman"/>
        </w:rPr>
      </w:pPr>
    </w:p>
    <w:p w14:paraId="35539E4D" w14:textId="77777777" w:rsidR="00ED0E10" w:rsidRDefault="00ED0E10" w:rsidP="00BA67CD">
      <w:pPr>
        <w:spacing w:line="480" w:lineRule="auto"/>
        <w:jc w:val="center"/>
        <w:rPr>
          <w:rFonts w:ascii="Times New Roman" w:hAnsi="Times New Roman" w:cs="Times New Roman"/>
        </w:rPr>
      </w:pPr>
    </w:p>
    <w:p w14:paraId="0A32CE57" w14:textId="77777777" w:rsidR="00ED0E10" w:rsidRDefault="00ED0E10" w:rsidP="00BA67CD">
      <w:pPr>
        <w:spacing w:line="480" w:lineRule="auto"/>
        <w:jc w:val="center"/>
        <w:rPr>
          <w:rFonts w:ascii="Times New Roman" w:hAnsi="Times New Roman" w:cs="Times New Roman"/>
        </w:rPr>
      </w:pPr>
    </w:p>
    <w:p w14:paraId="6B90A4CE" w14:textId="63ECB042"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t>Conclusion</w:t>
      </w:r>
    </w:p>
    <w:p w14:paraId="335C89EE" w14:textId="77777777" w:rsidR="00ED0E10" w:rsidRPr="00BA67CD" w:rsidRDefault="00ED0E10" w:rsidP="00BA67CD">
      <w:pPr>
        <w:spacing w:line="480" w:lineRule="auto"/>
        <w:jc w:val="center"/>
        <w:rPr>
          <w:rFonts w:ascii="Times New Roman" w:hAnsi="Times New Roman" w:cs="Times New Roman"/>
        </w:rPr>
      </w:pPr>
    </w:p>
    <w:p w14:paraId="270F7237" w14:textId="77777777" w:rsidR="00BA67CD" w:rsidRPr="00BA67CD" w:rsidRDefault="00BA67CD" w:rsidP="00BA67CD">
      <w:pPr>
        <w:spacing w:line="480" w:lineRule="auto"/>
        <w:ind w:firstLine="720"/>
        <w:rPr>
          <w:rFonts w:ascii="Times New Roman" w:hAnsi="Times New Roman" w:cs="Times New Roman"/>
        </w:rPr>
      </w:pPr>
      <w:r w:rsidRPr="00BA67CD">
        <w:rPr>
          <w:rFonts w:ascii="Times New Roman" w:hAnsi="Times New Roman" w:cs="Times New Roman"/>
        </w:rPr>
        <w:t>Successfully navigating the complex and evolving landscape of information security and privacy regulations requires a proactive and strategic approach. Mega-Corp must thoroughly assess its current compliance status, anticipate future regulatory obligations resulting from the IPO, and implement appropriate security measures. This includes developing comprehensive policies, providing employee training, and establishing robust security controls. This document provides a framework for understanding the key regulatory challenges, outlining best practices, and enabling Mega-Corp to develop a comprehensive strategy to achieve compliance, protect its assets, respect employee rights, and ensure a successful IPO.</w:t>
      </w:r>
    </w:p>
    <w:p w14:paraId="3AC392B0" w14:textId="77777777" w:rsidR="00BA67CD" w:rsidRDefault="00BA67CD" w:rsidP="00BA67CD">
      <w:pPr>
        <w:spacing w:line="480" w:lineRule="auto"/>
        <w:rPr>
          <w:rFonts w:ascii="Times New Roman" w:hAnsi="Times New Roman" w:cs="Times New Roman"/>
        </w:rPr>
      </w:pPr>
    </w:p>
    <w:p w14:paraId="3F9116F5" w14:textId="77777777" w:rsidR="00BA67CD" w:rsidRDefault="00BA67CD" w:rsidP="00BA67CD">
      <w:pPr>
        <w:spacing w:line="480" w:lineRule="auto"/>
        <w:rPr>
          <w:rFonts w:ascii="Times New Roman" w:hAnsi="Times New Roman" w:cs="Times New Roman"/>
        </w:rPr>
      </w:pPr>
    </w:p>
    <w:p w14:paraId="45C29CA5" w14:textId="77777777" w:rsidR="00BA67CD" w:rsidRDefault="00BA67CD" w:rsidP="00BA67CD">
      <w:pPr>
        <w:spacing w:line="480" w:lineRule="auto"/>
        <w:rPr>
          <w:rFonts w:ascii="Times New Roman" w:hAnsi="Times New Roman" w:cs="Times New Roman"/>
        </w:rPr>
      </w:pPr>
    </w:p>
    <w:p w14:paraId="60C44289" w14:textId="77777777" w:rsidR="00BA67CD" w:rsidRDefault="00BA67CD" w:rsidP="00BA67CD">
      <w:pPr>
        <w:spacing w:line="480" w:lineRule="auto"/>
        <w:rPr>
          <w:rFonts w:ascii="Times New Roman" w:hAnsi="Times New Roman" w:cs="Times New Roman"/>
        </w:rPr>
      </w:pPr>
    </w:p>
    <w:p w14:paraId="0AF75942" w14:textId="77777777" w:rsidR="00BA67CD" w:rsidRDefault="00BA67CD" w:rsidP="00BA67CD">
      <w:pPr>
        <w:spacing w:line="480" w:lineRule="auto"/>
        <w:rPr>
          <w:rFonts w:ascii="Times New Roman" w:hAnsi="Times New Roman" w:cs="Times New Roman"/>
        </w:rPr>
      </w:pPr>
    </w:p>
    <w:p w14:paraId="6ADB0481" w14:textId="77777777" w:rsidR="00BA67CD" w:rsidRDefault="00BA67CD" w:rsidP="00BA67CD">
      <w:pPr>
        <w:spacing w:line="480" w:lineRule="auto"/>
        <w:rPr>
          <w:rFonts w:ascii="Times New Roman" w:hAnsi="Times New Roman" w:cs="Times New Roman"/>
        </w:rPr>
      </w:pPr>
    </w:p>
    <w:p w14:paraId="5199597F" w14:textId="77777777" w:rsidR="00BA67CD" w:rsidRDefault="00BA67CD" w:rsidP="00BA67CD">
      <w:pPr>
        <w:spacing w:line="480" w:lineRule="auto"/>
        <w:rPr>
          <w:rFonts w:ascii="Times New Roman" w:hAnsi="Times New Roman" w:cs="Times New Roman"/>
        </w:rPr>
      </w:pPr>
    </w:p>
    <w:p w14:paraId="632E8520" w14:textId="77777777" w:rsidR="00BA67CD" w:rsidRDefault="00BA67CD" w:rsidP="00BA67CD">
      <w:pPr>
        <w:spacing w:line="480" w:lineRule="auto"/>
        <w:rPr>
          <w:rFonts w:ascii="Times New Roman" w:hAnsi="Times New Roman" w:cs="Times New Roman"/>
        </w:rPr>
      </w:pPr>
    </w:p>
    <w:p w14:paraId="034F89CE" w14:textId="77777777" w:rsidR="00BA67CD" w:rsidRDefault="00BA67CD" w:rsidP="00BA67CD">
      <w:pPr>
        <w:spacing w:line="480" w:lineRule="auto"/>
        <w:rPr>
          <w:rFonts w:ascii="Times New Roman" w:hAnsi="Times New Roman" w:cs="Times New Roman"/>
        </w:rPr>
      </w:pPr>
    </w:p>
    <w:p w14:paraId="7889DCBF" w14:textId="77777777" w:rsidR="00BA67CD" w:rsidRDefault="00BA67CD" w:rsidP="00BA67CD">
      <w:pPr>
        <w:spacing w:line="480" w:lineRule="auto"/>
        <w:rPr>
          <w:rFonts w:ascii="Times New Roman" w:hAnsi="Times New Roman" w:cs="Times New Roman"/>
        </w:rPr>
      </w:pPr>
    </w:p>
    <w:p w14:paraId="71DDE3C1" w14:textId="77777777" w:rsidR="00BA67CD" w:rsidRDefault="00BA67CD" w:rsidP="00740399">
      <w:pPr>
        <w:spacing w:line="480" w:lineRule="auto"/>
        <w:rPr>
          <w:rFonts w:ascii="Times New Roman" w:hAnsi="Times New Roman" w:cs="Times New Roman"/>
        </w:rPr>
      </w:pPr>
    </w:p>
    <w:p w14:paraId="169D79BB" w14:textId="42CDF286" w:rsidR="00BA67CD" w:rsidRDefault="00BA67CD" w:rsidP="00BA67CD">
      <w:pPr>
        <w:spacing w:line="480" w:lineRule="auto"/>
        <w:jc w:val="center"/>
        <w:rPr>
          <w:rFonts w:ascii="Times New Roman" w:hAnsi="Times New Roman" w:cs="Times New Roman"/>
        </w:rPr>
      </w:pPr>
      <w:r w:rsidRPr="00BA67CD">
        <w:rPr>
          <w:rFonts w:ascii="Times New Roman" w:hAnsi="Times New Roman" w:cs="Times New Roman"/>
        </w:rPr>
        <w:lastRenderedPageBreak/>
        <w:t>References</w:t>
      </w:r>
    </w:p>
    <w:p w14:paraId="2D849E7D" w14:textId="77777777" w:rsidR="00740399" w:rsidRPr="00BA67CD" w:rsidRDefault="00740399" w:rsidP="00BA67CD">
      <w:pPr>
        <w:spacing w:line="480" w:lineRule="auto"/>
        <w:jc w:val="center"/>
        <w:rPr>
          <w:rFonts w:ascii="Times New Roman" w:hAnsi="Times New Roman" w:cs="Times New Roman"/>
        </w:rPr>
      </w:pPr>
    </w:p>
    <w:p w14:paraId="4060EAB3" w14:textId="72CE91EA"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Federal Trade Commission. (</w:t>
      </w:r>
      <w:r w:rsidR="00C9018E">
        <w:rPr>
          <w:rFonts w:ascii="Times New Roman" w:hAnsi="Times New Roman" w:cs="Times New Roman"/>
        </w:rPr>
        <w:t>1998</w:t>
      </w:r>
      <w:r w:rsidRPr="00ED0E10">
        <w:rPr>
          <w:rFonts w:ascii="Times New Roman" w:hAnsi="Times New Roman" w:cs="Times New Roman"/>
        </w:rPr>
        <w:t>). </w:t>
      </w:r>
      <w:r w:rsidRPr="00ED0E10">
        <w:rPr>
          <w:rFonts w:ascii="Times New Roman" w:hAnsi="Times New Roman" w:cs="Times New Roman"/>
          <w:i/>
          <w:iCs/>
        </w:rPr>
        <w:t>Children's Online Privacy Protection Rule (COPPA)</w:t>
      </w:r>
      <w:r w:rsidRPr="00ED0E10">
        <w:rPr>
          <w:rFonts w:ascii="Times New Roman" w:hAnsi="Times New Roman" w:cs="Times New Roman"/>
        </w:rPr>
        <w:t>.</w:t>
      </w:r>
      <w:r w:rsidR="00C9018E">
        <w:rPr>
          <w:rFonts w:ascii="Times New Roman" w:hAnsi="Times New Roman" w:cs="Times New Roman"/>
        </w:rPr>
        <w:t xml:space="preserve"> </w:t>
      </w:r>
      <w:hyperlink r:id="rId5" w:history="1">
        <w:r w:rsidR="00C9018E" w:rsidRPr="00ED0E10">
          <w:rPr>
            <w:rStyle w:val="Hyperlink"/>
            <w:rFonts w:ascii="Times New Roman" w:hAnsi="Times New Roman" w:cs="Times New Roman"/>
          </w:rPr>
          <w:t>https://www.ft</w:t>
        </w:r>
        <w:r w:rsidR="00C9018E" w:rsidRPr="00ED0E10">
          <w:rPr>
            <w:rStyle w:val="Hyperlink"/>
            <w:rFonts w:ascii="Times New Roman" w:hAnsi="Times New Roman" w:cs="Times New Roman"/>
          </w:rPr>
          <w:t>c</w:t>
        </w:r>
        <w:r w:rsidR="00C9018E" w:rsidRPr="00ED0E10">
          <w:rPr>
            <w:rStyle w:val="Hyperlink"/>
            <w:rFonts w:ascii="Times New Roman" w:hAnsi="Times New Roman" w:cs="Times New Roman"/>
          </w:rPr>
          <w:t>.gov/legal-library/browse/rules/childrens-online-privacy-protection-rule-coppa</w:t>
        </w:r>
      </w:hyperlink>
    </w:p>
    <w:p w14:paraId="6118B4EF" w14:textId="291FA81A"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Federal Trade Commission. (</w:t>
      </w:r>
      <w:r w:rsidR="00C9018E">
        <w:rPr>
          <w:rFonts w:ascii="Times New Roman" w:hAnsi="Times New Roman" w:cs="Times New Roman"/>
        </w:rPr>
        <w:t>1999</w:t>
      </w:r>
      <w:r w:rsidRPr="00ED0E10">
        <w:rPr>
          <w:rFonts w:ascii="Times New Roman" w:hAnsi="Times New Roman" w:cs="Times New Roman"/>
        </w:rPr>
        <w:t>). </w:t>
      </w:r>
      <w:r w:rsidRPr="00ED0E10">
        <w:rPr>
          <w:rFonts w:ascii="Times New Roman" w:hAnsi="Times New Roman" w:cs="Times New Roman"/>
          <w:i/>
          <w:iCs/>
        </w:rPr>
        <w:t>Gramm-Leach-Bliley Act</w:t>
      </w:r>
      <w:r w:rsidRPr="00ED0E10">
        <w:rPr>
          <w:rFonts w:ascii="Times New Roman" w:hAnsi="Times New Roman" w:cs="Times New Roman"/>
        </w:rPr>
        <w:t xml:space="preserve">. </w:t>
      </w:r>
      <w:r w:rsidR="00C9018E">
        <w:rPr>
          <w:rFonts w:ascii="Times New Roman" w:hAnsi="Times New Roman" w:cs="Times New Roman"/>
        </w:rPr>
        <w:fldChar w:fldCharType="begin"/>
      </w:r>
      <w:r w:rsidR="00C9018E">
        <w:rPr>
          <w:rFonts w:ascii="Times New Roman" w:hAnsi="Times New Roman" w:cs="Times New Roman"/>
        </w:rPr>
        <w:instrText>HYPERLINK "</w:instrText>
      </w:r>
      <w:r w:rsidR="00C9018E" w:rsidRPr="00ED0E10">
        <w:rPr>
          <w:rFonts w:ascii="Times New Roman" w:hAnsi="Times New Roman" w:cs="Times New Roman"/>
        </w:rPr>
        <w:instrText>https://www.ftc.gov/tips-advice/business-center/privacy-and-security/gramm-leach-bliley-act</w:instrText>
      </w:r>
      <w:r w:rsidR="00C9018E">
        <w:rPr>
          <w:rFonts w:ascii="Times New Roman" w:hAnsi="Times New Roman" w:cs="Times New Roman"/>
        </w:rPr>
        <w:instrText>"</w:instrText>
      </w:r>
      <w:r w:rsidR="00C9018E">
        <w:rPr>
          <w:rFonts w:ascii="Times New Roman" w:hAnsi="Times New Roman" w:cs="Times New Roman"/>
        </w:rPr>
        <w:fldChar w:fldCharType="separate"/>
      </w:r>
      <w:r w:rsidR="00C9018E" w:rsidRPr="00ED0E10">
        <w:rPr>
          <w:rStyle w:val="Hyperlink"/>
          <w:rFonts w:ascii="Times New Roman" w:hAnsi="Times New Roman" w:cs="Times New Roman"/>
        </w:rPr>
        <w:t>https://www.ftc.gov/tips-advice/busi</w:t>
      </w:r>
      <w:r w:rsidR="00C9018E" w:rsidRPr="00ED0E10">
        <w:rPr>
          <w:rStyle w:val="Hyperlink"/>
          <w:rFonts w:ascii="Times New Roman" w:hAnsi="Times New Roman" w:cs="Times New Roman"/>
        </w:rPr>
        <w:t>n</w:t>
      </w:r>
      <w:r w:rsidR="00C9018E" w:rsidRPr="00ED0E10">
        <w:rPr>
          <w:rStyle w:val="Hyperlink"/>
          <w:rFonts w:ascii="Times New Roman" w:hAnsi="Times New Roman" w:cs="Times New Roman"/>
        </w:rPr>
        <w:t>ess-center/privacy-and-security/gramm-leach-bliley-act</w:t>
      </w:r>
      <w:r w:rsidR="00C9018E">
        <w:rPr>
          <w:rFonts w:ascii="Times New Roman" w:hAnsi="Times New Roman" w:cs="Times New Roman"/>
        </w:rPr>
        <w:fldChar w:fldCharType="end"/>
      </w:r>
    </w:p>
    <w:p w14:paraId="0BE221D9" w14:textId="4DCC56A6"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Mitnick, K. D., &amp; Simon, W. L. (2021). </w:t>
      </w:r>
      <w:r w:rsidRPr="00ED0E10">
        <w:rPr>
          <w:rFonts w:ascii="Times New Roman" w:hAnsi="Times New Roman" w:cs="Times New Roman"/>
          <w:i/>
          <w:iCs/>
        </w:rPr>
        <w:t>The art of deception: Controlling the human element of security</w:t>
      </w:r>
      <w:r w:rsidRPr="00ED0E10">
        <w:rPr>
          <w:rFonts w:ascii="Times New Roman" w:hAnsi="Times New Roman" w:cs="Times New Roman"/>
        </w:rPr>
        <w:t>. Wiley.</w:t>
      </w:r>
    </w:p>
    <w:p w14:paraId="7D394052" w14:textId="0A2F2ACA"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NIST. (</w:t>
      </w:r>
      <w:r w:rsidR="00C9018E">
        <w:rPr>
          <w:rFonts w:ascii="Times New Roman" w:hAnsi="Times New Roman" w:cs="Times New Roman"/>
        </w:rPr>
        <w:t>1987</w:t>
      </w:r>
      <w:r w:rsidRPr="00ED0E10">
        <w:rPr>
          <w:rFonts w:ascii="Times New Roman" w:hAnsi="Times New Roman" w:cs="Times New Roman"/>
        </w:rPr>
        <w:t>).  </w:t>
      </w:r>
      <w:r w:rsidRPr="00ED0E10">
        <w:rPr>
          <w:rFonts w:ascii="Times New Roman" w:hAnsi="Times New Roman" w:cs="Times New Roman"/>
          <w:i/>
          <w:iCs/>
        </w:rPr>
        <w:t>Computer Security Act of 1987</w:t>
      </w:r>
      <w:r w:rsidRPr="00ED0E10">
        <w:rPr>
          <w:rFonts w:ascii="Times New Roman" w:hAnsi="Times New Roman" w:cs="Times New Roman"/>
        </w:rPr>
        <w:t xml:space="preserve">. </w:t>
      </w:r>
      <w:r w:rsidR="00C9018E">
        <w:rPr>
          <w:rFonts w:ascii="Times New Roman" w:hAnsi="Times New Roman" w:cs="Times New Roman"/>
        </w:rPr>
        <w:t xml:space="preserve"> </w:t>
      </w:r>
      <w:hyperlink r:id="rId6" w:history="1">
        <w:r w:rsidR="00C9018E" w:rsidRPr="00ED0E10">
          <w:rPr>
            <w:rStyle w:val="Hyperlink"/>
            <w:rFonts w:ascii="Times New Roman" w:hAnsi="Times New Roman" w:cs="Times New Roman"/>
          </w:rPr>
          <w:t>https://csrc.nist.gov/glossary/term/computer_security_act_of_1987</w:t>
        </w:r>
      </w:hyperlink>
    </w:p>
    <w:p w14:paraId="340169B9" w14:textId="067D5B0F" w:rsidR="00383A87" w:rsidRPr="00383A87" w:rsidRDefault="00ED0E10" w:rsidP="00383A87">
      <w:pPr>
        <w:spacing w:line="480" w:lineRule="auto"/>
        <w:rPr>
          <w:rFonts w:ascii="Times New Roman" w:hAnsi="Times New Roman" w:cs="Times New Roman"/>
          <w:b/>
          <w:bCs/>
          <w:i/>
          <w:iCs/>
        </w:rPr>
      </w:pPr>
      <w:r w:rsidRPr="00ED0E10">
        <w:rPr>
          <w:rFonts w:ascii="Times New Roman" w:hAnsi="Times New Roman" w:cs="Times New Roman"/>
        </w:rPr>
        <w:t>PCI Security Standards Council. (</w:t>
      </w:r>
      <w:r w:rsidR="00383A87">
        <w:rPr>
          <w:rFonts w:ascii="Times New Roman" w:hAnsi="Times New Roman" w:cs="Times New Roman"/>
        </w:rPr>
        <w:t>2024</w:t>
      </w:r>
      <w:r w:rsidRPr="00ED0E10">
        <w:rPr>
          <w:rFonts w:ascii="Times New Roman" w:hAnsi="Times New Roman" w:cs="Times New Roman"/>
        </w:rPr>
        <w:t>). </w:t>
      </w:r>
      <w:r w:rsidR="00383A87" w:rsidRPr="00383A87">
        <w:rPr>
          <w:rFonts w:ascii="Times New Roman" w:hAnsi="Times New Roman" w:cs="Times New Roman"/>
          <w:b/>
          <w:bCs/>
          <w:i/>
          <w:iCs/>
        </w:rPr>
        <w:t>PCI Security Standards Overview</w:t>
      </w:r>
    </w:p>
    <w:p w14:paraId="1865765D" w14:textId="2F2031E0"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 xml:space="preserve">Retrieved </w:t>
      </w:r>
      <w:r w:rsidR="00383A87">
        <w:rPr>
          <w:rFonts w:ascii="Times New Roman" w:hAnsi="Times New Roman" w:cs="Times New Roman"/>
        </w:rPr>
        <w:t>November 7</w:t>
      </w:r>
      <w:r w:rsidR="00383A87" w:rsidRPr="00383A87">
        <w:rPr>
          <w:rFonts w:ascii="Times New Roman" w:hAnsi="Times New Roman" w:cs="Times New Roman"/>
          <w:vertAlign w:val="superscript"/>
        </w:rPr>
        <w:t>th</w:t>
      </w:r>
      <w:r w:rsidR="00740399">
        <w:rPr>
          <w:rFonts w:ascii="Times New Roman" w:hAnsi="Times New Roman" w:cs="Times New Roman"/>
        </w:rPr>
        <w:t>, 2024</w:t>
      </w:r>
      <w:r w:rsidRPr="00ED0E10">
        <w:rPr>
          <w:rFonts w:ascii="Times New Roman" w:hAnsi="Times New Roman" w:cs="Times New Roman"/>
        </w:rPr>
        <w:t>, from </w:t>
      </w:r>
      <w:hyperlink r:id="rId7" w:history="1">
        <w:r w:rsidR="00383A87" w:rsidRPr="00383A87">
          <w:rPr>
            <w:rStyle w:val="Hyperlink"/>
            <w:rFonts w:ascii="Times New Roman" w:hAnsi="Times New Roman" w:cs="Times New Roman"/>
          </w:rPr>
          <w:t>https://www.pcisecuritystandards.org/standards/</w:t>
        </w:r>
      </w:hyperlink>
    </w:p>
    <w:p w14:paraId="077A88E8" w14:textId="695941C6"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Securities and Exchange Commission. (</w:t>
      </w:r>
      <w:r w:rsidR="00383A87">
        <w:rPr>
          <w:rFonts w:ascii="Times New Roman" w:hAnsi="Times New Roman" w:cs="Times New Roman"/>
        </w:rPr>
        <w:t>2002</w:t>
      </w:r>
      <w:r w:rsidRPr="00ED0E10">
        <w:rPr>
          <w:rFonts w:ascii="Times New Roman" w:hAnsi="Times New Roman" w:cs="Times New Roman"/>
        </w:rPr>
        <w:t>). </w:t>
      </w:r>
      <w:r w:rsidRPr="00ED0E10">
        <w:rPr>
          <w:rFonts w:ascii="Times New Roman" w:hAnsi="Times New Roman" w:cs="Times New Roman"/>
          <w:i/>
          <w:iCs/>
        </w:rPr>
        <w:t>Sarbanes-Oxley Act of 2002</w:t>
      </w:r>
      <w:r w:rsidRPr="00ED0E10">
        <w:rPr>
          <w:rFonts w:ascii="Times New Roman" w:hAnsi="Times New Roman" w:cs="Times New Roman"/>
        </w:rPr>
        <w:t xml:space="preserve">. </w:t>
      </w:r>
      <w:hyperlink r:id="rId8" w:history="1">
        <w:r w:rsidR="00383A87" w:rsidRPr="00ED0E10">
          <w:rPr>
            <w:rStyle w:val="Hyperlink"/>
            <w:rFonts w:ascii="Times New Roman" w:hAnsi="Times New Roman" w:cs="Times New Roman"/>
          </w:rPr>
          <w:t>https://www.s</w:t>
        </w:r>
        <w:r w:rsidR="00383A87" w:rsidRPr="00ED0E10">
          <w:rPr>
            <w:rStyle w:val="Hyperlink"/>
            <w:rFonts w:ascii="Times New Roman" w:hAnsi="Times New Roman" w:cs="Times New Roman"/>
          </w:rPr>
          <w:t>e</w:t>
        </w:r>
        <w:r w:rsidR="00383A87" w:rsidRPr="00ED0E10">
          <w:rPr>
            <w:rStyle w:val="Hyperlink"/>
            <w:rFonts w:ascii="Times New Roman" w:hAnsi="Times New Roman" w:cs="Times New Roman"/>
          </w:rPr>
          <w:t>c.gov/about/laws/soa2002.pdf</w:t>
        </w:r>
      </w:hyperlink>
    </w:p>
    <w:p w14:paraId="02E2EBD3" w14:textId="39733F52"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Stallings, W., &amp; Brown, L. (2018). </w:t>
      </w:r>
      <w:r w:rsidRPr="00ED0E10">
        <w:rPr>
          <w:rFonts w:ascii="Times New Roman" w:hAnsi="Times New Roman" w:cs="Times New Roman"/>
          <w:i/>
          <w:iCs/>
        </w:rPr>
        <w:t>Computer security: Principles and practice</w:t>
      </w:r>
      <w:r w:rsidRPr="00ED0E10">
        <w:rPr>
          <w:rFonts w:ascii="Times New Roman" w:hAnsi="Times New Roman" w:cs="Times New Roman"/>
        </w:rPr>
        <w:t xml:space="preserve">. Pearson. </w:t>
      </w:r>
    </w:p>
    <w:p w14:paraId="567DB253" w14:textId="27E13037"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United States Access Board. (</w:t>
      </w:r>
      <w:r w:rsidR="00383A87">
        <w:rPr>
          <w:rFonts w:ascii="Times New Roman" w:hAnsi="Times New Roman" w:cs="Times New Roman"/>
        </w:rPr>
        <w:t>2024</w:t>
      </w:r>
      <w:r w:rsidRPr="00ED0E10">
        <w:rPr>
          <w:rFonts w:ascii="Times New Roman" w:hAnsi="Times New Roman" w:cs="Times New Roman"/>
        </w:rPr>
        <w:t>).  </w:t>
      </w:r>
      <w:r w:rsidRPr="00ED0E10">
        <w:rPr>
          <w:rFonts w:ascii="Times New Roman" w:hAnsi="Times New Roman" w:cs="Times New Roman"/>
          <w:i/>
          <w:iCs/>
        </w:rPr>
        <w:t>Section 508</w:t>
      </w:r>
      <w:r w:rsidRPr="00ED0E10">
        <w:rPr>
          <w:rFonts w:ascii="Times New Roman" w:hAnsi="Times New Roman" w:cs="Times New Roman"/>
        </w:rPr>
        <w:t xml:space="preserve">. Retrieved </w:t>
      </w:r>
      <w:r w:rsidR="00383A87">
        <w:rPr>
          <w:rFonts w:ascii="Times New Roman" w:hAnsi="Times New Roman" w:cs="Times New Roman"/>
        </w:rPr>
        <w:t>November 7</w:t>
      </w:r>
      <w:r w:rsidR="00383A87" w:rsidRPr="00383A87">
        <w:rPr>
          <w:rFonts w:ascii="Times New Roman" w:hAnsi="Times New Roman" w:cs="Times New Roman"/>
          <w:vertAlign w:val="superscript"/>
        </w:rPr>
        <w:t>th</w:t>
      </w:r>
      <w:r w:rsidR="00383A87">
        <w:rPr>
          <w:rFonts w:ascii="Times New Roman" w:hAnsi="Times New Roman" w:cs="Times New Roman"/>
        </w:rPr>
        <w:t>, 2024</w:t>
      </w:r>
      <w:r w:rsidRPr="00ED0E10">
        <w:rPr>
          <w:rFonts w:ascii="Times New Roman" w:hAnsi="Times New Roman" w:cs="Times New Roman"/>
        </w:rPr>
        <w:t>, from </w:t>
      </w:r>
      <w:hyperlink r:id="rId9" w:tgtFrame="_blank" w:history="1">
        <w:r w:rsidRPr="00ED0E10">
          <w:rPr>
            <w:rStyle w:val="Hyperlink"/>
            <w:rFonts w:ascii="Times New Roman" w:hAnsi="Times New Roman" w:cs="Times New Roman"/>
          </w:rPr>
          <w:t>https://w</w:t>
        </w:r>
        <w:r w:rsidRPr="00ED0E10">
          <w:rPr>
            <w:rStyle w:val="Hyperlink"/>
            <w:rFonts w:ascii="Times New Roman" w:hAnsi="Times New Roman" w:cs="Times New Roman"/>
          </w:rPr>
          <w:t>w</w:t>
        </w:r>
        <w:r w:rsidRPr="00ED0E10">
          <w:rPr>
            <w:rStyle w:val="Hyperlink"/>
            <w:rFonts w:ascii="Times New Roman" w:hAnsi="Times New Roman" w:cs="Times New Roman"/>
          </w:rPr>
          <w:t>w.access-board.gov/ict/</w:t>
        </w:r>
      </w:hyperlink>
    </w:p>
    <w:p w14:paraId="2F2F0E98" w14:textId="1BD3D922"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U.S. Department of Justice. (</w:t>
      </w:r>
      <w:r w:rsidR="00740399">
        <w:rPr>
          <w:rFonts w:ascii="Times New Roman" w:hAnsi="Times New Roman" w:cs="Times New Roman"/>
        </w:rPr>
        <w:t>2001</w:t>
      </w:r>
      <w:r w:rsidRPr="00ED0E10">
        <w:rPr>
          <w:rFonts w:ascii="Times New Roman" w:hAnsi="Times New Roman" w:cs="Times New Roman"/>
        </w:rPr>
        <w:t>). </w:t>
      </w:r>
      <w:r w:rsidRPr="00ED0E10">
        <w:rPr>
          <w:rFonts w:ascii="Times New Roman" w:hAnsi="Times New Roman" w:cs="Times New Roman"/>
          <w:i/>
          <w:iCs/>
        </w:rPr>
        <w:t>Uniting and Strengthening America by Providing Appropriate Tools Required to Intercept and Obstruct Terrorism (USA PATRIOT ACT) Act of 2001</w:t>
      </w:r>
      <w:r w:rsidRPr="00ED0E10">
        <w:rPr>
          <w:rFonts w:ascii="Times New Roman" w:hAnsi="Times New Roman" w:cs="Times New Roman"/>
        </w:rPr>
        <w:t>. </w:t>
      </w:r>
      <w:hyperlink r:id="rId10" w:tgtFrame="_blank" w:history="1">
        <w:r w:rsidRPr="00ED0E10">
          <w:rPr>
            <w:rStyle w:val="Hyperlink"/>
            <w:rFonts w:ascii="Times New Roman" w:hAnsi="Times New Roman" w:cs="Times New Roman"/>
          </w:rPr>
          <w:t>https://www.justice</w:t>
        </w:r>
        <w:r w:rsidRPr="00ED0E10">
          <w:rPr>
            <w:rStyle w:val="Hyperlink"/>
            <w:rFonts w:ascii="Times New Roman" w:hAnsi="Times New Roman" w:cs="Times New Roman"/>
          </w:rPr>
          <w:t>.</w:t>
        </w:r>
        <w:r w:rsidRPr="00ED0E10">
          <w:rPr>
            <w:rStyle w:val="Hyperlink"/>
            <w:rFonts w:ascii="Times New Roman" w:hAnsi="Times New Roman" w:cs="Times New Roman"/>
          </w:rPr>
          <w:t>gov/archive/ll/highlights.htm</w:t>
        </w:r>
      </w:hyperlink>
    </w:p>
    <w:p w14:paraId="3B4FB20A" w14:textId="75368548" w:rsidR="00ED0E10" w:rsidRPr="00ED0E10" w:rsidRDefault="00ED0E10" w:rsidP="00ED0E10">
      <w:pPr>
        <w:spacing w:line="480" w:lineRule="auto"/>
        <w:rPr>
          <w:rFonts w:ascii="Times New Roman" w:hAnsi="Times New Roman" w:cs="Times New Roman"/>
        </w:rPr>
      </w:pPr>
      <w:r w:rsidRPr="00ED0E10">
        <w:rPr>
          <w:rFonts w:ascii="Times New Roman" w:hAnsi="Times New Roman" w:cs="Times New Roman"/>
        </w:rPr>
        <w:t>Whitaker, S., Newman, R., Clulow, V., &amp; Hutchings, A. (2019).  </w:t>
      </w:r>
      <w:r w:rsidRPr="00ED0E10">
        <w:rPr>
          <w:rFonts w:ascii="Times New Roman" w:hAnsi="Times New Roman" w:cs="Times New Roman"/>
          <w:i/>
          <w:iCs/>
        </w:rPr>
        <w:t>Information security management</w:t>
      </w:r>
      <w:r w:rsidRPr="00ED0E10">
        <w:rPr>
          <w:rFonts w:ascii="Times New Roman" w:hAnsi="Times New Roman" w:cs="Times New Roman"/>
        </w:rPr>
        <w:t>. Springer.</w:t>
      </w:r>
    </w:p>
    <w:p w14:paraId="4EF06B78" w14:textId="77777777" w:rsidR="00ED0E10" w:rsidRPr="00BA67CD" w:rsidRDefault="00ED0E10" w:rsidP="00BA67CD">
      <w:pPr>
        <w:spacing w:line="480" w:lineRule="auto"/>
        <w:rPr>
          <w:rFonts w:ascii="Times New Roman" w:hAnsi="Times New Roman" w:cs="Times New Roman"/>
        </w:rPr>
      </w:pPr>
    </w:p>
    <w:sectPr w:rsidR="00ED0E10" w:rsidRPr="00BA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B1EE2"/>
    <w:multiLevelType w:val="multilevel"/>
    <w:tmpl w:val="E40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69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CD"/>
    <w:rsid w:val="002312D6"/>
    <w:rsid w:val="00383A87"/>
    <w:rsid w:val="004229CB"/>
    <w:rsid w:val="004F0DEF"/>
    <w:rsid w:val="00740399"/>
    <w:rsid w:val="00B320D0"/>
    <w:rsid w:val="00BA67CD"/>
    <w:rsid w:val="00C03218"/>
    <w:rsid w:val="00C86CB1"/>
    <w:rsid w:val="00C9018E"/>
    <w:rsid w:val="00ED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A8E95"/>
  <w15:chartTrackingRefBased/>
  <w15:docId w15:val="{8B6208E6-3A1D-434C-9AB4-DCC9F9D5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CD"/>
    <w:rPr>
      <w:rFonts w:eastAsiaTheme="majorEastAsia" w:cstheme="majorBidi"/>
      <w:color w:val="272727" w:themeColor="text1" w:themeTint="D8"/>
    </w:rPr>
  </w:style>
  <w:style w:type="paragraph" w:styleId="Title">
    <w:name w:val="Title"/>
    <w:basedOn w:val="Normal"/>
    <w:next w:val="Normal"/>
    <w:link w:val="TitleChar"/>
    <w:uiPriority w:val="10"/>
    <w:qFormat/>
    <w:rsid w:val="00BA67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67CD"/>
    <w:rPr>
      <w:i/>
      <w:iCs/>
      <w:color w:val="404040" w:themeColor="text1" w:themeTint="BF"/>
    </w:rPr>
  </w:style>
  <w:style w:type="paragraph" w:styleId="ListParagraph">
    <w:name w:val="List Paragraph"/>
    <w:basedOn w:val="Normal"/>
    <w:uiPriority w:val="34"/>
    <w:qFormat/>
    <w:rsid w:val="00BA67CD"/>
    <w:pPr>
      <w:ind w:left="720"/>
      <w:contextualSpacing/>
    </w:pPr>
  </w:style>
  <w:style w:type="character" w:styleId="IntenseEmphasis">
    <w:name w:val="Intense Emphasis"/>
    <w:basedOn w:val="DefaultParagraphFont"/>
    <w:uiPriority w:val="21"/>
    <w:qFormat/>
    <w:rsid w:val="00BA67CD"/>
    <w:rPr>
      <w:i/>
      <w:iCs/>
      <w:color w:val="0F4761" w:themeColor="accent1" w:themeShade="BF"/>
    </w:rPr>
  </w:style>
  <w:style w:type="paragraph" w:styleId="IntenseQuote">
    <w:name w:val="Intense Quote"/>
    <w:basedOn w:val="Normal"/>
    <w:next w:val="Normal"/>
    <w:link w:val="IntenseQuoteChar"/>
    <w:uiPriority w:val="30"/>
    <w:qFormat/>
    <w:rsid w:val="00BA6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CD"/>
    <w:rPr>
      <w:i/>
      <w:iCs/>
      <w:color w:val="0F4761" w:themeColor="accent1" w:themeShade="BF"/>
    </w:rPr>
  </w:style>
  <w:style w:type="character" w:styleId="IntenseReference">
    <w:name w:val="Intense Reference"/>
    <w:basedOn w:val="DefaultParagraphFont"/>
    <w:uiPriority w:val="32"/>
    <w:qFormat/>
    <w:rsid w:val="00BA67CD"/>
    <w:rPr>
      <w:b/>
      <w:bCs/>
      <w:smallCaps/>
      <w:color w:val="0F4761" w:themeColor="accent1" w:themeShade="BF"/>
      <w:spacing w:val="5"/>
    </w:rPr>
  </w:style>
  <w:style w:type="character" w:styleId="Hyperlink">
    <w:name w:val="Hyperlink"/>
    <w:basedOn w:val="DefaultParagraphFont"/>
    <w:uiPriority w:val="99"/>
    <w:unhideWhenUsed/>
    <w:rsid w:val="00ED0E10"/>
    <w:rPr>
      <w:color w:val="467886" w:themeColor="hyperlink"/>
      <w:u w:val="single"/>
    </w:rPr>
  </w:style>
  <w:style w:type="character" w:styleId="UnresolvedMention">
    <w:name w:val="Unresolved Mention"/>
    <w:basedOn w:val="DefaultParagraphFont"/>
    <w:uiPriority w:val="99"/>
    <w:semiHidden/>
    <w:unhideWhenUsed/>
    <w:rsid w:val="00ED0E10"/>
    <w:rPr>
      <w:color w:val="605E5C"/>
      <w:shd w:val="clear" w:color="auto" w:fill="E1DFDD"/>
    </w:rPr>
  </w:style>
  <w:style w:type="character" w:styleId="FollowedHyperlink">
    <w:name w:val="FollowedHyperlink"/>
    <w:basedOn w:val="DefaultParagraphFont"/>
    <w:uiPriority w:val="99"/>
    <w:semiHidden/>
    <w:unhideWhenUsed/>
    <w:rsid w:val="00C901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6769">
      <w:bodyDiv w:val="1"/>
      <w:marLeft w:val="0"/>
      <w:marRight w:val="0"/>
      <w:marTop w:val="0"/>
      <w:marBottom w:val="0"/>
      <w:divBdr>
        <w:top w:val="none" w:sz="0" w:space="0" w:color="auto"/>
        <w:left w:val="none" w:sz="0" w:space="0" w:color="auto"/>
        <w:bottom w:val="none" w:sz="0" w:space="0" w:color="auto"/>
        <w:right w:val="none" w:sz="0" w:space="0" w:color="auto"/>
      </w:divBdr>
    </w:div>
    <w:div w:id="793715039">
      <w:bodyDiv w:val="1"/>
      <w:marLeft w:val="0"/>
      <w:marRight w:val="0"/>
      <w:marTop w:val="0"/>
      <w:marBottom w:val="0"/>
      <w:divBdr>
        <w:top w:val="none" w:sz="0" w:space="0" w:color="auto"/>
        <w:left w:val="none" w:sz="0" w:space="0" w:color="auto"/>
        <w:bottom w:val="none" w:sz="0" w:space="0" w:color="auto"/>
        <w:right w:val="none" w:sz="0" w:space="0" w:color="auto"/>
      </w:divBdr>
    </w:div>
    <w:div w:id="1059936141">
      <w:bodyDiv w:val="1"/>
      <w:marLeft w:val="0"/>
      <w:marRight w:val="0"/>
      <w:marTop w:val="0"/>
      <w:marBottom w:val="0"/>
      <w:divBdr>
        <w:top w:val="none" w:sz="0" w:space="0" w:color="auto"/>
        <w:left w:val="none" w:sz="0" w:space="0" w:color="auto"/>
        <w:bottom w:val="none" w:sz="0" w:space="0" w:color="auto"/>
        <w:right w:val="none" w:sz="0" w:space="0" w:color="auto"/>
      </w:divBdr>
    </w:div>
    <w:div w:id="1077360780">
      <w:bodyDiv w:val="1"/>
      <w:marLeft w:val="0"/>
      <w:marRight w:val="0"/>
      <w:marTop w:val="0"/>
      <w:marBottom w:val="0"/>
      <w:divBdr>
        <w:top w:val="none" w:sz="0" w:space="0" w:color="auto"/>
        <w:left w:val="none" w:sz="0" w:space="0" w:color="auto"/>
        <w:bottom w:val="none" w:sz="0" w:space="0" w:color="auto"/>
        <w:right w:val="none" w:sz="0" w:space="0" w:color="auto"/>
      </w:divBdr>
      <w:divsChild>
        <w:div w:id="2071801570">
          <w:marLeft w:val="0"/>
          <w:marRight w:val="0"/>
          <w:marTop w:val="0"/>
          <w:marBottom w:val="0"/>
          <w:divBdr>
            <w:top w:val="none" w:sz="0" w:space="0" w:color="auto"/>
            <w:left w:val="none" w:sz="0" w:space="0" w:color="auto"/>
            <w:bottom w:val="none" w:sz="0" w:space="0" w:color="auto"/>
            <w:right w:val="none" w:sz="0" w:space="0" w:color="auto"/>
          </w:divBdr>
        </w:div>
        <w:div w:id="772673253">
          <w:marLeft w:val="0"/>
          <w:marRight w:val="0"/>
          <w:marTop w:val="0"/>
          <w:marBottom w:val="0"/>
          <w:divBdr>
            <w:top w:val="none" w:sz="0" w:space="0" w:color="auto"/>
            <w:left w:val="none" w:sz="0" w:space="0" w:color="auto"/>
            <w:bottom w:val="none" w:sz="0" w:space="0" w:color="auto"/>
            <w:right w:val="none" w:sz="0" w:space="0" w:color="auto"/>
          </w:divBdr>
        </w:div>
        <w:div w:id="1679115217">
          <w:marLeft w:val="0"/>
          <w:marRight w:val="0"/>
          <w:marTop w:val="0"/>
          <w:marBottom w:val="0"/>
          <w:divBdr>
            <w:top w:val="none" w:sz="0" w:space="0" w:color="auto"/>
            <w:left w:val="none" w:sz="0" w:space="0" w:color="auto"/>
            <w:bottom w:val="none" w:sz="0" w:space="0" w:color="auto"/>
            <w:right w:val="none" w:sz="0" w:space="0" w:color="auto"/>
          </w:divBdr>
        </w:div>
      </w:divsChild>
    </w:div>
    <w:div w:id="1496918849">
      <w:bodyDiv w:val="1"/>
      <w:marLeft w:val="0"/>
      <w:marRight w:val="0"/>
      <w:marTop w:val="0"/>
      <w:marBottom w:val="0"/>
      <w:divBdr>
        <w:top w:val="none" w:sz="0" w:space="0" w:color="auto"/>
        <w:left w:val="none" w:sz="0" w:space="0" w:color="auto"/>
        <w:bottom w:val="none" w:sz="0" w:space="0" w:color="auto"/>
        <w:right w:val="none" w:sz="0" w:space="0" w:color="auto"/>
      </w:divBdr>
    </w:div>
    <w:div w:id="1845587685">
      <w:bodyDiv w:val="1"/>
      <w:marLeft w:val="0"/>
      <w:marRight w:val="0"/>
      <w:marTop w:val="0"/>
      <w:marBottom w:val="0"/>
      <w:divBdr>
        <w:top w:val="none" w:sz="0" w:space="0" w:color="auto"/>
        <w:left w:val="none" w:sz="0" w:space="0" w:color="auto"/>
        <w:bottom w:val="none" w:sz="0" w:space="0" w:color="auto"/>
        <w:right w:val="none" w:sz="0" w:space="0" w:color="auto"/>
      </w:divBdr>
      <w:divsChild>
        <w:div w:id="1673725899">
          <w:marLeft w:val="0"/>
          <w:marRight w:val="0"/>
          <w:marTop w:val="0"/>
          <w:marBottom w:val="0"/>
          <w:divBdr>
            <w:top w:val="none" w:sz="0" w:space="0" w:color="auto"/>
            <w:left w:val="none" w:sz="0" w:space="0" w:color="auto"/>
            <w:bottom w:val="none" w:sz="0" w:space="0" w:color="auto"/>
            <w:right w:val="none" w:sz="0" w:space="0" w:color="auto"/>
          </w:divBdr>
        </w:div>
        <w:div w:id="1865900728">
          <w:marLeft w:val="0"/>
          <w:marRight w:val="0"/>
          <w:marTop w:val="0"/>
          <w:marBottom w:val="0"/>
          <w:divBdr>
            <w:top w:val="none" w:sz="0" w:space="0" w:color="auto"/>
            <w:left w:val="none" w:sz="0" w:space="0" w:color="auto"/>
            <w:bottom w:val="none" w:sz="0" w:space="0" w:color="auto"/>
            <w:right w:val="none" w:sz="0" w:space="0" w:color="auto"/>
          </w:divBdr>
        </w:div>
        <w:div w:id="1376005486">
          <w:marLeft w:val="0"/>
          <w:marRight w:val="0"/>
          <w:marTop w:val="0"/>
          <w:marBottom w:val="0"/>
          <w:divBdr>
            <w:top w:val="none" w:sz="0" w:space="0" w:color="auto"/>
            <w:left w:val="none" w:sz="0" w:space="0" w:color="auto"/>
            <w:bottom w:val="none" w:sz="0" w:space="0" w:color="auto"/>
            <w:right w:val="none" w:sz="0" w:space="0" w:color="auto"/>
          </w:divBdr>
        </w:div>
      </w:divsChild>
    </w:div>
    <w:div w:id="1940674478">
      <w:bodyDiv w:val="1"/>
      <w:marLeft w:val="0"/>
      <w:marRight w:val="0"/>
      <w:marTop w:val="0"/>
      <w:marBottom w:val="0"/>
      <w:divBdr>
        <w:top w:val="none" w:sz="0" w:space="0" w:color="auto"/>
        <w:left w:val="none" w:sz="0" w:space="0" w:color="auto"/>
        <w:bottom w:val="none" w:sz="0" w:space="0" w:color="auto"/>
        <w:right w:val="none" w:sz="0" w:space="0" w:color="auto"/>
      </w:divBdr>
    </w:div>
    <w:div w:id="21473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bout/laws/soa2002.pdf" TargetMode="External"/><Relationship Id="rId3" Type="http://schemas.openxmlformats.org/officeDocument/2006/relationships/settings" Target="settings.xml"/><Relationship Id="rId7" Type="http://schemas.openxmlformats.org/officeDocument/2006/relationships/hyperlink" Target="https://www.pcisecuritystandards.org/standa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glossary/term/computer_security_act_of_1987" TargetMode="External"/><Relationship Id="rId11" Type="http://schemas.openxmlformats.org/officeDocument/2006/relationships/fontTable" Target="fontTable.xml"/><Relationship Id="rId5" Type="http://schemas.openxmlformats.org/officeDocument/2006/relationships/hyperlink" Target="https://www.ftc.gov/legal-library/browse/rules/childrens-online-privacy-protection-rule-coppa" TargetMode="External"/><Relationship Id="rId10" Type="http://schemas.openxmlformats.org/officeDocument/2006/relationships/hyperlink" Target="https://www.google.com/url?sa=E&amp;q=https%3A%2F%2Fwww.justice.gov%2Farchive%2Fll%2Fhighlights.htm" TargetMode="External"/><Relationship Id="rId4" Type="http://schemas.openxmlformats.org/officeDocument/2006/relationships/webSettings" Target="webSettings.xml"/><Relationship Id="rId9" Type="http://schemas.openxmlformats.org/officeDocument/2006/relationships/hyperlink" Target="https://www.google.com/url?sa=E&amp;q=https%3A%2F%2Fwww.access-board.gov%2Fict%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2024-11-08T01:59:00Z</dcterms:created>
  <dcterms:modified xsi:type="dcterms:W3CDTF">2024-11-08T02:49:00Z</dcterms:modified>
</cp:coreProperties>
</file>