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B61" w14:textId="77777777" w:rsidR="00717680" w:rsidRPr="00717680" w:rsidRDefault="00717680" w:rsidP="00717680">
      <w:pPr>
        <w:rPr>
          <w:rFonts w:ascii="Times New Roman" w:hAnsi="Times New Roman" w:cs="Times New Roman"/>
          <w:sz w:val="28"/>
          <w:szCs w:val="28"/>
        </w:rPr>
      </w:pPr>
    </w:p>
    <w:p w14:paraId="6DB5CF90" w14:textId="77777777" w:rsidR="00717680" w:rsidRDefault="00717680" w:rsidP="00717680">
      <w:pPr>
        <w:jc w:val="center"/>
        <w:rPr>
          <w:rFonts w:ascii="Times New Roman" w:hAnsi="Times New Roman" w:cs="Times New Roman"/>
          <w:b/>
          <w:bCs/>
          <w:sz w:val="24"/>
          <w:szCs w:val="24"/>
        </w:rPr>
      </w:pPr>
    </w:p>
    <w:p w14:paraId="72E8B3A8" w14:textId="77777777" w:rsidR="00717680" w:rsidRDefault="00717680" w:rsidP="00717680">
      <w:pPr>
        <w:jc w:val="center"/>
        <w:rPr>
          <w:rFonts w:ascii="Times New Roman" w:hAnsi="Times New Roman" w:cs="Times New Roman"/>
          <w:b/>
          <w:bCs/>
          <w:sz w:val="24"/>
          <w:szCs w:val="24"/>
        </w:rPr>
      </w:pPr>
    </w:p>
    <w:p w14:paraId="6441270B" w14:textId="12899C5A" w:rsidR="00717680" w:rsidRDefault="00717680" w:rsidP="00717680">
      <w:pPr>
        <w:jc w:val="center"/>
        <w:rPr>
          <w:rFonts w:ascii="Times New Roman" w:hAnsi="Times New Roman" w:cs="Times New Roman"/>
          <w:b/>
          <w:bCs/>
          <w:sz w:val="24"/>
          <w:szCs w:val="24"/>
        </w:rPr>
      </w:pPr>
    </w:p>
    <w:p w14:paraId="443FED54" w14:textId="6380980A" w:rsidR="007144B5" w:rsidRDefault="007144B5" w:rsidP="00717680">
      <w:pPr>
        <w:jc w:val="center"/>
        <w:rPr>
          <w:rFonts w:ascii="Times New Roman" w:hAnsi="Times New Roman" w:cs="Times New Roman"/>
          <w:b/>
          <w:bCs/>
          <w:sz w:val="24"/>
          <w:szCs w:val="24"/>
        </w:rPr>
      </w:pPr>
    </w:p>
    <w:p w14:paraId="5755A062" w14:textId="0AF6A6E6" w:rsidR="007144B5" w:rsidRDefault="007144B5" w:rsidP="00717680">
      <w:pPr>
        <w:jc w:val="center"/>
        <w:rPr>
          <w:rFonts w:ascii="Times New Roman" w:hAnsi="Times New Roman" w:cs="Times New Roman"/>
          <w:b/>
          <w:bCs/>
          <w:sz w:val="24"/>
          <w:szCs w:val="24"/>
        </w:rPr>
      </w:pPr>
    </w:p>
    <w:p w14:paraId="336D6A1F" w14:textId="078CF351" w:rsidR="007144B5" w:rsidRDefault="007144B5" w:rsidP="00717680">
      <w:pPr>
        <w:jc w:val="center"/>
        <w:rPr>
          <w:rFonts w:ascii="Times New Roman" w:hAnsi="Times New Roman" w:cs="Times New Roman"/>
          <w:b/>
          <w:bCs/>
          <w:sz w:val="24"/>
          <w:szCs w:val="24"/>
        </w:rPr>
      </w:pPr>
    </w:p>
    <w:p w14:paraId="455F2BEA" w14:textId="77777777" w:rsidR="007144B5" w:rsidRDefault="007144B5" w:rsidP="00717680">
      <w:pPr>
        <w:jc w:val="center"/>
        <w:rPr>
          <w:rFonts w:ascii="Times New Roman" w:hAnsi="Times New Roman" w:cs="Times New Roman"/>
          <w:b/>
          <w:bCs/>
          <w:sz w:val="24"/>
          <w:szCs w:val="24"/>
        </w:rPr>
      </w:pPr>
    </w:p>
    <w:p w14:paraId="3283CA4E" w14:textId="77777777" w:rsidR="00717680" w:rsidRDefault="00717680" w:rsidP="00717680">
      <w:pPr>
        <w:jc w:val="center"/>
        <w:rPr>
          <w:rFonts w:ascii="Times New Roman" w:hAnsi="Times New Roman" w:cs="Times New Roman"/>
          <w:b/>
          <w:bCs/>
          <w:sz w:val="24"/>
          <w:szCs w:val="24"/>
        </w:rPr>
      </w:pPr>
    </w:p>
    <w:p w14:paraId="04F4EF1A" w14:textId="77777777" w:rsidR="00717680" w:rsidRDefault="00717680" w:rsidP="00717680">
      <w:pPr>
        <w:jc w:val="center"/>
        <w:rPr>
          <w:rFonts w:ascii="Times New Roman" w:hAnsi="Times New Roman" w:cs="Times New Roman"/>
          <w:b/>
          <w:bCs/>
          <w:sz w:val="24"/>
          <w:szCs w:val="24"/>
        </w:rPr>
      </w:pPr>
    </w:p>
    <w:p w14:paraId="438566FA" w14:textId="77777777" w:rsidR="00717680" w:rsidRDefault="00717680" w:rsidP="00497059">
      <w:pPr>
        <w:spacing w:line="480" w:lineRule="auto"/>
        <w:jc w:val="center"/>
        <w:rPr>
          <w:rFonts w:ascii="Times New Roman" w:hAnsi="Times New Roman" w:cs="Times New Roman"/>
          <w:b/>
          <w:bCs/>
          <w:sz w:val="24"/>
          <w:szCs w:val="24"/>
        </w:rPr>
      </w:pPr>
    </w:p>
    <w:p w14:paraId="4C88E3E7" w14:textId="238348D4" w:rsidR="00F21575" w:rsidRDefault="00FB3D22" w:rsidP="00497059">
      <w:pPr>
        <w:spacing w:line="480" w:lineRule="auto"/>
        <w:jc w:val="center"/>
        <w:rPr>
          <w:rFonts w:ascii="Times New Roman" w:hAnsi="Times New Roman" w:cs="Times New Roman"/>
          <w:sz w:val="24"/>
          <w:szCs w:val="24"/>
        </w:rPr>
      </w:pPr>
      <w:bookmarkStart w:id="0" w:name="_Hlk41294950"/>
      <w:r>
        <w:rPr>
          <w:rFonts w:ascii="Times New Roman" w:hAnsi="Times New Roman" w:cs="Times New Roman"/>
          <w:sz w:val="24"/>
          <w:szCs w:val="24"/>
        </w:rPr>
        <w:t>Assessment</w:t>
      </w:r>
      <w:r w:rsidR="00B25844">
        <w:rPr>
          <w:rFonts w:ascii="Times New Roman" w:hAnsi="Times New Roman" w:cs="Times New Roman"/>
          <w:sz w:val="24"/>
          <w:szCs w:val="24"/>
        </w:rPr>
        <w:t xml:space="preserve"> </w:t>
      </w:r>
      <w:r w:rsidR="00FE2D5D">
        <w:rPr>
          <w:rFonts w:ascii="Times New Roman" w:hAnsi="Times New Roman" w:cs="Times New Roman"/>
          <w:sz w:val="24"/>
          <w:szCs w:val="24"/>
        </w:rPr>
        <w:t>2</w:t>
      </w:r>
    </w:p>
    <w:bookmarkEnd w:id="0"/>
    <w:p w14:paraId="1D7AA8C9" w14:textId="77777777" w:rsidR="00E41B31" w:rsidRDefault="00E41B31" w:rsidP="00497059">
      <w:pPr>
        <w:spacing w:line="480" w:lineRule="auto"/>
        <w:jc w:val="center"/>
        <w:rPr>
          <w:rFonts w:ascii="Times New Roman" w:hAnsi="Times New Roman" w:cs="Times New Roman"/>
          <w:sz w:val="24"/>
          <w:szCs w:val="24"/>
        </w:rPr>
      </w:pPr>
      <w:r w:rsidRPr="00E41B31">
        <w:rPr>
          <w:rFonts w:ascii="Times New Roman" w:hAnsi="Times New Roman" w:cs="Times New Roman"/>
          <w:sz w:val="24"/>
          <w:szCs w:val="24"/>
        </w:rPr>
        <w:t>Incident Response and Computer Forensics Resources</w:t>
      </w:r>
    </w:p>
    <w:p w14:paraId="0D303864" w14:textId="5F0A79FC" w:rsidR="000A4479" w:rsidRDefault="001D66BB"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Leo Newton</w:t>
      </w:r>
    </w:p>
    <w:p w14:paraId="0E2CE25E" w14:textId="265B7C58" w:rsidR="00FB4FB1" w:rsidRDefault="00FA4F74"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IT-</w:t>
      </w:r>
      <w:r w:rsidR="004853C2">
        <w:rPr>
          <w:rFonts w:ascii="Times New Roman" w:hAnsi="Times New Roman" w:cs="Times New Roman"/>
          <w:sz w:val="24"/>
          <w:szCs w:val="24"/>
        </w:rPr>
        <w:t>FPX</w:t>
      </w:r>
      <w:r w:rsidR="00DE018C">
        <w:rPr>
          <w:rFonts w:ascii="Times New Roman" w:hAnsi="Times New Roman" w:cs="Times New Roman"/>
          <w:sz w:val="24"/>
          <w:szCs w:val="24"/>
        </w:rPr>
        <w:t>4075 Co</w:t>
      </w:r>
      <w:r w:rsidR="00B227EE">
        <w:rPr>
          <w:rFonts w:ascii="Times New Roman" w:hAnsi="Times New Roman" w:cs="Times New Roman"/>
          <w:sz w:val="24"/>
          <w:szCs w:val="24"/>
        </w:rPr>
        <w:t>mputer Forensics</w:t>
      </w:r>
    </w:p>
    <w:p w14:paraId="0DF009E8" w14:textId="693085D7" w:rsidR="000A4479" w:rsidRDefault="000A4479" w:rsidP="00497059">
      <w:pPr>
        <w:spacing w:line="480" w:lineRule="auto"/>
        <w:jc w:val="center"/>
        <w:rPr>
          <w:rFonts w:ascii="Times New Roman" w:hAnsi="Times New Roman" w:cs="Times New Roman"/>
          <w:sz w:val="24"/>
          <w:szCs w:val="24"/>
        </w:rPr>
      </w:pPr>
      <w:r>
        <w:rPr>
          <w:rFonts w:ascii="Times New Roman" w:hAnsi="Times New Roman" w:cs="Times New Roman"/>
          <w:sz w:val="24"/>
          <w:szCs w:val="24"/>
        </w:rPr>
        <w:t>Capella University</w:t>
      </w:r>
    </w:p>
    <w:p w14:paraId="37E0FB4A" w14:textId="6988E2B3" w:rsidR="007144B5" w:rsidRDefault="00260A3D" w:rsidP="00487B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FB4FB1">
        <w:rPr>
          <w:rFonts w:ascii="Times New Roman" w:hAnsi="Times New Roman" w:cs="Times New Roman"/>
          <w:sz w:val="24"/>
          <w:szCs w:val="24"/>
        </w:rPr>
        <w:t xml:space="preserve"> </w:t>
      </w:r>
      <w:r w:rsidR="00F045B6">
        <w:rPr>
          <w:rFonts w:ascii="Times New Roman" w:hAnsi="Times New Roman" w:cs="Times New Roman"/>
          <w:sz w:val="24"/>
          <w:szCs w:val="24"/>
        </w:rPr>
        <w:t>Kuhlman</w:t>
      </w:r>
    </w:p>
    <w:p w14:paraId="3F9400B0" w14:textId="1E569B84" w:rsidR="007144B5" w:rsidRDefault="001D66BB" w:rsidP="00717680">
      <w:pPr>
        <w:jc w:val="center"/>
        <w:rPr>
          <w:rFonts w:ascii="Times New Roman" w:hAnsi="Times New Roman" w:cs="Times New Roman"/>
          <w:sz w:val="24"/>
          <w:szCs w:val="24"/>
        </w:rPr>
      </w:pPr>
      <w:r>
        <w:rPr>
          <w:rFonts w:ascii="Times New Roman" w:hAnsi="Times New Roman" w:cs="Times New Roman"/>
          <w:sz w:val="24"/>
          <w:szCs w:val="24"/>
        </w:rPr>
        <w:t>11/23/24</w:t>
      </w:r>
    </w:p>
    <w:p w14:paraId="7A4256E4" w14:textId="5E0C735E" w:rsidR="007144B5" w:rsidRDefault="007144B5" w:rsidP="00717680">
      <w:pPr>
        <w:jc w:val="center"/>
        <w:rPr>
          <w:rFonts w:ascii="Times New Roman" w:hAnsi="Times New Roman" w:cs="Times New Roman"/>
          <w:sz w:val="24"/>
          <w:szCs w:val="24"/>
        </w:rPr>
      </w:pPr>
    </w:p>
    <w:p w14:paraId="1EB2D7CF" w14:textId="4E0DE0F0" w:rsidR="007144B5" w:rsidRDefault="007144B5" w:rsidP="00717680">
      <w:pPr>
        <w:jc w:val="center"/>
        <w:rPr>
          <w:rFonts w:ascii="Times New Roman" w:hAnsi="Times New Roman" w:cs="Times New Roman"/>
          <w:sz w:val="24"/>
          <w:szCs w:val="24"/>
        </w:rPr>
      </w:pPr>
    </w:p>
    <w:p w14:paraId="057B2EA2" w14:textId="50465C36" w:rsidR="007144B5" w:rsidRDefault="007144B5" w:rsidP="00717680">
      <w:pPr>
        <w:jc w:val="center"/>
        <w:rPr>
          <w:rFonts w:ascii="Times New Roman" w:hAnsi="Times New Roman" w:cs="Times New Roman"/>
          <w:sz w:val="24"/>
          <w:szCs w:val="24"/>
        </w:rPr>
      </w:pPr>
    </w:p>
    <w:p w14:paraId="052BF9DF" w14:textId="56CCBEA7" w:rsidR="007144B5" w:rsidRDefault="007144B5" w:rsidP="00717680">
      <w:pPr>
        <w:jc w:val="center"/>
        <w:rPr>
          <w:rFonts w:ascii="Times New Roman" w:hAnsi="Times New Roman" w:cs="Times New Roman"/>
          <w:sz w:val="24"/>
          <w:szCs w:val="24"/>
        </w:rPr>
      </w:pPr>
    </w:p>
    <w:p w14:paraId="11CE1880" w14:textId="308098E3" w:rsidR="00EF22AF" w:rsidRDefault="00EF22AF" w:rsidP="00717680">
      <w:pPr>
        <w:jc w:val="center"/>
        <w:rPr>
          <w:rFonts w:ascii="Times New Roman" w:hAnsi="Times New Roman" w:cs="Times New Roman"/>
          <w:sz w:val="24"/>
          <w:szCs w:val="24"/>
        </w:rPr>
      </w:pPr>
    </w:p>
    <w:p w14:paraId="77418958" w14:textId="77777777" w:rsidR="00F21575" w:rsidRDefault="00F21575" w:rsidP="00717680">
      <w:pPr>
        <w:jc w:val="center"/>
        <w:rPr>
          <w:rFonts w:ascii="Times New Roman" w:hAnsi="Times New Roman" w:cs="Times New Roman"/>
          <w:sz w:val="24"/>
          <w:szCs w:val="24"/>
        </w:rPr>
      </w:pPr>
    </w:p>
    <w:p w14:paraId="590F233D" w14:textId="64DB17BE" w:rsidR="00C91A2D" w:rsidRPr="00260A3D" w:rsidRDefault="00260A3D" w:rsidP="00260A3D">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Table of Contents</w:t>
      </w:r>
    </w:p>
    <w:p w14:paraId="60C266CC" w14:textId="062C4E4F" w:rsidR="003049E7" w:rsidRPr="003049E7" w:rsidRDefault="00C917BE" w:rsidP="003049E7">
      <w:pPr>
        <w:spacing w:line="480" w:lineRule="auto"/>
        <w:rPr>
          <w:rFonts w:ascii="Times New Roman" w:hAnsi="Times New Roman" w:cs="Times New Roman"/>
          <w:sz w:val="24"/>
          <w:szCs w:val="24"/>
        </w:rPr>
      </w:pPr>
      <w:r>
        <w:rPr>
          <w:rFonts w:ascii="Times New Roman" w:hAnsi="Times New Roman" w:cs="Times New Roman"/>
          <w:sz w:val="24"/>
          <w:szCs w:val="24"/>
        </w:rPr>
        <w:t>IR and Forensics Differences</w:t>
      </w:r>
      <w:r w:rsidR="000A7584">
        <w:rPr>
          <w:rFonts w:ascii="Times New Roman" w:hAnsi="Times New Roman" w:cs="Times New Roman"/>
          <w:sz w:val="24"/>
          <w:szCs w:val="24"/>
        </w:rPr>
        <w:t>……</w:t>
      </w:r>
      <w:proofErr w:type="gramStart"/>
      <w:r w:rsidR="000A7584">
        <w:rPr>
          <w:rFonts w:ascii="Times New Roman" w:hAnsi="Times New Roman" w:cs="Times New Roman"/>
          <w:sz w:val="24"/>
          <w:szCs w:val="24"/>
        </w:rPr>
        <w:t>…</w:t>
      </w:r>
      <w:r w:rsidR="00B45589">
        <w:rPr>
          <w:rFonts w:ascii="Times New Roman" w:hAnsi="Times New Roman" w:cs="Times New Roman"/>
          <w:sz w:val="24"/>
          <w:szCs w:val="24"/>
        </w:rPr>
        <w:t>..</w:t>
      </w:r>
      <w:proofErr w:type="gramEnd"/>
      <w:r w:rsidR="000A7584">
        <w:rPr>
          <w:rFonts w:ascii="Times New Roman" w:hAnsi="Times New Roman" w:cs="Times New Roman"/>
          <w:sz w:val="24"/>
          <w:szCs w:val="24"/>
        </w:rPr>
        <w:t>………..</w:t>
      </w:r>
      <w:r w:rsidR="00146896">
        <w:rPr>
          <w:rFonts w:ascii="Times New Roman" w:hAnsi="Times New Roman" w:cs="Times New Roman"/>
          <w:sz w:val="24"/>
          <w:szCs w:val="24"/>
        </w:rPr>
        <w:t>………………………………</w:t>
      </w:r>
      <w:r w:rsidR="00FA4F74">
        <w:rPr>
          <w:rFonts w:ascii="Times New Roman" w:hAnsi="Times New Roman" w:cs="Times New Roman"/>
          <w:sz w:val="24"/>
          <w:szCs w:val="24"/>
        </w:rPr>
        <w:t>……..</w:t>
      </w:r>
      <w:r w:rsidR="00264846">
        <w:rPr>
          <w:rFonts w:ascii="Times New Roman" w:hAnsi="Times New Roman" w:cs="Times New Roman"/>
          <w:sz w:val="24"/>
          <w:szCs w:val="24"/>
        </w:rPr>
        <w:t>3</w:t>
      </w:r>
    </w:p>
    <w:p w14:paraId="1CEE89C3" w14:textId="5588CAA9" w:rsidR="003049E7" w:rsidRPr="003049E7" w:rsidRDefault="009D2373" w:rsidP="003049E7">
      <w:pPr>
        <w:spacing w:line="480" w:lineRule="auto"/>
        <w:rPr>
          <w:rFonts w:ascii="Times New Roman" w:hAnsi="Times New Roman" w:cs="Times New Roman"/>
          <w:sz w:val="24"/>
          <w:szCs w:val="24"/>
        </w:rPr>
      </w:pPr>
      <w:r>
        <w:rPr>
          <w:rFonts w:ascii="Times New Roman" w:hAnsi="Times New Roman" w:cs="Times New Roman"/>
          <w:sz w:val="24"/>
          <w:szCs w:val="24"/>
        </w:rPr>
        <w:t>Challenges………………………</w:t>
      </w:r>
      <w:r w:rsidR="00FA4F74">
        <w:rPr>
          <w:rFonts w:ascii="Times New Roman" w:hAnsi="Times New Roman" w:cs="Times New Roman"/>
          <w:sz w:val="24"/>
          <w:szCs w:val="24"/>
        </w:rPr>
        <w:t>………………………………………………</w:t>
      </w:r>
      <w:proofErr w:type="gramStart"/>
      <w:r w:rsidR="00FA4F74">
        <w:rPr>
          <w:rFonts w:ascii="Times New Roman" w:hAnsi="Times New Roman" w:cs="Times New Roman"/>
          <w:sz w:val="24"/>
          <w:szCs w:val="24"/>
        </w:rPr>
        <w:t>…..</w:t>
      </w:r>
      <w:proofErr w:type="gramEnd"/>
      <w:r w:rsidR="00264846">
        <w:rPr>
          <w:rFonts w:ascii="Times New Roman" w:hAnsi="Times New Roman" w:cs="Times New Roman"/>
          <w:sz w:val="24"/>
          <w:szCs w:val="24"/>
        </w:rPr>
        <w:t>4</w:t>
      </w:r>
    </w:p>
    <w:p w14:paraId="0627B5AA" w14:textId="0B22A671" w:rsidR="003049E7" w:rsidRPr="003049E7" w:rsidRDefault="00C33325" w:rsidP="003049E7">
      <w:pPr>
        <w:spacing w:line="480" w:lineRule="auto"/>
        <w:rPr>
          <w:rFonts w:ascii="Times New Roman" w:hAnsi="Times New Roman" w:cs="Times New Roman"/>
          <w:sz w:val="24"/>
          <w:szCs w:val="24"/>
        </w:rPr>
      </w:pPr>
      <w:r>
        <w:rPr>
          <w:rFonts w:ascii="Times New Roman" w:hAnsi="Times New Roman" w:cs="Times New Roman"/>
          <w:sz w:val="24"/>
          <w:szCs w:val="24"/>
        </w:rPr>
        <w:t>IR Plan Steps……</w:t>
      </w:r>
      <w:r w:rsidR="00B45589">
        <w:rPr>
          <w:rFonts w:ascii="Times New Roman" w:hAnsi="Times New Roman" w:cs="Times New Roman"/>
          <w:sz w:val="24"/>
          <w:szCs w:val="24"/>
        </w:rPr>
        <w:t>…………...</w:t>
      </w:r>
      <w:r w:rsidR="00FA4F74">
        <w:rPr>
          <w:rFonts w:ascii="Times New Roman" w:hAnsi="Times New Roman" w:cs="Times New Roman"/>
          <w:sz w:val="24"/>
          <w:szCs w:val="24"/>
        </w:rPr>
        <w:t>………………………………………………………</w:t>
      </w:r>
      <w:r w:rsidR="00264846">
        <w:rPr>
          <w:rFonts w:ascii="Times New Roman" w:hAnsi="Times New Roman" w:cs="Times New Roman"/>
          <w:sz w:val="24"/>
          <w:szCs w:val="24"/>
        </w:rPr>
        <w:t>5</w:t>
      </w:r>
    </w:p>
    <w:p w14:paraId="4CCEDA1C" w14:textId="7ED73AB5" w:rsidR="003049E7" w:rsidRDefault="002065DF" w:rsidP="003049E7">
      <w:pPr>
        <w:spacing w:line="480" w:lineRule="auto"/>
        <w:rPr>
          <w:rFonts w:ascii="Times New Roman" w:hAnsi="Times New Roman" w:cs="Times New Roman"/>
          <w:sz w:val="24"/>
          <w:szCs w:val="24"/>
        </w:rPr>
      </w:pPr>
      <w:r w:rsidRPr="002065DF">
        <w:rPr>
          <w:rFonts w:ascii="Times New Roman" w:hAnsi="Times New Roman" w:cs="Times New Roman"/>
          <w:sz w:val="24"/>
          <w:szCs w:val="24"/>
        </w:rPr>
        <w:t>External Contracting Steps</w:t>
      </w:r>
      <w:r w:rsidR="00B45589">
        <w:rPr>
          <w:rFonts w:ascii="Times New Roman" w:hAnsi="Times New Roman" w:cs="Times New Roman"/>
          <w:sz w:val="24"/>
          <w:szCs w:val="24"/>
        </w:rPr>
        <w:t>….</w:t>
      </w:r>
      <w:r w:rsidR="00FA4F74">
        <w:rPr>
          <w:rFonts w:ascii="Times New Roman" w:hAnsi="Times New Roman" w:cs="Times New Roman"/>
          <w:sz w:val="24"/>
          <w:szCs w:val="24"/>
        </w:rPr>
        <w:t>………………………………………………</w:t>
      </w:r>
      <w:r w:rsidR="009A168E">
        <w:rPr>
          <w:rFonts w:ascii="Times New Roman" w:hAnsi="Times New Roman" w:cs="Times New Roman"/>
          <w:sz w:val="24"/>
          <w:szCs w:val="24"/>
        </w:rPr>
        <w:t>.</w:t>
      </w:r>
      <w:r w:rsidR="00FA4F74">
        <w:rPr>
          <w:rFonts w:ascii="Times New Roman" w:hAnsi="Times New Roman" w:cs="Times New Roman"/>
          <w:sz w:val="24"/>
          <w:szCs w:val="24"/>
        </w:rPr>
        <w:t>…</w:t>
      </w:r>
      <w:proofErr w:type="gramStart"/>
      <w:r w:rsidR="00FA4F74">
        <w:rPr>
          <w:rFonts w:ascii="Times New Roman" w:hAnsi="Times New Roman" w:cs="Times New Roman"/>
          <w:sz w:val="24"/>
          <w:szCs w:val="24"/>
        </w:rPr>
        <w:t>…..</w:t>
      </w:r>
      <w:proofErr w:type="gramEnd"/>
      <w:r w:rsidR="00264846">
        <w:rPr>
          <w:rFonts w:ascii="Times New Roman" w:hAnsi="Times New Roman" w:cs="Times New Roman"/>
          <w:sz w:val="24"/>
          <w:szCs w:val="24"/>
        </w:rPr>
        <w:t>6</w:t>
      </w:r>
    </w:p>
    <w:p w14:paraId="1F92ADAF" w14:textId="2D8CB404" w:rsidR="00F226C4" w:rsidRDefault="00797893" w:rsidP="003049E7">
      <w:pPr>
        <w:spacing w:line="480" w:lineRule="auto"/>
        <w:rPr>
          <w:rFonts w:ascii="Times New Roman" w:hAnsi="Times New Roman" w:cs="Times New Roman"/>
          <w:sz w:val="24"/>
          <w:szCs w:val="24"/>
        </w:rPr>
      </w:pPr>
      <w:r>
        <w:rPr>
          <w:rFonts w:ascii="Times New Roman" w:hAnsi="Times New Roman" w:cs="Times New Roman"/>
          <w:sz w:val="24"/>
          <w:szCs w:val="24"/>
        </w:rPr>
        <w:t xml:space="preserve">IR </w:t>
      </w:r>
      <w:proofErr w:type="gramStart"/>
      <w:r>
        <w:rPr>
          <w:rFonts w:ascii="Times New Roman" w:hAnsi="Times New Roman" w:cs="Times New Roman"/>
          <w:sz w:val="24"/>
          <w:szCs w:val="24"/>
        </w:rPr>
        <w:t>Resources..</w:t>
      </w:r>
      <w:proofErr w:type="gramEnd"/>
      <w:r w:rsidR="00F226C4">
        <w:rPr>
          <w:rFonts w:ascii="Times New Roman" w:hAnsi="Times New Roman" w:cs="Times New Roman"/>
          <w:sz w:val="24"/>
          <w:szCs w:val="24"/>
        </w:rPr>
        <w:t>………………………………………………………………………</w:t>
      </w:r>
      <w:r w:rsidR="00264846">
        <w:rPr>
          <w:rFonts w:ascii="Times New Roman" w:hAnsi="Times New Roman" w:cs="Times New Roman"/>
          <w:sz w:val="24"/>
          <w:szCs w:val="24"/>
        </w:rPr>
        <w:t>7</w:t>
      </w:r>
    </w:p>
    <w:p w14:paraId="5A6DB7D4" w14:textId="1B80DB3D" w:rsidR="00264846" w:rsidRDefault="00264846" w:rsidP="003049E7">
      <w:pPr>
        <w:spacing w:line="480" w:lineRule="auto"/>
        <w:rPr>
          <w:rFonts w:ascii="Times New Roman" w:hAnsi="Times New Roman" w:cs="Times New Roman"/>
          <w:sz w:val="24"/>
          <w:szCs w:val="24"/>
        </w:rPr>
      </w:pPr>
      <w:r>
        <w:rPr>
          <w:rFonts w:ascii="Times New Roman" w:hAnsi="Times New Roman" w:cs="Times New Roman"/>
          <w:sz w:val="24"/>
          <w:szCs w:val="24"/>
        </w:rPr>
        <w:t xml:space="preserve">Recommendations for IR </w:t>
      </w:r>
      <w:proofErr w:type="gramStart"/>
      <w:r>
        <w:rPr>
          <w:rFonts w:ascii="Times New Roman" w:hAnsi="Times New Roman" w:cs="Times New Roman"/>
          <w:sz w:val="24"/>
          <w:szCs w:val="24"/>
        </w:rPr>
        <w:t>Improvement</w:t>
      </w:r>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………………………………………7</w:t>
      </w:r>
    </w:p>
    <w:p w14:paraId="5255CAF0" w14:textId="6D88C577" w:rsidR="00260A3D" w:rsidRDefault="003049E7" w:rsidP="003049E7">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Pr="003049E7">
        <w:rPr>
          <w:rFonts w:ascii="Times New Roman" w:hAnsi="Times New Roman" w:cs="Times New Roman"/>
          <w:sz w:val="24"/>
          <w:szCs w:val="24"/>
        </w:rPr>
        <w:t>.</w:t>
      </w:r>
      <w:r w:rsidR="00260A3D">
        <w:rPr>
          <w:rFonts w:ascii="Times New Roman" w:hAnsi="Times New Roman" w:cs="Times New Roman"/>
          <w:sz w:val="24"/>
          <w:szCs w:val="24"/>
        </w:rPr>
        <w:t>…………</w:t>
      </w:r>
      <w:proofErr w:type="gramStart"/>
      <w:r w:rsidR="00260A3D">
        <w:rPr>
          <w:rFonts w:ascii="Times New Roman" w:hAnsi="Times New Roman" w:cs="Times New Roman"/>
          <w:sz w:val="24"/>
          <w:szCs w:val="24"/>
        </w:rPr>
        <w:t>…</w:t>
      </w:r>
      <w:r w:rsidR="005A64E2">
        <w:rPr>
          <w:rFonts w:ascii="Times New Roman" w:hAnsi="Times New Roman" w:cs="Times New Roman"/>
          <w:sz w:val="24"/>
          <w:szCs w:val="24"/>
        </w:rPr>
        <w:t>..</w:t>
      </w:r>
      <w:proofErr w:type="gramEnd"/>
      <w:r w:rsidR="00260A3D">
        <w:rPr>
          <w:rFonts w:ascii="Times New Roman" w:hAnsi="Times New Roman" w:cs="Times New Roman"/>
          <w:sz w:val="24"/>
          <w:szCs w:val="24"/>
        </w:rPr>
        <w:t>…………………...……</w:t>
      </w:r>
      <w:r w:rsidR="008505EC">
        <w:rPr>
          <w:rFonts w:ascii="Times New Roman" w:hAnsi="Times New Roman" w:cs="Times New Roman"/>
          <w:sz w:val="24"/>
          <w:szCs w:val="24"/>
        </w:rPr>
        <w:t>………………………</w:t>
      </w:r>
      <w:r w:rsidR="00260A3D">
        <w:rPr>
          <w:rFonts w:ascii="Times New Roman" w:hAnsi="Times New Roman" w:cs="Times New Roman"/>
          <w:sz w:val="24"/>
          <w:szCs w:val="24"/>
        </w:rPr>
        <w:t xml:space="preserve">………... </w:t>
      </w:r>
      <w:r w:rsidR="00264846">
        <w:rPr>
          <w:rFonts w:ascii="Times New Roman" w:hAnsi="Times New Roman" w:cs="Times New Roman"/>
          <w:sz w:val="24"/>
          <w:szCs w:val="24"/>
        </w:rPr>
        <w:t>10</w:t>
      </w:r>
    </w:p>
    <w:p w14:paraId="04D8D5D8" w14:textId="77777777" w:rsidR="00260A3D" w:rsidRDefault="00260A3D" w:rsidP="00814F93">
      <w:pPr>
        <w:spacing w:line="480" w:lineRule="auto"/>
        <w:rPr>
          <w:rFonts w:ascii="Times New Roman" w:hAnsi="Times New Roman" w:cs="Times New Roman"/>
          <w:sz w:val="24"/>
          <w:szCs w:val="24"/>
        </w:rPr>
      </w:pPr>
    </w:p>
    <w:p w14:paraId="5141420D" w14:textId="77777777" w:rsidR="00260A3D" w:rsidRDefault="00260A3D" w:rsidP="00814F93">
      <w:pPr>
        <w:spacing w:line="480" w:lineRule="auto"/>
        <w:rPr>
          <w:rFonts w:ascii="Times New Roman" w:hAnsi="Times New Roman" w:cs="Times New Roman"/>
          <w:sz w:val="24"/>
          <w:szCs w:val="24"/>
        </w:rPr>
      </w:pPr>
    </w:p>
    <w:p w14:paraId="45B4B853" w14:textId="102CF947" w:rsidR="00260A3D" w:rsidRDefault="00260A3D" w:rsidP="00814F93">
      <w:pPr>
        <w:spacing w:line="480" w:lineRule="auto"/>
        <w:rPr>
          <w:rFonts w:ascii="Times New Roman" w:hAnsi="Times New Roman" w:cs="Times New Roman"/>
          <w:sz w:val="24"/>
          <w:szCs w:val="24"/>
        </w:rPr>
      </w:pPr>
    </w:p>
    <w:p w14:paraId="2863E36C" w14:textId="1B187CC7" w:rsidR="009A168E" w:rsidRDefault="009A168E" w:rsidP="00814F93">
      <w:pPr>
        <w:spacing w:line="480" w:lineRule="auto"/>
        <w:rPr>
          <w:rFonts w:ascii="Times New Roman" w:hAnsi="Times New Roman" w:cs="Times New Roman"/>
          <w:sz w:val="24"/>
          <w:szCs w:val="24"/>
        </w:rPr>
      </w:pPr>
    </w:p>
    <w:p w14:paraId="1577B044" w14:textId="2BB1EF9B" w:rsidR="009A168E" w:rsidRDefault="009A168E" w:rsidP="00814F93">
      <w:pPr>
        <w:spacing w:line="480" w:lineRule="auto"/>
        <w:rPr>
          <w:rFonts w:ascii="Times New Roman" w:hAnsi="Times New Roman" w:cs="Times New Roman"/>
          <w:sz w:val="24"/>
          <w:szCs w:val="24"/>
        </w:rPr>
      </w:pPr>
    </w:p>
    <w:p w14:paraId="6441CB0C" w14:textId="4B177EF9" w:rsidR="009A168E" w:rsidRDefault="009A168E" w:rsidP="00814F93">
      <w:pPr>
        <w:spacing w:line="480" w:lineRule="auto"/>
        <w:rPr>
          <w:rFonts w:ascii="Times New Roman" w:hAnsi="Times New Roman" w:cs="Times New Roman"/>
          <w:sz w:val="24"/>
          <w:szCs w:val="24"/>
        </w:rPr>
      </w:pPr>
    </w:p>
    <w:p w14:paraId="5F6EFAB6" w14:textId="3F94F34E" w:rsidR="009A168E" w:rsidRDefault="009A168E" w:rsidP="00814F93">
      <w:pPr>
        <w:spacing w:line="480" w:lineRule="auto"/>
        <w:rPr>
          <w:rFonts w:ascii="Times New Roman" w:hAnsi="Times New Roman" w:cs="Times New Roman"/>
          <w:sz w:val="24"/>
          <w:szCs w:val="24"/>
        </w:rPr>
      </w:pPr>
    </w:p>
    <w:p w14:paraId="5046D359" w14:textId="4826D945" w:rsidR="009A168E" w:rsidRDefault="009A168E" w:rsidP="00814F93">
      <w:pPr>
        <w:spacing w:line="480" w:lineRule="auto"/>
        <w:rPr>
          <w:rFonts w:ascii="Times New Roman" w:hAnsi="Times New Roman" w:cs="Times New Roman"/>
          <w:sz w:val="24"/>
          <w:szCs w:val="24"/>
        </w:rPr>
      </w:pPr>
    </w:p>
    <w:p w14:paraId="156A010A" w14:textId="1EB68F5D" w:rsidR="009A168E" w:rsidRDefault="009A168E" w:rsidP="00814F93">
      <w:pPr>
        <w:spacing w:line="480" w:lineRule="auto"/>
        <w:rPr>
          <w:rFonts w:ascii="Times New Roman" w:hAnsi="Times New Roman" w:cs="Times New Roman"/>
          <w:sz w:val="24"/>
          <w:szCs w:val="24"/>
        </w:rPr>
      </w:pPr>
    </w:p>
    <w:p w14:paraId="1943119B" w14:textId="3D072D38" w:rsidR="009A168E" w:rsidRDefault="009A168E" w:rsidP="00814F93">
      <w:pPr>
        <w:spacing w:line="480" w:lineRule="auto"/>
        <w:rPr>
          <w:rFonts w:ascii="Times New Roman" w:hAnsi="Times New Roman" w:cs="Times New Roman"/>
          <w:sz w:val="24"/>
          <w:szCs w:val="24"/>
        </w:rPr>
      </w:pPr>
    </w:p>
    <w:p w14:paraId="129028AE" w14:textId="3F755595" w:rsidR="00C917BE" w:rsidRDefault="00C917BE" w:rsidP="00C917BE">
      <w:pPr>
        <w:spacing w:line="480" w:lineRule="auto"/>
        <w:jc w:val="center"/>
        <w:rPr>
          <w:rFonts w:ascii="Times New Roman" w:hAnsi="Times New Roman" w:cs="Times New Roman"/>
          <w:b/>
          <w:bCs/>
          <w:sz w:val="24"/>
          <w:szCs w:val="24"/>
        </w:rPr>
      </w:pPr>
      <w:r w:rsidRPr="00C917BE">
        <w:rPr>
          <w:rFonts w:ascii="Times New Roman" w:hAnsi="Times New Roman" w:cs="Times New Roman"/>
          <w:b/>
          <w:bCs/>
          <w:sz w:val="24"/>
          <w:szCs w:val="24"/>
        </w:rPr>
        <w:lastRenderedPageBreak/>
        <w:t>IR and Forensics Differences</w:t>
      </w:r>
    </w:p>
    <w:p w14:paraId="10B18F7F" w14:textId="77777777" w:rsidR="00264846" w:rsidRPr="00264846" w:rsidRDefault="00264846" w:rsidP="00264846">
      <w:pPr>
        <w:spacing w:line="480" w:lineRule="auto"/>
        <w:ind w:firstLine="720"/>
        <w:rPr>
          <w:rFonts w:ascii="Times New Roman" w:hAnsi="Times New Roman" w:cs="Times New Roman"/>
        </w:rPr>
      </w:pPr>
      <w:r w:rsidRPr="00264846">
        <w:rPr>
          <w:rFonts w:ascii="Times New Roman" w:hAnsi="Times New Roman" w:cs="Times New Roman"/>
        </w:rPr>
        <w:t>While both incident response (IR) and computer forensics are crucial for addressing security incidents, they possess distinct goals, methodologies, and scopes. Incident response focuses on the immediate containment and mitigation of an incident's impact, prioritizing a swift restoration of normal business operations. This involves a series of crucial steps: identifying the nature and extent of the breach, containing its spread to prevent further damage, eradicating the root cause of the incident, recovering affected systems and data, and finally, implementing preventative measures to avoid similar incidents in the future. IR teams are often likened to first responders, focusing on quickly stabilizing the situation and minimizing disruption.</w:t>
      </w:r>
    </w:p>
    <w:p w14:paraId="06DAB3C9" w14:textId="0222E407" w:rsidR="00264846" w:rsidRPr="00264846" w:rsidRDefault="00264846" w:rsidP="00264846">
      <w:pPr>
        <w:spacing w:line="480" w:lineRule="auto"/>
        <w:ind w:firstLine="720"/>
        <w:rPr>
          <w:rFonts w:ascii="Times New Roman" w:hAnsi="Times New Roman" w:cs="Times New Roman"/>
        </w:rPr>
      </w:pPr>
      <w:r w:rsidRPr="00264846">
        <w:rPr>
          <w:rFonts w:ascii="Times New Roman" w:hAnsi="Times New Roman" w:cs="Times New Roman"/>
        </w:rPr>
        <w:t>Computer forensics, in contrast, is a specialized investigative process with a different objective: gathering and preserving digital evidence in a manner that is legally sound and admissible in court or other administrative proceedings</w:t>
      </w:r>
      <w:r w:rsidR="00926F06">
        <w:rPr>
          <w:rFonts w:ascii="Times New Roman" w:hAnsi="Times New Roman" w:cs="Times New Roman"/>
        </w:rPr>
        <w:t xml:space="preserve"> (Solomon et al</w:t>
      </w:r>
      <w:r w:rsidR="00EF6CB9">
        <w:rPr>
          <w:rFonts w:ascii="Times New Roman" w:hAnsi="Times New Roman" w:cs="Times New Roman"/>
        </w:rPr>
        <w:t>.</w:t>
      </w:r>
      <w:r w:rsidR="00926F06">
        <w:rPr>
          <w:rFonts w:ascii="Times New Roman" w:hAnsi="Times New Roman" w:cs="Times New Roman"/>
        </w:rPr>
        <w:t>, 2011)</w:t>
      </w:r>
      <w:r w:rsidRPr="00264846">
        <w:rPr>
          <w:rFonts w:ascii="Times New Roman" w:hAnsi="Times New Roman" w:cs="Times New Roman"/>
        </w:rPr>
        <w:t>. This meticulous process emphasizes detailed documentation, strict adherence to chain-of-custody protocols, and in-depth analysis of the compromised systems. The primary goals of forensics are to determine the root cause of the incident, identify the actors involved, and assess the full extent of the damage caused. Forensics often comes into play after the initial IR activities have stabilized the situation, allowing for a more thorough and methodical investigation.</w:t>
      </w:r>
    </w:p>
    <w:p w14:paraId="0F2FE5C9" w14:textId="4DFD2DDA" w:rsidR="00264846" w:rsidRPr="00264846" w:rsidRDefault="00264846" w:rsidP="00264846">
      <w:pPr>
        <w:spacing w:line="480" w:lineRule="auto"/>
        <w:ind w:firstLine="720"/>
        <w:rPr>
          <w:rFonts w:ascii="Times New Roman" w:hAnsi="Times New Roman" w:cs="Times New Roman"/>
        </w:rPr>
      </w:pPr>
      <w:r w:rsidRPr="00264846">
        <w:rPr>
          <w:rFonts w:ascii="Times New Roman" w:hAnsi="Times New Roman" w:cs="Times New Roman"/>
        </w:rPr>
        <w:t>The differences can be further illustrated by considering the tools and techniques employed by each discipline. IR teams often utilize tools like antivirus software, firewall logs, and network analysis tools to quickly identify and contain the incident</w:t>
      </w:r>
      <w:r w:rsidR="00C953EF">
        <w:rPr>
          <w:rFonts w:ascii="Times New Roman" w:hAnsi="Times New Roman" w:cs="Times New Roman"/>
        </w:rPr>
        <w:t xml:space="preserve"> (NIST, 2006)</w:t>
      </w:r>
      <w:r w:rsidRPr="00264846">
        <w:rPr>
          <w:rFonts w:ascii="Times New Roman" w:hAnsi="Times New Roman" w:cs="Times New Roman"/>
        </w:rPr>
        <w:t>. They might also implement temporary fixes or workarounds to restore critical services. Forensic investigators, on the other hand, use specialized forensic software and hardware to create disk images, recover deleted files, analyze malware, and reconstruct the sequence of events leading to the incident. Their focus is on preserving the integrity of the evidence and ensuring its admissibility in legal proceedings.</w:t>
      </w:r>
    </w:p>
    <w:p w14:paraId="3B8F199A" w14:textId="1C190D4E" w:rsidR="00264846" w:rsidRPr="00264846" w:rsidRDefault="00264846" w:rsidP="00264846">
      <w:pPr>
        <w:spacing w:line="480" w:lineRule="auto"/>
        <w:ind w:firstLine="720"/>
        <w:rPr>
          <w:rFonts w:ascii="Times New Roman" w:hAnsi="Times New Roman" w:cs="Times New Roman"/>
        </w:rPr>
      </w:pPr>
      <w:r w:rsidRPr="00264846">
        <w:rPr>
          <w:rFonts w:ascii="Times New Roman" w:hAnsi="Times New Roman" w:cs="Times New Roman"/>
        </w:rPr>
        <w:lastRenderedPageBreak/>
        <w:t>Furthermore, the level of detail and documentation required differs significantly. While IR documentation focuses on the steps taken to mitigate the incident and restore services, forensic documentation is far more extensive, including detailed logs of every action taken, chain-of-custody records, and comprehensive analysis reports. This meticulous documentation is essential for ensuring the credibility and admissibility of the evidence in court</w:t>
      </w:r>
      <w:r w:rsidR="00B7288A">
        <w:rPr>
          <w:rFonts w:ascii="Times New Roman" w:hAnsi="Times New Roman" w:cs="Times New Roman"/>
        </w:rPr>
        <w:t xml:space="preserve"> (NIST, 2012)</w:t>
      </w:r>
      <w:r w:rsidRPr="00264846">
        <w:rPr>
          <w:rFonts w:ascii="Times New Roman" w:hAnsi="Times New Roman" w:cs="Times New Roman"/>
        </w:rPr>
        <w:t>. In essence, IR prioritizes rapid recovery and business continuity, while forensics prioritizes evidence integrity and legal admissibility. They are distinct yet complementary disciplines, often working in conjunction to effectively address security incidents.</w:t>
      </w:r>
    </w:p>
    <w:p w14:paraId="2C7BA52A" w14:textId="77777777" w:rsidR="001D66BB" w:rsidRPr="001D66BB" w:rsidRDefault="001D66BB" w:rsidP="001D66BB">
      <w:pPr>
        <w:spacing w:line="480" w:lineRule="auto"/>
        <w:ind w:firstLine="720"/>
        <w:rPr>
          <w:rFonts w:ascii="Times New Roman" w:hAnsi="Times New Roman" w:cs="Times New Roman"/>
        </w:rPr>
      </w:pPr>
    </w:p>
    <w:p w14:paraId="6D6F83F6" w14:textId="78B1CD9F" w:rsidR="00DB430B" w:rsidRDefault="004E759F" w:rsidP="00DB430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Challenges</w:t>
      </w:r>
    </w:p>
    <w:p w14:paraId="30235A9F" w14:textId="77777777" w:rsidR="001D66BB" w:rsidRPr="00DD2334" w:rsidRDefault="001D66BB" w:rsidP="001D66BB">
      <w:pPr>
        <w:spacing w:line="480" w:lineRule="auto"/>
        <w:rPr>
          <w:rFonts w:ascii="Times New Roman" w:hAnsi="Times New Roman" w:cs="Times New Roman"/>
        </w:rPr>
      </w:pPr>
      <w:r w:rsidRPr="00DD2334">
        <w:rPr>
          <w:rFonts w:ascii="Times New Roman" w:hAnsi="Times New Roman" w:cs="Times New Roman"/>
        </w:rPr>
        <w:t>First responders in security incidents face significant challenges in maintaining quality and preserving chain-of-evidence rules. Often operating under pressure in a dynamic environment, they must quickly assess the situation, contain the damage, and preserve volatile evidence while adhering to strict protocols. Some key challenges include:</w:t>
      </w:r>
    </w:p>
    <w:p w14:paraId="57584CDE" w14:textId="77777777" w:rsidR="001D66BB" w:rsidRPr="00DD2334" w:rsidRDefault="001D66BB" w:rsidP="001D66BB">
      <w:pPr>
        <w:numPr>
          <w:ilvl w:val="0"/>
          <w:numId w:val="4"/>
        </w:numPr>
        <w:spacing w:after="0" w:line="480" w:lineRule="auto"/>
        <w:rPr>
          <w:rFonts w:ascii="Times New Roman" w:hAnsi="Times New Roman" w:cs="Times New Roman"/>
        </w:rPr>
      </w:pPr>
      <w:r w:rsidRPr="00DD2334">
        <w:rPr>
          <w:rFonts w:ascii="Times New Roman" w:hAnsi="Times New Roman" w:cs="Times New Roman"/>
        </w:rPr>
        <w:t>Lack of Specialized Training: First responders might lack the specialized training required to handle digital evidence correctly, potentially leading to contamination or destruction of crucial data.</w:t>
      </w:r>
    </w:p>
    <w:p w14:paraId="7189C8F2" w14:textId="77777777" w:rsidR="001D66BB" w:rsidRPr="00DD2334" w:rsidRDefault="001D66BB" w:rsidP="001D66BB">
      <w:pPr>
        <w:numPr>
          <w:ilvl w:val="0"/>
          <w:numId w:val="4"/>
        </w:numPr>
        <w:spacing w:after="0" w:line="480" w:lineRule="auto"/>
        <w:rPr>
          <w:rFonts w:ascii="Times New Roman" w:hAnsi="Times New Roman" w:cs="Times New Roman"/>
        </w:rPr>
      </w:pPr>
      <w:r w:rsidRPr="00DD2334">
        <w:rPr>
          <w:rFonts w:ascii="Times New Roman" w:hAnsi="Times New Roman" w:cs="Times New Roman"/>
        </w:rPr>
        <w:t>Limited Resources and Tools: Insufficient access to specialized forensic tools or secure storage media can hamper proper evidence collection and preservation.</w:t>
      </w:r>
    </w:p>
    <w:p w14:paraId="4DEEE61F" w14:textId="77777777" w:rsidR="001D66BB" w:rsidRPr="00DD2334" w:rsidRDefault="001D66BB" w:rsidP="001D66BB">
      <w:pPr>
        <w:numPr>
          <w:ilvl w:val="0"/>
          <w:numId w:val="4"/>
        </w:numPr>
        <w:spacing w:after="0" w:line="480" w:lineRule="auto"/>
        <w:rPr>
          <w:rFonts w:ascii="Times New Roman" w:hAnsi="Times New Roman" w:cs="Times New Roman"/>
        </w:rPr>
      </w:pPr>
      <w:r w:rsidRPr="00DD2334">
        <w:rPr>
          <w:rFonts w:ascii="Times New Roman" w:hAnsi="Times New Roman" w:cs="Times New Roman"/>
        </w:rPr>
        <w:t>Time Constraints: The urgency to restore services can conflict with the methodical approach required for forensic preservation, leading to shortcuts that compromise evidence integrity.</w:t>
      </w:r>
    </w:p>
    <w:p w14:paraId="60FF16FD" w14:textId="77777777" w:rsidR="001D66BB" w:rsidRPr="00DD2334" w:rsidRDefault="001D66BB" w:rsidP="001D66BB">
      <w:pPr>
        <w:numPr>
          <w:ilvl w:val="0"/>
          <w:numId w:val="4"/>
        </w:numPr>
        <w:spacing w:after="0" w:line="480" w:lineRule="auto"/>
        <w:rPr>
          <w:rFonts w:ascii="Times New Roman" w:hAnsi="Times New Roman" w:cs="Times New Roman"/>
        </w:rPr>
      </w:pPr>
      <w:r w:rsidRPr="00DD2334">
        <w:rPr>
          <w:rFonts w:ascii="Times New Roman" w:hAnsi="Times New Roman" w:cs="Times New Roman"/>
        </w:rPr>
        <w:t>Contamination Risk: Inadvertently modifying data during the initial response, such as accessing infected files or running system scans, can contaminate the crime scene and complicate subsequent forensic analysis.</w:t>
      </w:r>
    </w:p>
    <w:p w14:paraId="3521DF0C" w14:textId="77777777" w:rsidR="001D66BB" w:rsidRPr="00DD2334" w:rsidRDefault="001D66BB" w:rsidP="001D66BB">
      <w:pPr>
        <w:numPr>
          <w:ilvl w:val="0"/>
          <w:numId w:val="4"/>
        </w:numPr>
        <w:spacing w:after="0" w:line="480" w:lineRule="auto"/>
        <w:rPr>
          <w:rFonts w:ascii="Times New Roman" w:hAnsi="Times New Roman" w:cs="Times New Roman"/>
        </w:rPr>
      </w:pPr>
      <w:r w:rsidRPr="00DD2334">
        <w:rPr>
          <w:rFonts w:ascii="Times New Roman" w:hAnsi="Times New Roman" w:cs="Times New Roman"/>
        </w:rPr>
        <w:lastRenderedPageBreak/>
        <w:t>Documentation and Chain-of-Custody: Maintaining a clear and comprehensive chain-of-custody record can be challenging, especially in complex incidents involving multiple responders and locations.</w:t>
      </w:r>
    </w:p>
    <w:p w14:paraId="5EF43EC4" w14:textId="0E89DC3E" w:rsidR="001D66BB" w:rsidRDefault="001D66BB" w:rsidP="001D66BB">
      <w:pPr>
        <w:numPr>
          <w:ilvl w:val="0"/>
          <w:numId w:val="4"/>
        </w:numPr>
        <w:spacing w:after="0" w:line="480" w:lineRule="auto"/>
        <w:rPr>
          <w:rFonts w:ascii="Times New Roman" w:hAnsi="Times New Roman" w:cs="Times New Roman"/>
        </w:rPr>
      </w:pPr>
      <w:r w:rsidRPr="00DD2334">
        <w:rPr>
          <w:rFonts w:ascii="Times New Roman" w:hAnsi="Times New Roman" w:cs="Times New Roman"/>
        </w:rPr>
        <w:t>Balancing Incident Response and Forensics: Striking the right balance between the need for rapid incident response and the requirements for a thorough forensic investigation can be difficult. Decisions made during the initial response can significantly impact the success of later forensic efforts.</w:t>
      </w:r>
    </w:p>
    <w:p w14:paraId="127EEBBE" w14:textId="77777777" w:rsidR="001D66BB" w:rsidRPr="001D66BB" w:rsidRDefault="001D66BB" w:rsidP="001D66BB">
      <w:pPr>
        <w:spacing w:after="0" w:line="480" w:lineRule="auto"/>
        <w:ind w:left="720"/>
        <w:rPr>
          <w:rFonts w:ascii="Times New Roman" w:hAnsi="Times New Roman" w:cs="Times New Roman"/>
        </w:rPr>
      </w:pPr>
    </w:p>
    <w:p w14:paraId="0AB4A0C3" w14:textId="51C06FD7" w:rsidR="00E91435" w:rsidRDefault="00C33325" w:rsidP="00E914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IR Plans Steps</w:t>
      </w:r>
    </w:p>
    <w:p w14:paraId="466B5117" w14:textId="77777777" w:rsidR="001D66BB" w:rsidRPr="00DD2334" w:rsidRDefault="001D66BB" w:rsidP="001D66BB">
      <w:pPr>
        <w:spacing w:line="480" w:lineRule="auto"/>
        <w:rPr>
          <w:rFonts w:ascii="Times New Roman" w:hAnsi="Times New Roman" w:cs="Times New Roman"/>
        </w:rPr>
      </w:pPr>
      <w:r w:rsidRPr="00DD2334">
        <w:rPr>
          <w:rFonts w:ascii="Times New Roman" w:hAnsi="Times New Roman" w:cs="Times New Roman"/>
        </w:rPr>
        <w:t>A comprehensive IR and forensics plan outlines a structured approach to handling security incidents, encompassing both immediate response and subsequent investigation. Key steps include:</w:t>
      </w:r>
    </w:p>
    <w:p w14:paraId="1E12B30E" w14:textId="77777777"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t>Preparation: Establish policies, procedures, and a trained incident response team. Identify critical assets and vulnerabilities, acquire necessary tools, and establish communication channels.</w:t>
      </w:r>
    </w:p>
    <w:p w14:paraId="4E6BCF71" w14:textId="77777777"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t>Identification: Detect and confirm the occurrence of an incident through monitoring systems, user reports, or other means.</w:t>
      </w:r>
    </w:p>
    <w:p w14:paraId="1901F41A" w14:textId="77777777"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t>Containment: Isolate affected systems to prevent further damage and propagation of the incident. This may involve disconnecting network cables, blocking IP addresses, or disabling user accounts.</w:t>
      </w:r>
    </w:p>
    <w:p w14:paraId="7AFE38F2" w14:textId="77777777"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t>Eradication: Remove the root cause of the incident, such as malware, compromised accounts, or misconfigured systems.</w:t>
      </w:r>
    </w:p>
    <w:p w14:paraId="05DBA244" w14:textId="77777777"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t>Recovery: Restore affected systems and data to their pre-incident state using backups or other recovery methods.</w:t>
      </w:r>
    </w:p>
    <w:p w14:paraId="55ECB20A" w14:textId="34A57B23"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t xml:space="preserve">Post-Incident Activity: Conduct a thorough review of the incident, including its causes, impacts, and effectiveness of the response. Document lessons learned and </w:t>
      </w:r>
      <w:proofErr w:type="gramStart"/>
      <w:r w:rsidRPr="00DD2334">
        <w:rPr>
          <w:rFonts w:ascii="Times New Roman" w:hAnsi="Times New Roman" w:cs="Times New Roman"/>
        </w:rPr>
        <w:t>update</w:t>
      </w:r>
      <w:proofErr w:type="gramEnd"/>
      <w:r w:rsidRPr="00DD2334">
        <w:rPr>
          <w:rFonts w:ascii="Times New Roman" w:hAnsi="Times New Roman" w:cs="Times New Roman"/>
        </w:rPr>
        <w:t xml:space="preserve"> the IR plan accordingly.</w:t>
      </w:r>
    </w:p>
    <w:p w14:paraId="74771155" w14:textId="097E54D7" w:rsidR="001D66BB" w:rsidRPr="00DD2334" w:rsidRDefault="001D66BB" w:rsidP="001D66BB">
      <w:pPr>
        <w:numPr>
          <w:ilvl w:val="0"/>
          <w:numId w:val="5"/>
        </w:numPr>
        <w:spacing w:after="0" w:line="480" w:lineRule="auto"/>
        <w:rPr>
          <w:rFonts w:ascii="Times New Roman" w:hAnsi="Times New Roman" w:cs="Times New Roman"/>
        </w:rPr>
      </w:pPr>
      <w:r w:rsidRPr="00DD2334">
        <w:rPr>
          <w:rFonts w:ascii="Times New Roman" w:hAnsi="Times New Roman" w:cs="Times New Roman"/>
        </w:rPr>
        <w:lastRenderedPageBreak/>
        <w:t>Forensic Investigation: Initiate a forensic investigation to gather and analyze evidence, determine the root cause, identify perpetrators, and support legal or administrative actions. This stage typically follows the initial IR activities.</w:t>
      </w:r>
    </w:p>
    <w:p w14:paraId="5306C974" w14:textId="77777777" w:rsidR="001D66BB" w:rsidRPr="00E91435" w:rsidRDefault="001D66BB" w:rsidP="00E91435">
      <w:pPr>
        <w:spacing w:line="480" w:lineRule="auto"/>
        <w:jc w:val="center"/>
        <w:rPr>
          <w:rFonts w:ascii="Times New Roman" w:hAnsi="Times New Roman" w:cs="Times New Roman"/>
          <w:b/>
          <w:bCs/>
          <w:sz w:val="24"/>
          <w:szCs w:val="24"/>
        </w:rPr>
      </w:pPr>
    </w:p>
    <w:p w14:paraId="02E0F7CD" w14:textId="45FA7776" w:rsidR="00E91435" w:rsidRDefault="002065DF" w:rsidP="00B4558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External Contracting Steps</w:t>
      </w:r>
    </w:p>
    <w:p w14:paraId="500411D3" w14:textId="77777777" w:rsidR="001D66BB" w:rsidRPr="00DD2334" w:rsidRDefault="001D66BB" w:rsidP="001D66BB">
      <w:pPr>
        <w:spacing w:line="480" w:lineRule="auto"/>
        <w:rPr>
          <w:rFonts w:ascii="Times New Roman" w:hAnsi="Times New Roman" w:cs="Times New Roman"/>
        </w:rPr>
      </w:pPr>
      <w:r w:rsidRPr="00DD2334">
        <w:rPr>
          <w:rFonts w:ascii="Times New Roman" w:hAnsi="Times New Roman" w:cs="Times New Roman"/>
        </w:rPr>
        <w:t>Integrating externally contracted forensics requires careful planning and coordination. Key steps include:</w:t>
      </w:r>
    </w:p>
    <w:p w14:paraId="472CBA65"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Pre-Incident Preparation: Establish contracts with reputable forensic firms, defining scope of work, service level agreements, and communication protocols.</w:t>
      </w:r>
    </w:p>
    <w:p w14:paraId="19F7A05E"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Incident Notification: Promptly notify the contracted firm upon suspicion of an incident requiring forensic investigation.</w:t>
      </w:r>
    </w:p>
    <w:p w14:paraId="4BCFEA4C"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Evidence Preservation: Secure the scene and preserve potential evidence until the forensic team arrives. Minimize system access and document any actions taken.</w:t>
      </w:r>
    </w:p>
    <w:p w14:paraId="025C4FA3"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Chain-of-Custody Handling: Establish a clear chain-of-custody procedure, documenting the transfer of evidence to the forensic investigators.</w:t>
      </w:r>
    </w:p>
    <w:p w14:paraId="2A67D484"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Collaboration and Communication: Maintain open communication with the forensic team throughout the investigation process, providing necessary context and access to resources.</w:t>
      </w:r>
    </w:p>
    <w:p w14:paraId="6C509D8D"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Reporting and Analysis: Receive and review the forensic report, including findings, conclusions, and recommendations.</w:t>
      </w:r>
    </w:p>
    <w:p w14:paraId="6BB913A5" w14:textId="77777777" w:rsidR="001D66BB" w:rsidRPr="00DD2334" w:rsidRDefault="001D66BB" w:rsidP="001D66BB">
      <w:pPr>
        <w:numPr>
          <w:ilvl w:val="0"/>
          <w:numId w:val="6"/>
        </w:numPr>
        <w:spacing w:after="0" w:line="480" w:lineRule="auto"/>
        <w:rPr>
          <w:rFonts w:ascii="Times New Roman" w:hAnsi="Times New Roman" w:cs="Times New Roman"/>
        </w:rPr>
      </w:pPr>
      <w:r w:rsidRPr="00DD2334">
        <w:rPr>
          <w:rFonts w:ascii="Times New Roman" w:hAnsi="Times New Roman" w:cs="Times New Roman"/>
        </w:rPr>
        <w:t>Legal and Administrative Actions: Utilize the forensic report to support any legal or administrative actions, such as disciplinary measures or legal proceedings.</w:t>
      </w:r>
    </w:p>
    <w:p w14:paraId="4FFA4A60" w14:textId="77777777" w:rsidR="001D66BB" w:rsidRPr="00B45589" w:rsidRDefault="001D66BB" w:rsidP="00B45589">
      <w:pPr>
        <w:spacing w:line="480" w:lineRule="auto"/>
        <w:jc w:val="center"/>
        <w:rPr>
          <w:rFonts w:ascii="Times New Roman" w:hAnsi="Times New Roman" w:cs="Times New Roman"/>
          <w:b/>
          <w:bCs/>
          <w:sz w:val="24"/>
          <w:szCs w:val="24"/>
        </w:rPr>
      </w:pPr>
    </w:p>
    <w:p w14:paraId="46C30ABE" w14:textId="77777777" w:rsidR="00264846" w:rsidRDefault="00264846" w:rsidP="00F226C4">
      <w:pPr>
        <w:spacing w:line="480" w:lineRule="auto"/>
        <w:jc w:val="center"/>
        <w:rPr>
          <w:rFonts w:ascii="Times New Roman" w:hAnsi="Times New Roman" w:cs="Times New Roman"/>
          <w:b/>
          <w:bCs/>
          <w:sz w:val="24"/>
          <w:szCs w:val="24"/>
        </w:rPr>
      </w:pPr>
    </w:p>
    <w:p w14:paraId="21A4B425" w14:textId="77777777" w:rsidR="00264846" w:rsidRDefault="00264846" w:rsidP="00F226C4">
      <w:pPr>
        <w:spacing w:line="480" w:lineRule="auto"/>
        <w:jc w:val="center"/>
        <w:rPr>
          <w:rFonts w:ascii="Times New Roman" w:hAnsi="Times New Roman" w:cs="Times New Roman"/>
          <w:b/>
          <w:bCs/>
          <w:sz w:val="24"/>
          <w:szCs w:val="24"/>
        </w:rPr>
      </w:pPr>
    </w:p>
    <w:p w14:paraId="63502242" w14:textId="4380074C" w:rsidR="00D10DE4" w:rsidRDefault="00797893" w:rsidP="00F226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IR Resources</w:t>
      </w:r>
    </w:p>
    <w:p w14:paraId="1F2F02B1" w14:textId="77777777" w:rsidR="001D66BB" w:rsidRPr="00DD2334" w:rsidRDefault="001D66BB" w:rsidP="001D66BB">
      <w:pPr>
        <w:spacing w:line="480" w:lineRule="auto"/>
        <w:rPr>
          <w:rFonts w:ascii="Times New Roman" w:hAnsi="Times New Roman" w:cs="Times New Roman"/>
        </w:rPr>
      </w:pPr>
      <w:r w:rsidRPr="00DD2334">
        <w:rPr>
          <w:rFonts w:ascii="Times New Roman" w:hAnsi="Times New Roman" w:cs="Times New Roman"/>
        </w:rPr>
        <w:t>The Widget Factory's current IR capabilities present several weaknesses:</w:t>
      </w:r>
    </w:p>
    <w:p w14:paraId="69870755"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Inadequate Incident Response Plan: The lack of a formal IR plan leaves the company unprepared to handle security incidents effectively, increasing the risk of data loss, reputational damage, and financial losses.</w:t>
      </w:r>
    </w:p>
    <w:p w14:paraId="7C312935"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Insufficient Training: The current support staff appears to lack adequate training in incident handling and evidence preservation, evidenced by incidents of unintentional evidence destruction.</w:t>
      </w:r>
    </w:p>
    <w:p w14:paraId="0506D496"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Ineffective Escalation Procedures: The tension and communication breakdown between first- and second-level support hinders effective incident escalation and resolution.</w:t>
      </w:r>
    </w:p>
    <w:p w14:paraId="72163B68"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Lack of Forensic Expertise: The absence of dedicated forensic capabilities leaves the company reliant on ad-hoc responses, which may compromise investigations and legal proceedings.</w:t>
      </w:r>
    </w:p>
    <w:p w14:paraId="59F1F878"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Inconsistent Security Posture: The varying security measures across different locations, from robust firewalls at headquarters to reliance on host-based firewalls at global locations, creates vulnerabilities and complicates incident response.</w:t>
      </w:r>
    </w:p>
    <w:p w14:paraId="32D5FED1"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Centralized IT Infrastructure: While data replication provides redundancy, the centralized nature of the IT infrastructure makes it a single point of failure. A compromise at headquarters could severely impact all global operations.</w:t>
      </w:r>
    </w:p>
    <w:p w14:paraId="569D6EFE"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Weak Password Policy: The current password policy, with easily guessable initial passwords, increases the risk of unauthorized access.</w:t>
      </w:r>
    </w:p>
    <w:p w14:paraId="70B7E2A8" w14:textId="77777777" w:rsidR="001D66BB" w:rsidRPr="00DD2334" w:rsidRDefault="001D66BB" w:rsidP="001D66BB">
      <w:pPr>
        <w:numPr>
          <w:ilvl w:val="0"/>
          <w:numId w:val="7"/>
        </w:numPr>
        <w:spacing w:after="0" w:line="480" w:lineRule="auto"/>
        <w:rPr>
          <w:rFonts w:ascii="Times New Roman" w:hAnsi="Times New Roman" w:cs="Times New Roman"/>
        </w:rPr>
      </w:pPr>
      <w:r w:rsidRPr="00DD2334">
        <w:rPr>
          <w:rFonts w:ascii="Times New Roman" w:hAnsi="Times New Roman" w:cs="Times New Roman"/>
        </w:rPr>
        <w:t>Lack of Formal Security Policies: The absence of comprehensive security policies and procedures further weakens the company's security posture and hinders incident response efforts.</w:t>
      </w:r>
    </w:p>
    <w:p w14:paraId="22698EB1" w14:textId="77777777" w:rsidR="001D66BB" w:rsidRDefault="001D66BB" w:rsidP="001D66BB">
      <w:pPr>
        <w:spacing w:line="480" w:lineRule="auto"/>
        <w:rPr>
          <w:rFonts w:ascii="Times New Roman" w:hAnsi="Times New Roman" w:cs="Times New Roman"/>
        </w:rPr>
      </w:pPr>
    </w:p>
    <w:p w14:paraId="34A45CC5" w14:textId="77777777" w:rsidR="001D66BB" w:rsidRDefault="001D66BB" w:rsidP="001D66BB">
      <w:pPr>
        <w:spacing w:line="480" w:lineRule="auto"/>
        <w:rPr>
          <w:rFonts w:ascii="Times New Roman" w:hAnsi="Times New Roman" w:cs="Times New Roman"/>
        </w:rPr>
      </w:pPr>
    </w:p>
    <w:p w14:paraId="2BFA78F6" w14:textId="77777777" w:rsidR="00264846" w:rsidRDefault="00264846" w:rsidP="001D66BB">
      <w:pPr>
        <w:spacing w:line="480" w:lineRule="auto"/>
        <w:jc w:val="center"/>
        <w:rPr>
          <w:rFonts w:ascii="Times New Roman" w:hAnsi="Times New Roman" w:cs="Times New Roman"/>
        </w:rPr>
      </w:pPr>
    </w:p>
    <w:p w14:paraId="597F45CF" w14:textId="2D869676" w:rsidR="001D66BB" w:rsidRPr="00264846" w:rsidRDefault="00264846" w:rsidP="0026484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w:t>
      </w:r>
      <w:r>
        <w:rPr>
          <w:rFonts w:ascii="Times New Roman" w:hAnsi="Times New Roman" w:cs="Times New Roman"/>
          <w:b/>
          <w:bCs/>
          <w:sz w:val="24"/>
          <w:szCs w:val="24"/>
        </w:rPr>
        <w:t>ecommendations for Widget Factory’s IR Improvement</w:t>
      </w:r>
    </w:p>
    <w:p w14:paraId="02A5FCEE" w14:textId="77777777" w:rsidR="001D66BB" w:rsidRPr="00DD2334" w:rsidRDefault="001D66BB" w:rsidP="001D66BB">
      <w:pPr>
        <w:spacing w:line="480" w:lineRule="auto"/>
        <w:rPr>
          <w:rFonts w:ascii="Times New Roman" w:hAnsi="Times New Roman" w:cs="Times New Roman"/>
        </w:rPr>
      </w:pPr>
      <w:r w:rsidRPr="00DD2334">
        <w:rPr>
          <w:rFonts w:ascii="Times New Roman" w:hAnsi="Times New Roman" w:cs="Times New Roman"/>
        </w:rPr>
        <w:t>The Widget Factory needs to take several steps to improve its incident response capabilities:</w:t>
      </w:r>
    </w:p>
    <w:p w14:paraId="34E4EB10"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Develop a Formal IR Plan: Create a comprehensive IR plan outlining roles, responsibilities, procedures, and communication channels. This plan should address incident identification, containment, eradication, recovery, and post-incident activities.</w:t>
      </w:r>
    </w:p>
    <w:p w14:paraId="4D1A8BEC"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Provide Specialized Training: Train both first and second-level support staff in incident handling, evidence preservation, and basic forensic techniques. This training should emphasize the importance of chain-of-custody and proper documentation.</w:t>
      </w:r>
    </w:p>
    <w:p w14:paraId="0E76B5AD"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Improve Escalation Procedures: Implement clear and well-defined escalation procedures to facilitate smooth communication and efficient incident handling between support tiers. Address the existing tension between support teams through mediation and team-building exercises.</w:t>
      </w:r>
    </w:p>
    <w:p w14:paraId="7B24789F"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Establish Forensic Capabilities: Develop internal forensic capabilities by training dedicated staff or partnering with external forensic firms. Acquire necessary forensic tools and secure storage media.</w:t>
      </w:r>
    </w:p>
    <w:p w14:paraId="4134769B"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Standardize Security Measures: Implement consistent security measures across all locations, including robust firewalls, intrusion detection systems, and malware protection.</w:t>
      </w:r>
    </w:p>
    <w:p w14:paraId="14B6E21E"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Enhance Password Policy: Implement a strong password policy requiring complex passwords, regular changes, and multi-factor authentication where feasible.</w:t>
      </w:r>
    </w:p>
    <w:p w14:paraId="470D4927"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Develop Comprehensive Security Policies: Establish formal security policies covering acceptable use, data protection, access control, and incident response.</w:t>
      </w:r>
    </w:p>
    <w:p w14:paraId="63BC361B"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t>Implement a Security Information and Event Management (SIEM) System: A SIEM system can centralize log data from various sources, facilitating real-time monitoring, threat detection, and incident analysis.</w:t>
      </w:r>
    </w:p>
    <w:p w14:paraId="46749AF3" w14:textId="77777777" w:rsidR="001D66BB" w:rsidRPr="00DD2334" w:rsidRDefault="001D66BB" w:rsidP="001D66BB">
      <w:pPr>
        <w:numPr>
          <w:ilvl w:val="0"/>
          <w:numId w:val="8"/>
        </w:numPr>
        <w:spacing w:after="0" w:line="480" w:lineRule="auto"/>
        <w:rPr>
          <w:rFonts w:ascii="Times New Roman" w:hAnsi="Times New Roman" w:cs="Times New Roman"/>
        </w:rPr>
      </w:pPr>
      <w:r w:rsidRPr="00DD2334">
        <w:rPr>
          <w:rFonts w:ascii="Times New Roman" w:hAnsi="Times New Roman" w:cs="Times New Roman"/>
        </w:rPr>
        <w:lastRenderedPageBreak/>
        <w:t>Regularly Test and Update the IR Plan: Conduct regular tabletop exercises and simulations to test the effectiveness of the IR plan and identify areas for improvement. Update the plan based on lessons learned and evolving threats.</w:t>
      </w:r>
    </w:p>
    <w:p w14:paraId="3ADC80C3" w14:textId="3640185B" w:rsidR="00D10DE4" w:rsidRPr="00264846" w:rsidRDefault="001D66BB" w:rsidP="00814F93">
      <w:pPr>
        <w:numPr>
          <w:ilvl w:val="0"/>
          <w:numId w:val="8"/>
        </w:numPr>
        <w:spacing w:after="0" w:line="480" w:lineRule="auto"/>
        <w:rPr>
          <w:rFonts w:ascii="Times New Roman" w:hAnsi="Times New Roman" w:cs="Times New Roman"/>
        </w:rPr>
      </w:pPr>
      <w:r w:rsidRPr="00DD2334">
        <w:rPr>
          <w:rFonts w:ascii="Times New Roman" w:hAnsi="Times New Roman" w:cs="Times New Roman"/>
        </w:rPr>
        <w:t>Consider Cyber Insurance: Evaluate the feasibility of obtaining cyber insurance to mitigate financial losses associated with security incidents.</w:t>
      </w:r>
    </w:p>
    <w:p w14:paraId="54471BB0" w14:textId="77777777" w:rsidR="00264846" w:rsidRDefault="00264846" w:rsidP="00260A3D">
      <w:pPr>
        <w:spacing w:line="480" w:lineRule="auto"/>
        <w:jc w:val="center"/>
        <w:rPr>
          <w:rFonts w:ascii="Times New Roman" w:hAnsi="Times New Roman" w:cs="Times New Roman"/>
          <w:b/>
          <w:bCs/>
          <w:sz w:val="24"/>
          <w:szCs w:val="24"/>
        </w:rPr>
      </w:pPr>
    </w:p>
    <w:p w14:paraId="1CAEB46E" w14:textId="77777777" w:rsidR="00264846" w:rsidRDefault="00264846" w:rsidP="00260A3D">
      <w:pPr>
        <w:spacing w:line="480" w:lineRule="auto"/>
        <w:jc w:val="center"/>
        <w:rPr>
          <w:rFonts w:ascii="Times New Roman" w:hAnsi="Times New Roman" w:cs="Times New Roman"/>
          <w:b/>
          <w:bCs/>
          <w:sz w:val="24"/>
          <w:szCs w:val="24"/>
        </w:rPr>
      </w:pPr>
    </w:p>
    <w:p w14:paraId="1844E465" w14:textId="77777777" w:rsidR="00264846" w:rsidRDefault="00264846" w:rsidP="00260A3D">
      <w:pPr>
        <w:spacing w:line="480" w:lineRule="auto"/>
        <w:jc w:val="center"/>
        <w:rPr>
          <w:rFonts w:ascii="Times New Roman" w:hAnsi="Times New Roman" w:cs="Times New Roman"/>
          <w:b/>
          <w:bCs/>
          <w:sz w:val="24"/>
          <w:szCs w:val="24"/>
        </w:rPr>
      </w:pPr>
    </w:p>
    <w:p w14:paraId="1BF1CA36" w14:textId="77777777" w:rsidR="00264846" w:rsidRDefault="00264846" w:rsidP="00260A3D">
      <w:pPr>
        <w:spacing w:line="480" w:lineRule="auto"/>
        <w:jc w:val="center"/>
        <w:rPr>
          <w:rFonts w:ascii="Times New Roman" w:hAnsi="Times New Roman" w:cs="Times New Roman"/>
          <w:b/>
          <w:bCs/>
          <w:sz w:val="24"/>
          <w:szCs w:val="24"/>
        </w:rPr>
      </w:pPr>
    </w:p>
    <w:p w14:paraId="31213EBC" w14:textId="77777777" w:rsidR="00264846" w:rsidRDefault="00264846" w:rsidP="00260A3D">
      <w:pPr>
        <w:spacing w:line="480" w:lineRule="auto"/>
        <w:jc w:val="center"/>
        <w:rPr>
          <w:rFonts w:ascii="Times New Roman" w:hAnsi="Times New Roman" w:cs="Times New Roman"/>
          <w:b/>
          <w:bCs/>
          <w:sz w:val="24"/>
          <w:szCs w:val="24"/>
        </w:rPr>
      </w:pPr>
    </w:p>
    <w:p w14:paraId="706F245E" w14:textId="77777777" w:rsidR="00264846" w:rsidRDefault="00264846" w:rsidP="00260A3D">
      <w:pPr>
        <w:spacing w:line="480" w:lineRule="auto"/>
        <w:jc w:val="center"/>
        <w:rPr>
          <w:rFonts w:ascii="Times New Roman" w:hAnsi="Times New Roman" w:cs="Times New Roman"/>
          <w:b/>
          <w:bCs/>
          <w:sz w:val="24"/>
          <w:szCs w:val="24"/>
        </w:rPr>
      </w:pPr>
    </w:p>
    <w:p w14:paraId="262FBCEF" w14:textId="77777777" w:rsidR="00264846" w:rsidRDefault="00264846" w:rsidP="00260A3D">
      <w:pPr>
        <w:spacing w:line="480" w:lineRule="auto"/>
        <w:jc w:val="center"/>
        <w:rPr>
          <w:rFonts w:ascii="Times New Roman" w:hAnsi="Times New Roman" w:cs="Times New Roman"/>
          <w:b/>
          <w:bCs/>
          <w:sz w:val="24"/>
          <w:szCs w:val="24"/>
        </w:rPr>
      </w:pPr>
    </w:p>
    <w:p w14:paraId="2D4EE35E" w14:textId="77777777" w:rsidR="00264846" w:rsidRDefault="00264846" w:rsidP="00260A3D">
      <w:pPr>
        <w:spacing w:line="480" w:lineRule="auto"/>
        <w:jc w:val="center"/>
        <w:rPr>
          <w:rFonts w:ascii="Times New Roman" w:hAnsi="Times New Roman" w:cs="Times New Roman"/>
          <w:b/>
          <w:bCs/>
          <w:sz w:val="24"/>
          <w:szCs w:val="24"/>
        </w:rPr>
      </w:pPr>
    </w:p>
    <w:p w14:paraId="21A38215" w14:textId="77777777" w:rsidR="00264846" w:rsidRDefault="00264846" w:rsidP="00260A3D">
      <w:pPr>
        <w:spacing w:line="480" w:lineRule="auto"/>
        <w:jc w:val="center"/>
        <w:rPr>
          <w:rFonts w:ascii="Times New Roman" w:hAnsi="Times New Roman" w:cs="Times New Roman"/>
          <w:b/>
          <w:bCs/>
          <w:sz w:val="24"/>
          <w:szCs w:val="24"/>
        </w:rPr>
      </w:pPr>
    </w:p>
    <w:p w14:paraId="6CBF124D" w14:textId="77777777" w:rsidR="00264846" w:rsidRDefault="00264846" w:rsidP="00260A3D">
      <w:pPr>
        <w:spacing w:line="480" w:lineRule="auto"/>
        <w:jc w:val="center"/>
        <w:rPr>
          <w:rFonts w:ascii="Times New Roman" w:hAnsi="Times New Roman" w:cs="Times New Roman"/>
          <w:b/>
          <w:bCs/>
          <w:sz w:val="24"/>
          <w:szCs w:val="24"/>
        </w:rPr>
      </w:pPr>
    </w:p>
    <w:p w14:paraId="73CF41DF" w14:textId="77777777" w:rsidR="00264846" w:rsidRDefault="00264846" w:rsidP="00260A3D">
      <w:pPr>
        <w:spacing w:line="480" w:lineRule="auto"/>
        <w:jc w:val="center"/>
        <w:rPr>
          <w:rFonts w:ascii="Times New Roman" w:hAnsi="Times New Roman" w:cs="Times New Roman"/>
          <w:b/>
          <w:bCs/>
          <w:sz w:val="24"/>
          <w:szCs w:val="24"/>
        </w:rPr>
      </w:pPr>
    </w:p>
    <w:p w14:paraId="4FB02A89" w14:textId="77777777" w:rsidR="00264846" w:rsidRDefault="00264846" w:rsidP="00260A3D">
      <w:pPr>
        <w:spacing w:line="480" w:lineRule="auto"/>
        <w:jc w:val="center"/>
        <w:rPr>
          <w:rFonts w:ascii="Times New Roman" w:hAnsi="Times New Roman" w:cs="Times New Roman"/>
          <w:b/>
          <w:bCs/>
          <w:sz w:val="24"/>
          <w:szCs w:val="24"/>
        </w:rPr>
      </w:pPr>
    </w:p>
    <w:p w14:paraId="62399B1E" w14:textId="77777777" w:rsidR="00264846" w:rsidRDefault="00264846" w:rsidP="00260A3D">
      <w:pPr>
        <w:spacing w:line="480" w:lineRule="auto"/>
        <w:jc w:val="center"/>
        <w:rPr>
          <w:rFonts w:ascii="Times New Roman" w:hAnsi="Times New Roman" w:cs="Times New Roman"/>
          <w:b/>
          <w:bCs/>
          <w:sz w:val="24"/>
          <w:szCs w:val="24"/>
        </w:rPr>
      </w:pPr>
    </w:p>
    <w:p w14:paraId="502CC3F3" w14:textId="77777777" w:rsidR="00264846" w:rsidRDefault="00264846" w:rsidP="00260A3D">
      <w:pPr>
        <w:spacing w:line="480" w:lineRule="auto"/>
        <w:jc w:val="center"/>
        <w:rPr>
          <w:rFonts w:ascii="Times New Roman" w:hAnsi="Times New Roman" w:cs="Times New Roman"/>
          <w:b/>
          <w:bCs/>
          <w:sz w:val="24"/>
          <w:szCs w:val="24"/>
        </w:rPr>
      </w:pPr>
    </w:p>
    <w:p w14:paraId="4B3EBC22" w14:textId="77777777" w:rsidR="00264846" w:rsidRDefault="00264846" w:rsidP="00260A3D">
      <w:pPr>
        <w:spacing w:line="480" w:lineRule="auto"/>
        <w:jc w:val="center"/>
        <w:rPr>
          <w:rFonts w:ascii="Times New Roman" w:hAnsi="Times New Roman" w:cs="Times New Roman"/>
          <w:b/>
          <w:bCs/>
          <w:sz w:val="24"/>
          <w:szCs w:val="24"/>
        </w:rPr>
      </w:pPr>
    </w:p>
    <w:p w14:paraId="7C0ACB6F" w14:textId="60662FA5" w:rsidR="00267993" w:rsidRDefault="00EE54D5" w:rsidP="00260A3D">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Reference</w:t>
      </w:r>
      <w:r w:rsidR="008453F5">
        <w:rPr>
          <w:rFonts w:ascii="Times New Roman" w:hAnsi="Times New Roman" w:cs="Times New Roman"/>
          <w:b/>
          <w:bCs/>
          <w:sz w:val="24"/>
          <w:szCs w:val="24"/>
        </w:rPr>
        <w:t>s</w:t>
      </w:r>
    </w:p>
    <w:p w14:paraId="0AC7B9D4" w14:textId="1D571FB1" w:rsidR="006F20F0" w:rsidRDefault="006F20F0" w:rsidP="00260A3D">
      <w:pPr>
        <w:spacing w:line="480" w:lineRule="auto"/>
        <w:jc w:val="center"/>
        <w:rPr>
          <w:rFonts w:ascii="Times New Roman" w:hAnsi="Times New Roman" w:cs="Times New Roman"/>
          <w:sz w:val="24"/>
          <w:szCs w:val="24"/>
        </w:rPr>
      </w:pPr>
      <w:r w:rsidRPr="006F20F0">
        <w:rPr>
          <w:rFonts w:ascii="Times New Roman" w:hAnsi="Times New Roman" w:cs="Times New Roman"/>
          <w:sz w:val="24"/>
          <w:szCs w:val="24"/>
        </w:rPr>
        <w:t>Solomon, M. G., Rudolph, K., Tittel, E., Broom, N., &amp; Barrett, D. (2011). </w:t>
      </w:r>
      <w:r w:rsidRPr="006F20F0">
        <w:rPr>
          <w:rFonts w:ascii="Times New Roman" w:hAnsi="Times New Roman" w:cs="Times New Roman"/>
          <w:i/>
          <w:iCs/>
          <w:sz w:val="24"/>
          <w:szCs w:val="24"/>
        </w:rPr>
        <w:t>Computer forensics</w:t>
      </w:r>
      <w:r w:rsidR="003A40E4">
        <w:rPr>
          <w:rFonts w:ascii="Times New Roman" w:hAnsi="Times New Roman" w:cs="Times New Roman"/>
          <w:i/>
          <w:iCs/>
          <w:sz w:val="24"/>
          <w:szCs w:val="24"/>
        </w:rPr>
        <w:t xml:space="preserve"> </w:t>
      </w:r>
      <w:r w:rsidRPr="006F20F0">
        <w:rPr>
          <w:rFonts w:ascii="Times New Roman" w:hAnsi="Times New Roman" w:cs="Times New Roman"/>
          <w:i/>
          <w:iCs/>
          <w:sz w:val="24"/>
          <w:szCs w:val="24"/>
        </w:rPr>
        <w:t>jumpstart</w:t>
      </w:r>
      <w:r w:rsidRPr="006F20F0">
        <w:rPr>
          <w:rFonts w:ascii="Times New Roman" w:hAnsi="Times New Roman" w:cs="Times New Roman"/>
          <w:sz w:val="24"/>
          <w:szCs w:val="24"/>
        </w:rPr>
        <w:t>. John Wiley &amp; Sons, Incorporated.</w:t>
      </w:r>
    </w:p>
    <w:p w14:paraId="69211DFB" w14:textId="6E960323" w:rsidR="00F573B0" w:rsidRDefault="00F573B0" w:rsidP="006F5A26">
      <w:pPr>
        <w:spacing w:line="480" w:lineRule="auto"/>
        <w:rPr>
          <w:rFonts w:ascii="Times New Roman" w:hAnsi="Times New Roman" w:cs="Times New Roman"/>
        </w:rPr>
      </w:pPr>
      <w:r w:rsidRPr="000D4290">
        <w:rPr>
          <w:rFonts w:ascii="Times New Roman" w:hAnsi="Times New Roman" w:cs="Times New Roman"/>
          <w:sz w:val="24"/>
          <w:szCs w:val="24"/>
        </w:rPr>
        <w:t>National Institute of Standards and Technology (NIST). (201</w:t>
      </w:r>
      <w:r w:rsidR="00FC08F1" w:rsidRPr="000D4290">
        <w:rPr>
          <w:rFonts w:ascii="Times New Roman" w:hAnsi="Times New Roman" w:cs="Times New Roman"/>
          <w:sz w:val="24"/>
          <w:szCs w:val="24"/>
        </w:rPr>
        <w:t>2</w:t>
      </w:r>
      <w:r w:rsidRPr="000D4290">
        <w:rPr>
          <w:rFonts w:ascii="Times New Roman" w:hAnsi="Times New Roman" w:cs="Times New Roman"/>
          <w:sz w:val="24"/>
          <w:szCs w:val="24"/>
        </w:rPr>
        <w:t xml:space="preserve">). </w:t>
      </w:r>
      <w:r w:rsidR="00FC08F1" w:rsidRPr="000D4290">
        <w:rPr>
          <w:rFonts w:ascii="Times New Roman" w:hAnsi="Times New Roman" w:cs="Times New Roman"/>
          <w:i/>
          <w:iCs/>
          <w:sz w:val="24"/>
          <w:szCs w:val="24"/>
        </w:rPr>
        <w:t>NIST Special Publication 800-61</w:t>
      </w:r>
      <w:r w:rsidR="00E94458">
        <w:rPr>
          <w:rFonts w:ascii="Times New Roman" w:hAnsi="Times New Roman" w:cs="Times New Roman"/>
          <w:i/>
          <w:iCs/>
          <w:sz w:val="24"/>
          <w:szCs w:val="24"/>
        </w:rPr>
        <w:t xml:space="preserve"> </w:t>
      </w:r>
      <w:r w:rsidR="00FC08F1" w:rsidRPr="000D4290">
        <w:rPr>
          <w:rFonts w:ascii="Times New Roman" w:hAnsi="Times New Roman" w:cs="Times New Roman"/>
          <w:i/>
          <w:iCs/>
          <w:sz w:val="24"/>
          <w:szCs w:val="24"/>
        </w:rPr>
        <w:t>Revision 2</w:t>
      </w:r>
      <w:r w:rsidRPr="000D4290">
        <w:rPr>
          <w:rFonts w:ascii="Times New Roman" w:hAnsi="Times New Roman" w:cs="Times New Roman"/>
          <w:i/>
          <w:iCs/>
          <w:sz w:val="24"/>
          <w:szCs w:val="24"/>
        </w:rPr>
        <w:t xml:space="preserve">: </w:t>
      </w:r>
      <w:r w:rsidR="000D4290" w:rsidRPr="000D4290">
        <w:rPr>
          <w:rFonts w:ascii="Times New Roman" w:hAnsi="Times New Roman" w:cs="Times New Roman"/>
          <w:i/>
          <w:iCs/>
          <w:sz w:val="24"/>
          <w:szCs w:val="24"/>
        </w:rPr>
        <w:t>Computer Security Incident Handling</w:t>
      </w:r>
      <w:r w:rsidR="00E94458">
        <w:rPr>
          <w:rFonts w:ascii="Times New Roman" w:hAnsi="Times New Roman" w:cs="Times New Roman"/>
          <w:i/>
          <w:iCs/>
          <w:sz w:val="24"/>
          <w:szCs w:val="24"/>
        </w:rPr>
        <w:t xml:space="preserve"> </w:t>
      </w:r>
      <w:r w:rsidR="000D4290" w:rsidRPr="000D4290">
        <w:rPr>
          <w:rFonts w:ascii="Times New Roman" w:hAnsi="Times New Roman" w:cs="Times New Roman"/>
          <w:i/>
          <w:iCs/>
          <w:sz w:val="24"/>
          <w:szCs w:val="24"/>
        </w:rPr>
        <w:t>Guide</w:t>
      </w:r>
      <w:r w:rsidR="000D4290" w:rsidRPr="000D4290">
        <w:rPr>
          <w:rFonts w:ascii="Times New Roman" w:hAnsi="Times New Roman" w:cs="Times New Roman"/>
          <w:i/>
          <w:iCs/>
          <w:sz w:val="24"/>
          <w:szCs w:val="24"/>
        </w:rPr>
        <w:t>.</w:t>
      </w:r>
      <w:r w:rsidR="00022F63" w:rsidRPr="00022F63">
        <w:rPr>
          <w:rFonts w:ascii="Times New Roman" w:hAnsi="Times New Roman" w:cs="Times New Roman"/>
        </w:rPr>
        <w:t xml:space="preserve"> </w:t>
      </w:r>
      <w:r w:rsidR="00022F63" w:rsidRPr="005C2A81">
        <w:rPr>
          <w:rFonts w:ascii="Times New Roman" w:hAnsi="Times New Roman" w:cs="Times New Roman"/>
        </w:rPr>
        <w:t>National Institute of Standards and Technology.</w:t>
      </w:r>
      <w:r w:rsidR="00022F63">
        <w:rPr>
          <w:rFonts w:ascii="Times New Roman" w:hAnsi="Times New Roman" w:cs="Times New Roman"/>
        </w:rPr>
        <w:t xml:space="preserve"> </w:t>
      </w:r>
      <w:hyperlink r:id="rId8" w:history="1">
        <w:r w:rsidR="00C504CE" w:rsidRPr="00EE43E4">
          <w:rPr>
            <w:rStyle w:val="Hyperlink"/>
            <w:rFonts w:ascii="Times New Roman" w:hAnsi="Times New Roman" w:cs="Times New Roman"/>
          </w:rPr>
          <w:t>http://nvlpubs.nist.gov/nistpubs/SpecialPublications/NIST.SP.800-61r2.pdf</w:t>
        </w:r>
      </w:hyperlink>
    </w:p>
    <w:p w14:paraId="1AEFF284" w14:textId="0ACAA07F" w:rsidR="00C504CE" w:rsidRPr="006F5A26" w:rsidRDefault="00C504CE" w:rsidP="006F5A26">
      <w:pPr>
        <w:spacing w:line="480" w:lineRule="auto"/>
        <w:rPr>
          <w:rFonts w:ascii="Times New Roman" w:hAnsi="Times New Roman" w:cs="Times New Roman"/>
          <w:i/>
          <w:iCs/>
          <w:sz w:val="24"/>
          <w:szCs w:val="24"/>
        </w:rPr>
      </w:pPr>
      <w:r w:rsidRPr="006F5A26">
        <w:rPr>
          <w:rFonts w:ascii="Times New Roman" w:hAnsi="Times New Roman" w:cs="Times New Roman"/>
          <w:sz w:val="24"/>
          <w:szCs w:val="24"/>
        </w:rPr>
        <w:t>National Institute of Standards and Technology (NIST). (20</w:t>
      </w:r>
      <w:r w:rsidR="003A40E4">
        <w:rPr>
          <w:rFonts w:ascii="Times New Roman" w:hAnsi="Times New Roman" w:cs="Times New Roman"/>
          <w:sz w:val="24"/>
          <w:szCs w:val="24"/>
        </w:rPr>
        <w:t>06</w:t>
      </w:r>
      <w:r w:rsidRPr="006F5A26">
        <w:rPr>
          <w:rFonts w:ascii="Times New Roman" w:hAnsi="Times New Roman" w:cs="Times New Roman"/>
          <w:sz w:val="24"/>
          <w:szCs w:val="24"/>
        </w:rPr>
        <w:t xml:space="preserve">). </w:t>
      </w:r>
      <w:r w:rsidRPr="006F5A26">
        <w:rPr>
          <w:rFonts w:ascii="Times New Roman" w:hAnsi="Times New Roman" w:cs="Times New Roman"/>
          <w:i/>
          <w:iCs/>
          <w:sz w:val="24"/>
          <w:szCs w:val="24"/>
        </w:rPr>
        <w:t>NIST Special Publication 800-</w:t>
      </w:r>
      <w:r w:rsidR="00DF6F54" w:rsidRPr="006F5A26">
        <w:rPr>
          <w:rFonts w:ascii="Times New Roman" w:hAnsi="Times New Roman" w:cs="Times New Roman"/>
          <w:i/>
          <w:iCs/>
          <w:sz w:val="24"/>
          <w:szCs w:val="24"/>
        </w:rPr>
        <w:t>86</w:t>
      </w:r>
      <w:r w:rsidRPr="006F5A26">
        <w:rPr>
          <w:rFonts w:ascii="Times New Roman" w:hAnsi="Times New Roman" w:cs="Times New Roman"/>
          <w:i/>
          <w:iCs/>
          <w:sz w:val="24"/>
          <w:szCs w:val="24"/>
        </w:rPr>
        <w:t xml:space="preserve">: </w:t>
      </w:r>
      <w:r w:rsidR="006F5A26" w:rsidRPr="006F5A26">
        <w:rPr>
          <w:rFonts w:ascii="Times New Roman" w:hAnsi="Times New Roman" w:cs="Times New Roman"/>
          <w:i/>
          <w:iCs/>
          <w:sz w:val="24"/>
          <w:szCs w:val="24"/>
        </w:rPr>
        <w:t>Guide to Integrating Forensic Techniques</w:t>
      </w:r>
      <w:r w:rsidR="006F5A26">
        <w:rPr>
          <w:rFonts w:ascii="Times New Roman" w:hAnsi="Times New Roman" w:cs="Times New Roman"/>
          <w:i/>
          <w:iCs/>
          <w:sz w:val="24"/>
          <w:szCs w:val="24"/>
        </w:rPr>
        <w:t xml:space="preserve"> </w:t>
      </w:r>
      <w:r w:rsidR="006F5A26" w:rsidRPr="006F5A26">
        <w:rPr>
          <w:rFonts w:ascii="Times New Roman" w:hAnsi="Times New Roman" w:cs="Times New Roman"/>
          <w:i/>
          <w:iCs/>
          <w:sz w:val="24"/>
          <w:szCs w:val="24"/>
        </w:rPr>
        <w:t>into Incident Response</w:t>
      </w:r>
      <w:r w:rsidRPr="006F5A26">
        <w:rPr>
          <w:rFonts w:ascii="Times New Roman" w:hAnsi="Times New Roman" w:cs="Times New Roman"/>
          <w:sz w:val="24"/>
          <w:szCs w:val="24"/>
        </w:rPr>
        <w:t xml:space="preserve">. National Institute of Standards and Technology. </w:t>
      </w:r>
      <w:hyperlink r:id="rId9" w:history="1">
        <w:r w:rsidR="00C240DE" w:rsidRPr="006F5A26">
          <w:rPr>
            <w:rStyle w:val="Hyperlink"/>
            <w:rFonts w:ascii="Times New Roman" w:hAnsi="Times New Roman" w:cs="Times New Roman"/>
            <w:sz w:val="24"/>
            <w:szCs w:val="24"/>
          </w:rPr>
          <w:t>http://csrc.nist.gov/publications/nistpubs/800-86/SP800-86.pdf</w:t>
        </w:r>
      </w:hyperlink>
    </w:p>
    <w:p w14:paraId="06405F5B" w14:textId="77777777" w:rsidR="00C240DE" w:rsidRPr="00E94458" w:rsidRDefault="00C240DE" w:rsidP="00C504CE">
      <w:pPr>
        <w:rPr>
          <w:rFonts w:ascii="Times New Roman" w:hAnsi="Times New Roman" w:cs="Times New Roman"/>
          <w:i/>
          <w:iCs/>
          <w:sz w:val="24"/>
          <w:szCs w:val="24"/>
        </w:rPr>
      </w:pPr>
    </w:p>
    <w:p w14:paraId="07354552" w14:textId="77777777" w:rsidR="00C504CE" w:rsidRPr="00E94458" w:rsidRDefault="00C504CE" w:rsidP="000D4290">
      <w:pPr>
        <w:rPr>
          <w:rFonts w:ascii="Times New Roman" w:hAnsi="Times New Roman" w:cs="Times New Roman"/>
          <w:i/>
          <w:iCs/>
          <w:sz w:val="24"/>
          <w:szCs w:val="24"/>
        </w:rPr>
      </w:pPr>
    </w:p>
    <w:sdt>
      <w:sdtPr>
        <w:id w:val="-573587230"/>
        <w:bibliography/>
      </w:sdtPr>
      <w:sdtEndPr>
        <w:rPr>
          <w:highlight w:val="yellow"/>
        </w:rPr>
      </w:sdtEndPr>
      <w:sdtContent>
        <w:p w14:paraId="68CE1720" w14:textId="330C580C" w:rsidR="00B02167" w:rsidRDefault="00B02167" w:rsidP="00B02167">
          <w:pPr>
            <w:spacing w:after="0" w:line="480" w:lineRule="auto"/>
            <w:ind w:left="720" w:hanging="720"/>
          </w:pPr>
          <w:r w:rsidRPr="00F95796">
            <w:rPr>
              <w:rFonts w:ascii="Times New Roman" w:hAnsi="Times New Roman" w:cs="Times New Roman"/>
              <w:sz w:val="24"/>
              <w:szCs w:val="24"/>
              <w:highlight w:val="yellow"/>
            </w:rPr>
            <w:fldChar w:fldCharType="begin"/>
          </w:r>
          <w:r w:rsidRPr="00F95796">
            <w:rPr>
              <w:rFonts w:ascii="Times New Roman" w:hAnsi="Times New Roman" w:cs="Times New Roman"/>
              <w:sz w:val="24"/>
              <w:szCs w:val="24"/>
              <w:highlight w:val="yellow"/>
            </w:rPr>
            <w:instrText xml:space="preserve"> BIBLIOGRAPHY </w:instrText>
          </w:r>
          <w:r w:rsidRPr="00F95796">
            <w:rPr>
              <w:rFonts w:ascii="Times New Roman" w:hAnsi="Times New Roman" w:cs="Times New Roman"/>
              <w:sz w:val="24"/>
              <w:szCs w:val="24"/>
              <w:highlight w:val="yellow"/>
            </w:rPr>
            <w:fldChar w:fldCharType="end"/>
          </w:r>
        </w:p>
      </w:sdtContent>
    </w:sdt>
    <w:p w14:paraId="7C6CAEE5" w14:textId="77777777" w:rsidR="00C91A2D" w:rsidRPr="00C91A2D" w:rsidRDefault="00C91A2D" w:rsidP="00C91A2D">
      <w:pPr>
        <w:spacing w:before="100" w:beforeAutospacing="1" w:after="100" w:afterAutospacing="1" w:line="480" w:lineRule="auto"/>
        <w:ind w:left="567" w:hanging="567"/>
        <w:rPr>
          <w:rFonts w:ascii="Times New Roman" w:eastAsia="Times New Roman" w:hAnsi="Times New Roman" w:cs="Times New Roman"/>
          <w:sz w:val="24"/>
          <w:szCs w:val="24"/>
        </w:rPr>
      </w:pPr>
    </w:p>
    <w:p w14:paraId="62F82D55" w14:textId="77777777" w:rsidR="00C91A2D" w:rsidRPr="006D5B22" w:rsidRDefault="00C91A2D" w:rsidP="006D5B22">
      <w:pPr>
        <w:spacing w:line="480" w:lineRule="auto"/>
        <w:rPr>
          <w:rStyle w:val="retrieved-from"/>
          <w:rFonts w:ascii="Times New Roman" w:hAnsi="Times New Roman" w:cs="Times New Roman"/>
          <w:color w:val="3C3C3C"/>
          <w:sz w:val="24"/>
          <w:szCs w:val="24"/>
          <w:shd w:val="clear" w:color="auto" w:fill="FAFAFA"/>
        </w:rPr>
      </w:pPr>
    </w:p>
    <w:p w14:paraId="3D2136B4" w14:textId="77777777" w:rsidR="006D5B22" w:rsidRDefault="006D5B22" w:rsidP="00FF1C21">
      <w:pPr>
        <w:spacing w:before="100" w:beforeAutospacing="1" w:after="100" w:afterAutospacing="1" w:line="480" w:lineRule="auto"/>
        <w:ind w:left="567" w:hanging="567"/>
        <w:rPr>
          <w:rFonts w:ascii="Times New Roman" w:eastAsia="Times New Roman" w:hAnsi="Times New Roman" w:cs="Times New Roman"/>
          <w:sz w:val="24"/>
          <w:szCs w:val="24"/>
        </w:rPr>
      </w:pPr>
    </w:p>
    <w:p w14:paraId="3C883BB5" w14:textId="77777777" w:rsidR="00FF1C21" w:rsidRPr="00FF1C21" w:rsidRDefault="00FF1C21" w:rsidP="00FF1C21">
      <w:pPr>
        <w:spacing w:before="100" w:beforeAutospacing="1" w:after="100" w:afterAutospacing="1" w:line="240" w:lineRule="auto"/>
        <w:ind w:left="567" w:hanging="567"/>
        <w:rPr>
          <w:rFonts w:ascii="Times New Roman" w:eastAsia="Times New Roman" w:hAnsi="Times New Roman" w:cs="Times New Roman"/>
          <w:sz w:val="24"/>
          <w:szCs w:val="24"/>
        </w:rPr>
      </w:pPr>
    </w:p>
    <w:p w14:paraId="1AD30BDA" w14:textId="77777777" w:rsidR="00FF1C21" w:rsidRDefault="00FF1C21" w:rsidP="00D83EA9">
      <w:pPr>
        <w:spacing w:before="100" w:beforeAutospacing="1" w:after="100" w:afterAutospacing="1" w:line="480" w:lineRule="auto"/>
        <w:ind w:left="567" w:hanging="567"/>
        <w:rPr>
          <w:rFonts w:ascii="Times New Roman" w:eastAsia="Times New Roman" w:hAnsi="Times New Roman" w:cs="Times New Roman"/>
          <w:sz w:val="24"/>
          <w:szCs w:val="24"/>
        </w:rPr>
      </w:pPr>
    </w:p>
    <w:p w14:paraId="1C1BAFA5" w14:textId="5154E00D" w:rsidR="00D83EA9" w:rsidRPr="00D83EA9" w:rsidRDefault="00D83EA9" w:rsidP="00D83EA9">
      <w:pPr>
        <w:spacing w:before="100" w:beforeAutospacing="1" w:after="100" w:afterAutospacing="1"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8712C22" w14:textId="77777777" w:rsidR="00D83EA9" w:rsidRDefault="00D83EA9"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142AF203" w14:textId="77777777" w:rsidR="00EE54D5" w:rsidRPr="00EE54D5" w:rsidRDefault="00EE54D5"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3C113808" w14:textId="77777777" w:rsidR="00EE54D5" w:rsidRDefault="00EE54D5" w:rsidP="00EE54D5">
      <w:pPr>
        <w:spacing w:line="480" w:lineRule="auto"/>
        <w:rPr>
          <w:rFonts w:ascii="Times New Roman" w:hAnsi="Times New Roman" w:cs="Times New Roman"/>
          <w:sz w:val="24"/>
          <w:szCs w:val="24"/>
        </w:rPr>
      </w:pPr>
    </w:p>
    <w:p w14:paraId="2B019889" w14:textId="53770B54" w:rsidR="00267993" w:rsidRDefault="00267993" w:rsidP="00EF22AF">
      <w:pPr>
        <w:spacing w:line="480" w:lineRule="auto"/>
        <w:jc w:val="center"/>
        <w:rPr>
          <w:rFonts w:ascii="Times New Roman" w:hAnsi="Times New Roman" w:cs="Times New Roman"/>
          <w:sz w:val="24"/>
          <w:szCs w:val="24"/>
        </w:rPr>
      </w:pPr>
    </w:p>
    <w:p w14:paraId="40C74E03" w14:textId="1D13A32A" w:rsidR="00267993" w:rsidRDefault="00267993" w:rsidP="00EF22AF">
      <w:pPr>
        <w:spacing w:line="480" w:lineRule="auto"/>
        <w:jc w:val="center"/>
        <w:rPr>
          <w:rFonts w:ascii="Times New Roman" w:hAnsi="Times New Roman" w:cs="Times New Roman"/>
          <w:sz w:val="24"/>
          <w:szCs w:val="24"/>
        </w:rPr>
      </w:pPr>
    </w:p>
    <w:p w14:paraId="5D7DE59A" w14:textId="41DE31AB" w:rsidR="00267993" w:rsidRDefault="00267993" w:rsidP="00EF22AF">
      <w:pPr>
        <w:spacing w:line="480" w:lineRule="auto"/>
        <w:jc w:val="center"/>
        <w:rPr>
          <w:rFonts w:ascii="Times New Roman" w:hAnsi="Times New Roman" w:cs="Times New Roman"/>
          <w:sz w:val="24"/>
          <w:szCs w:val="24"/>
        </w:rPr>
      </w:pPr>
    </w:p>
    <w:p w14:paraId="0424361B" w14:textId="62E1CAEB" w:rsidR="00267993" w:rsidRDefault="00267993" w:rsidP="00EF22AF">
      <w:pPr>
        <w:spacing w:line="480" w:lineRule="auto"/>
        <w:jc w:val="center"/>
        <w:rPr>
          <w:rFonts w:ascii="Times New Roman" w:hAnsi="Times New Roman" w:cs="Times New Roman"/>
          <w:sz w:val="24"/>
          <w:szCs w:val="24"/>
        </w:rPr>
      </w:pPr>
    </w:p>
    <w:p w14:paraId="0B3275C3" w14:textId="29DC6BE5" w:rsidR="004E4C3F" w:rsidRDefault="004E4C3F" w:rsidP="00EF22AF">
      <w:pPr>
        <w:spacing w:line="480" w:lineRule="auto"/>
        <w:jc w:val="center"/>
        <w:rPr>
          <w:rFonts w:ascii="Times New Roman" w:hAnsi="Times New Roman" w:cs="Times New Roman"/>
          <w:sz w:val="24"/>
          <w:szCs w:val="24"/>
        </w:rPr>
      </w:pPr>
    </w:p>
    <w:sectPr w:rsidR="004E4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76FCA" w14:textId="77777777" w:rsidR="00553983" w:rsidRDefault="00553983" w:rsidP="00717680">
      <w:pPr>
        <w:spacing w:after="0" w:line="240" w:lineRule="auto"/>
      </w:pPr>
      <w:r>
        <w:separator/>
      </w:r>
    </w:p>
  </w:endnote>
  <w:endnote w:type="continuationSeparator" w:id="0">
    <w:p w14:paraId="54D58B4B" w14:textId="77777777" w:rsidR="00553983" w:rsidRDefault="00553983" w:rsidP="0071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11037" w14:textId="77777777" w:rsidR="00553983" w:rsidRDefault="00553983" w:rsidP="00717680">
      <w:pPr>
        <w:spacing w:after="0" w:line="240" w:lineRule="auto"/>
      </w:pPr>
      <w:r>
        <w:separator/>
      </w:r>
    </w:p>
  </w:footnote>
  <w:footnote w:type="continuationSeparator" w:id="0">
    <w:p w14:paraId="69A09FA3" w14:textId="77777777" w:rsidR="00553983" w:rsidRDefault="00553983" w:rsidP="0071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6543F"/>
    <w:multiLevelType w:val="multilevel"/>
    <w:tmpl w:val="562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B7B0C"/>
    <w:multiLevelType w:val="multilevel"/>
    <w:tmpl w:val="ADFE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3098C"/>
    <w:multiLevelType w:val="hybridMultilevel"/>
    <w:tmpl w:val="E8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85856"/>
    <w:multiLevelType w:val="multilevel"/>
    <w:tmpl w:val="2BC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3657E"/>
    <w:multiLevelType w:val="hybridMultilevel"/>
    <w:tmpl w:val="CE14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30531"/>
    <w:multiLevelType w:val="multilevel"/>
    <w:tmpl w:val="8D02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54D4C"/>
    <w:multiLevelType w:val="multilevel"/>
    <w:tmpl w:val="601E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A15A3"/>
    <w:multiLevelType w:val="multilevel"/>
    <w:tmpl w:val="74E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326088">
    <w:abstractNumId w:val="4"/>
  </w:num>
  <w:num w:numId="2" w16cid:durableId="971640164">
    <w:abstractNumId w:val="2"/>
  </w:num>
  <w:num w:numId="3" w16cid:durableId="1755786110">
    <w:abstractNumId w:val="0"/>
  </w:num>
  <w:num w:numId="4" w16cid:durableId="1635404016">
    <w:abstractNumId w:val="3"/>
  </w:num>
  <w:num w:numId="5" w16cid:durableId="406346795">
    <w:abstractNumId w:val="5"/>
  </w:num>
  <w:num w:numId="6" w16cid:durableId="2065056778">
    <w:abstractNumId w:val="1"/>
  </w:num>
  <w:num w:numId="7" w16cid:durableId="2087074351">
    <w:abstractNumId w:val="7"/>
  </w:num>
  <w:num w:numId="8" w16cid:durableId="631441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0"/>
    <w:rsid w:val="00013089"/>
    <w:rsid w:val="00013867"/>
    <w:rsid w:val="00022F63"/>
    <w:rsid w:val="00023967"/>
    <w:rsid w:val="00023B9D"/>
    <w:rsid w:val="00065659"/>
    <w:rsid w:val="00072311"/>
    <w:rsid w:val="000A4479"/>
    <w:rsid w:val="000A7584"/>
    <w:rsid w:val="000B55C3"/>
    <w:rsid w:val="000D2B2B"/>
    <w:rsid w:val="000D4290"/>
    <w:rsid w:val="000D4C0E"/>
    <w:rsid w:val="000E3B06"/>
    <w:rsid w:val="000E6BED"/>
    <w:rsid w:val="000F4A0B"/>
    <w:rsid w:val="000F6DE7"/>
    <w:rsid w:val="001073DE"/>
    <w:rsid w:val="00111C45"/>
    <w:rsid w:val="001454A3"/>
    <w:rsid w:val="00146896"/>
    <w:rsid w:val="00147BF6"/>
    <w:rsid w:val="00171AD0"/>
    <w:rsid w:val="00174F64"/>
    <w:rsid w:val="00181152"/>
    <w:rsid w:val="0018499D"/>
    <w:rsid w:val="00185C3E"/>
    <w:rsid w:val="0018798A"/>
    <w:rsid w:val="00187D26"/>
    <w:rsid w:val="00191963"/>
    <w:rsid w:val="001A5E49"/>
    <w:rsid w:val="001D177F"/>
    <w:rsid w:val="001D66BB"/>
    <w:rsid w:val="001E2E75"/>
    <w:rsid w:val="002065DF"/>
    <w:rsid w:val="00207F18"/>
    <w:rsid w:val="0021161E"/>
    <w:rsid w:val="00213BC0"/>
    <w:rsid w:val="00216EFF"/>
    <w:rsid w:val="00235B56"/>
    <w:rsid w:val="00260A3D"/>
    <w:rsid w:val="00261BDA"/>
    <w:rsid w:val="00264846"/>
    <w:rsid w:val="00266EA6"/>
    <w:rsid w:val="00267993"/>
    <w:rsid w:val="00270E8A"/>
    <w:rsid w:val="00281D9B"/>
    <w:rsid w:val="002902F3"/>
    <w:rsid w:val="00296989"/>
    <w:rsid w:val="002A26D5"/>
    <w:rsid w:val="002A6CB1"/>
    <w:rsid w:val="002B1356"/>
    <w:rsid w:val="002B60CE"/>
    <w:rsid w:val="002B6A19"/>
    <w:rsid w:val="002C5F0F"/>
    <w:rsid w:val="002D6738"/>
    <w:rsid w:val="002E3BA6"/>
    <w:rsid w:val="002F1622"/>
    <w:rsid w:val="002F302E"/>
    <w:rsid w:val="003049E7"/>
    <w:rsid w:val="00307161"/>
    <w:rsid w:val="00307AC3"/>
    <w:rsid w:val="0031263E"/>
    <w:rsid w:val="0032737D"/>
    <w:rsid w:val="00330D28"/>
    <w:rsid w:val="0035727A"/>
    <w:rsid w:val="00371004"/>
    <w:rsid w:val="003816C3"/>
    <w:rsid w:val="00384D01"/>
    <w:rsid w:val="003A2151"/>
    <w:rsid w:val="003A40E4"/>
    <w:rsid w:val="003B0311"/>
    <w:rsid w:val="003B5BB8"/>
    <w:rsid w:val="003B6C8D"/>
    <w:rsid w:val="003C3D56"/>
    <w:rsid w:val="003C76C6"/>
    <w:rsid w:val="003E2C1F"/>
    <w:rsid w:val="00401CA9"/>
    <w:rsid w:val="00436E7F"/>
    <w:rsid w:val="00444A5C"/>
    <w:rsid w:val="00456A95"/>
    <w:rsid w:val="00472775"/>
    <w:rsid w:val="00477FDC"/>
    <w:rsid w:val="004853C2"/>
    <w:rsid w:val="00487BBC"/>
    <w:rsid w:val="00490BD3"/>
    <w:rsid w:val="00497059"/>
    <w:rsid w:val="00497924"/>
    <w:rsid w:val="004A0430"/>
    <w:rsid w:val="004B781F"/>
    <w:rsid w:val="004C6355"/>
    <w:rsid w:val="004D6A91"/>
    <w:rsid w:val="004E4C3F"/>
    <w:rsid w:val="004E759F"/>
    <w:rsid w:val="004F599A"/>
    <w:rsid w:val="005176DE"/>
    <w:rsid w:val="00542901"/>
    <w:rsid w:val="00546C4C"/>
    <w:rsid w:val="0054787E"/>
    <w:rsid w:val="00547BB4"/>
    <w:rsid w:val="00553983"/>
    <w:rsid w:val="0055666C"/>
    <w:rsid w:val="00583DC2"/>
    <w:rsid w:val="00584718"/>
    <w:rsid w:val="0058796F"/>
    <w:rsid w:val="00592BC9"/>
    <w:rsid w:val="005A29D0"/>
    <w:rsid w:val="005A64E2"/>
    <w:rsid w:val="005A6AB7"/>
    <w:rsid w:val="005D55EE"/>
    <w:rsid w:val="005E2448"/>
    <w:rsid w:val="005F1267"/>
    <w:rsid w:val="006020BE"/>
    <w:rsid w:val="00607A68"/>
    <w:rsid w:val="00607D8E"/>
    <w:rsid w:val="0061401F"/>
    <w:rsid w:val="006140BF"/>
    <w:rsid w:val="00622AC6"/>
    <w:rsid w:val="0064163D"/>
    <w:rsid w:val="00662552"/>
    <w:rsid w:val="00666507"/>
    <w:rsid w:val="00672F0C"/>
    <w:rsid w:val="006C3A8B"/>
    <w:rsid w:val="006C78FC"/>
    <w:rsid w:val="006D40F1"/>
    <w:rsid w:val="006D5B22"/>
    <w:rsid w:val="006E0F7E"/>
    <w:rsid w:val="006F20F0"/>
    <w:rsid w:val="006F24BC"/>
    <w:rsid w:val="006F5A26"/>
    <w:rsid w:val="00702B33"/>
    <w:rsid w:val="00703CD0"/>
    <w:rsid w:val="007123E7"/>
    <w:rsid w:val="007144B5"/>
    <w:rsid w:val="00717680"/>
    <w:rsid w:val="00727692"/>
    <w:rsid w:val="0073029E"/>
    <w:rsid w:val="00733A15"/>
    <w:rsid w:val="00743089"/>
    <w:rsid w:val="00764645"/>
    <w:rsid w:val="007646FD"/>
    <w:rsid w:val="00770817"/>
    <w:rsid w:val="00773E73"/>
    <w:rsid w:val="00796AF6"/>
    <w:rsid w:val="00797893"/>
    <w:rsid w:val="007B428C"/>
    <w:rsid w:val="007B4E4F"/>
    <w:rsid w:val="007C24C2"/>
    <w:rsid w:val="007C7DD5"/>
    <w:rsid w:val="007E01D8"/>
    <w:rsid w:val="007E120A"/>
    <w:rsid w:val="007E71A1"/>
    <w:rsid w:val="007F5304"/>
    <w:rsid w:val="00810D62"/>
    <w:rsid w:val="00813B55"/>
    <w:rsid w:val="00814F93"/>
    <w:rsid w:val="0083330C"/>
    <w:rsid w:val="008453F5"/>
    <w:rsid w:val="008505EC"/>
    <w:rsid w:val="008522BB"/>
    <w:rsid w:val="00880A2B"/>
    <w:rsid w:val="00883AA4"/>
    <w:rsid w:val="00887712"/>
    <w:rsid w:val="0089643C"/>
    <w:rsid w:val="008A6D26"/>
    <w:rsid w:val="008B42B5"/>
    <w:rsid w:val="008C0636"/>
    <w:rsid w:val="008E2975"/>
    <w:rsid w:val="008F7430"/>
    <w:rsid w:val="00904C98"/>
    <w:rsid w:val="00912BD6"/>
    <w:rsid w:val="00926F06"/>
    <w:rsid w:val="00935A64"/>
    <w:rsid w:val="00946049"/>
    <w:rsid w:val="00950ED9"/>
    <w:rsid w:val="00960F3B"/>
    <w:rsid w:val="00964EE3"/>
    <w:rsid w:val="00970544"/>
    <w:rsid w:val="00986F74"/>
    <w:rsid w:val="0099652A"/>
    <w:rsid w:val="009A168E"/>
    <w:rsid w:val="009A18D7"/>
    <w:rsid w:val="009A6005"/>
    <w:rsid w:val="009B6AF5"/>
    <w:rsid w:val="009D0222"/>
    <w:rsid w:val="009D2373"/>
    <w:rsid w:val="009D33D1"/>
    <w:rsid w:val="009D7669"/>
    <w:rsid w:val="009E1C17"/>
    <w:rsid w:val="009E2C29"/>
    <w:rsid w:val="009E777B"/>
    <w:rsid w:val="009F2BFA"/>
    <w:rsid w:val="009F5C5B"/>
    <w:rsid w:val="00A0391F"/>
    <w:rsid w:val="00A1407C"/>
    <w:rsid w:val="00A1518A"/>
    <w:rsid w:val="00A16E3A"/>
    <w:rsid w:val="00A3472D"/>
    <w:rsid w:val="00A35F77"/>
    <w:rsid w:val="00A4057E"/>
    <w:rsid w:val="00A43BCC"/>
    <w:rsid w:val="00A54412"/>
    <w:rsid w:val="00A61CDD"/>
    <w:rsid w:val="00A8491F"/>
    <w:rsid w:val="00A926A9"/>
    <w:rsid w:val="00AA44EA"/>
    <w:rsid w:val="00AB0855"/>
    <w:rsid w:val="00AB7FC7"/>
    <w:rsid w:val="00AC31E6"/>
    <w:rsid w:val="00AD256B"/>
    <w:rsid w:val="00AD55CB"/>
    <w:rsid w:val="00AF7E35"/>
    <w:rsid w:val="00B02167"/>
    <w:rsid w:val="00B065CC"/>
    <w:rsid w:val="00B105B6"/>
    <w:rsid w:val="00B20D2A"/>
    <w:rsid w:val="00B227EE"/>
    <w:rsid w:val="00B25844"/>
    <w:rsid w:val="00B34340"/>
    <w:rsid w:val="00B34E66"/>
    <w:rsid w:val="00B45589"/>
    <w:rsid w:val="00B60418"/>
    <w:rsid w:val="00B6195C"/>
    <w:rsid w:val="00B61E93"/>
    <w:rsid w:val="00B66417"/>
    <w:rsid w:val="00B7276F"/>
    <w:rsid w:val="00B7288A"/>
    <w:rsid w:val="00B730DF"/>
    <w:rsid w:val="00B8292F"/>
    <w:rsid w:val="00B85B07"/>
    <w:rsid w:val="00B95291"/>
    <w:rsid w:val="00B96E05"/>
    <w:rsid w:val="00BA01D3"/>
    <w:rsid w:val="00BC7F57"/>
    <w:rsid w:val="00BD2943"/>
    <w:rsid w:val="00BE5172"/>
    <w:rsid w:val="00BF1943"/>
    <w:rsid w:val="00C07D19"/>
    <w:rsid w:val="00C16A16"/>
    <w:rsid w:val="00C17DE9"/>
    <w:rsid w:val="00C240DE"/>
    <w:rsid w:val="00C32749"/>
    <w:rsid w:val="00C32A7E"/>
    <w:rsid w:val="00C33325"/>
    <w:rsid w:val="00C4309A"/>
    <w:rsid w:val="00C504CE"/>
    <w:rsid w:val="00C528C7"/>
    <w:rsid w:val="00C532ED"/>
    <w:rsid w:val="00C55C36"/>
    <w:rsid w:val="00C611F8"/>
    <w:rsid w:val="00C70AAE"/>
    <w:rsid w:val="00C70CB5"/>
    <w:rsid w:val="00C76B0A"/>
    <w:rsid w:val="00C87D9D"/>
    <w:rsid w:val="00C917BE"/>
    <w:rsid w:val="00C91A2D"/>
    <w:rsid w:val="00C953EF"/>
    <w:rsid w:val="00C967C3"/>
    <w:rsid w:val="00CC5B26"/>
    <w:rsid w:val="00CF69E6"/>
    <w:rsid w:val="00D10DE4"/>
    <w:rsid w:val="00D13664"/>
    <w:rsid w:val="00D24811"/>
    <w:rsid w:val="00D27308"/>
    <w:rsid w:val="00D33A49"/>
    <w:rsid w:val="00D3456B"/>
    <w:rsid w:val="00D37A44"/>
    <w:rsid w:val="00D51866"/>
    <w:rsid w:val="00D66FD1"/>
    <w:rsid w:val="00D83EA9"/>
    <w:rsid w:val="00D906CE"/>
    <w:rsid w:val="00D942E1"/>
    <w:rsid w:val="00D9573A"/>
    <w:rsid w:val="00D97D3C"/>
    <w:rsid w:val="00DA1E6A"/>
    <w:rsid w:val="00DA5D2E"/>
    <w:rsid w:val="00DB03D7"/>
    <w:rsid w:val="00DB4164"/>
    <w:rsid w:val="00DB430B"/>
    <w:rsid w:val="00DE018C"/>
    <w:rsid w:val="00DE4AE2"/>
    <w:rsid w:val="00DE7A27"/>
    <w:rsid w:val="00DF6F54"/>
    <w:rsid w:val="00E02371"/>
    <w:rsid w:val="00E16012"/>
    <w:rsid w:val="00E24980"/>
    <w:rsid w:val="00E32357"/>
    <w:rsid w:val="00E34412"/>
    <w:rsid w:val="00E36B75"/>
    <w:rsid w:val="00E41B31"/>
    <w:rsid w:val="00E54F84"/>
    <w:rsid w:val="00E61D56"/>
    <w:rsid w:val="00E73907"/>
    <w:rsid w:val="00E76BF9"/>
    <w:rsid w:val="00E80D6A"/>
    <w:rsid w:val="00E81F2C"/>
    <w:rsid w:val="00E83CDF"/>
    <w:rsid w:val="00E903CC"/>
    <w:rsid w:val="00E90726"/>
    <w:rsid w:val="00E91435"/>
    <w:rsid w:val="00E94458"/>
    <w:rsid w:val="00EB3ED8"/>
    <w:rsid w:val="00EE54D5"/>
    <w:rsid w:val="00EF22AF"/>
    <w:rsid w:val="00EF5269"/>
    <w:rsid w:val="00EF6CB9"/>
    <w:rsid w:val="00F02A83"/>
    <w:rsid w:val="00F045B6"/>
    <w:rsid w:val="00F126BD"/>
    <w:rsid w:val="00F21575"/>
    <w:rsid w:val="00F226C4"/>
    <w:rsid w:val="00F36EB4"/>
    <w:rsid w:val="00F42DCC"/>
    <w:rsid w:val="00F44096"/>
    <w:rsid w:val="00F56BB3"/>
    <w:rsid w:val="00F573B0"/>
    <w:rsid w:val="00F672C9"/>
    <w:rsid w:val="00F87AB5"/>
    <w:rsid w:val="00F93AC4"/>
    <w:rsid w:val="00F95796"/>
    <w:rsid w:val="00FA4F74"/>
    <w:rsid w:val="00FB3D22"/>
    <w:rsid w:val="00FB4FB1"/>
    <w:rsid w:val="00FB67F8"/>
    <w:rsid w:val="00FB701B"/>
    <w:rsid w:val="00FC08F1"/>
    <w:rsid w:val="00FC38E5"/>
    <w:rsid w:val="00FC3A43"/>
    <w:rsid w:val="00FC78F6"/>
    <w:rsid w:val="00FE2D5D"/>
    <w:rsid w:val="00FF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0B5F"/>
  <w15:chartTrackingRefBased/>
  <w15:docId w15:val="{2A99DAF6-90F4-48BE-89DF-CC9D0CD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B5"/>
  </w:style>
  <w:style w:type="paragraph" w:styleId="Heading1">
    <w:name w:val="heading 1"/>
    <w:basedOn w:val="Normal"/>
    <w:next w:val="Normal"/>
    <w:link w:val="Heading1Char"/>
    <w:uiPriority w:val="9"/>
    <w:qFormat/>
    <w:rsid w:val="007144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4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44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80"/>
  </w:style>
  <w:style w:type="paragraph" w:styleId="Footer">
    <w:name w:val="footer"/>
    <w:basedOn w:val="Normal"/>
    <w:link w:val="FooterChar"/>
    <w:uiPriority w:val="99"/>
    <w:unhideWhenUsed/>
    <w:rsid w:val="0071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80"/>
  </w:style>
  <w:style w:type="character" w:customStyle="1" w:styleId="Heading1Char">
    <w:name w:val="Heading 1 Char"/>
    <w:basedOn w:val="DefaultParagraphFont"/>
    <w:link w:val="Heading1"/>
    <w:uiPriority w:val="9"/>
    <w:rsid w:val="00714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4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4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4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4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4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44B5"/>
    <w:pPr>
      <w:spacing w:line="240" w:lineRule="auto"/>
    </w:pPr>
    <w:rPr>
      <w:b/>
      <w:bCs/>
      <w:smallCaps/>
      <w:color w:val="44546A" w:themeColor="text2"/>
    </w:rPr>
  </w:style>
  <w:style w:type="paragraph" w:styleId="Title">
    <w:name w:val="Title"/>
    <w:basedOn w:val="Normal"/>
    <w:next w:val="Normal"/>
    <w:link w:val="TitleChar"/>
    <w:uiPriority w:val="10"/>
    <w:qFormat/>
    <w:rsid w:val="007144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4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4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paragraph" w:styleId="NoSpacing">
    <w:name w:val="No Spacing"/>
    <w:uiPriority w:val="1"/>
    <w:qFormat/>
    <w:rsid w:val="007144B5"/>
    <w:pPr>
      <w:spacing w:after="0" w:line="240" w:lineRule="auto"/>
    </w:pPr>
  </w:style>
  <w:style w:type="paragraph" w:styleId="Quote">
    <w:name w:val="Quote"/>
    <w:basedOn w:val="Normal"/>
    <w:next w:val="Normal"/>
    <w:link w:val="QuoteChar"/>
    <w:uiPriority w:val="29"/>
    <w:qFormat/>
    <w:rsid w:val="007144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44B5"/>
    <w:rPr>
      <w:color w:val="44546A" w:themeColor="text2"/>
      <w:sz w:val="24"/>
      <w:szCs w:val="24"/>
    </w:rPr>
  </w:style>
  <w:style w:type="paragraph" w:styleId="IntenseQuote">
    <w:name w:val="Intense Quote"/>
    <w:basedOn w:val="Normal"/>
    <w:next w:val="Normal"/>
    <w:link w:val="IntenseQuoteChar"/>
    <w:uiPriority w:val="30"/>
    <w:qFormat/>
    <w:rsid w:val="007144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4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paragraph" w:styleId="TOCHeading">
    <w:name w:val="TOC Heading"/>
    <w:basedOn w:val="Heading1"/>
    <w:next w:val="Normal"/>
    <w:uiPriority w:val="39"/>
    <w:semiHidden/>
    <w:unhideWhenUsed/>
    <w:qFormat/>
    <w:rsid w:val="007144B5"/>
    <w:pPr>
      <w:outlineLvl w:val="9"/>
    </w:pPr>
  </w:style>
  <w:style w:type="paragraph" w:styleId="NormalWeb">
    <w:name w:val="Normal (Web)"/>
    <w:basedOn w:val="Normal"/>
    <w:uiPriority w:val="99"/>
    <w:semiHidden/>
    <w:unhideWhenUsed/>
    <w:rsid w:val="00C5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rsid w:val="00C532ED"/>
    <w:rPr>
      <w:color w:val="605E5C"/>
      <w:shd w:val="clear" w:color="auto" w:fill="E1DFDD"/>
    </w:rPr>
  </w:style>
  <w:style w:type="paragraph" w:styleId="ListParagraph">
    <w:name w:val="List Paragraph"/>
    <w:basedOn w:val="Normal"/>
    <w:uiPriority w:val="34"/>
    <w:qFormat/>
    <w:rsid w:val="00887712"/>
    <w:pPr>
      <w:ind w:left="720"/>
      <w:contextualSpacing/>
    </w:pPr>
  </w:style>
  <w:style w:type="character" w:customStyle="1" w:styleId="retrieved-from">
    <w:name w:val="retrieved-from"/>
    <w:basedOn w:val="DefaultParagraphFont"/>
    <w:rsid w:val="002F302E"/>
  </w:style>
  <w:style w:type="table" w:styleId="TableGrid">
    <w:name w:val="Table Grid"/>
    <w:basedOn w:val="TableNormal"/>
    <w:uiPriority w:val="39"/>
    <w:rsid w:val="00F56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6562">
      <w:bodyDiv w:val="1"/>
      <w:marLeft w:val="0"/>
      <w:marRight w:val="0"/>
      <w:marTop w:val="0"/>
      <w:marBottom w:val="0"/>
      <w:divBdr>
        <w:top w:val="none" w:sz="0" w:space="0" w:color="auto"/>
        <w:left w:val="none" w:sz="0" w:space="0" w:color="auto"/>
        <w:bottom w:val="none" w:sz="0" w:space="0" w:color="auto"/>
        <w:right w:val="none" w:sz="0" w:space="0" w:color="auto"/>
      </w:divBdr>
    </w:div>
    <w:div w:id="39208382">
      <w:bodyDiv w:val="1"/>
      <w:marLeft w:val="0"/>
      <w:marRight w:val="0"/>
      <w:marTop w:val="0"/>
      <w:marBottom w:val="0"/>
      <w:divBdr>
        <w:top w:val="none" w:sz="0" w:space="0" w:color="auto"/>
        <w:left w:val="none" w:sz="0" w:space="0" w:color="auto"/>
        <w:bottom w:val="none" w:sz="0" w:space="0" w:color="auto"/>
        <w:right w:val="none" w:sz="0" w:space="0" w:color="auto"/>
      </w:divBdr>
    </w:div>
    <w:div w:id="109083332">
      <w:bodyDiv w:val="1"/>
      <w:marLeft w:val="0"/>
      <w:marRight w:val="0"/>
      <w:marTop w:val="0"/>
      <w:marBottom w:val="0"/>
      <w:divBdr>
        <w:top w:val="none" w:sz="0" w:space="0" w:color="auto"/>
        <w:left w:val="none" w:sz="0" w:space="0" w:color="auto"/>
        <w:bottom w:val="none" w:sz="0" w:space="0" w:color="auto"/>
        <w:right w:val="none" w:sz="0" w:space="0" w:color="auto"/>
      </w:divBdr>
    </w:div>
    <w:div w:id="156458282">
      <w:bodyDiv w:val="1"/>
      <w:marLeft w:val="0"/>
      <w:marRight w:val="0"/>
      <w:marTop w:val="0"/>
      <w:marBottom w:val="0"/>
      <w:divBdr>
        <w:top w:val="none" w:sz="0" w:space="0" w:color="auto"/>
        <w:left w:val="none" w:sz="0" w:space="0" w:color="auto"/>
        <w:bottom w:val="none" w:sz="0" w:space="0" w:color="auto"/>
        <w:right w:val="none" w:sz="0" w:space="0" w:color="auto"/>
      </w:divBdr>
    </w:div>
    <w:div w:id="163862003">
      <w:bodyDiv w:val="1"/>
      <w:marLeft w:val="0"/>
      <w:marRight w:val="0"/>
      <w:marTop w:val="0"/>
      <w:marBottom w:val="0"/>
      <w:divBdr>
        <w:top w:val="none" w:sz="0" w:space="0" w:color="auto"/>
        <w:left w:val="none" w:sz="0" w:space="0" w:color="auto"/>
        <w:bottom w:val="none" w:sz="0" w:space="0" w:color="auto"/>
        <w:right w:val="none" w:sz="0" w:space="0" w:color="auto"/>
      </w:divBdr>
    </w:div>
    <w:div w:id="206376084">
      <w:bodyDiv w:val="1"/>
      <w:marLeft w:val="0"/>
      <w:marRight w:val="0"/>
      <w:marTop w:val="0"/>
      <w:marBottom w:val="0"/>
      <w:divBdr>
        <w:top w:val="none" w:sz="0" w:space="0" w:color="auto"/>
        <w:left w:val="none" w:sz="0" w:space="0" w:color="auto"/>
        <w:bottom w:val="none" w:sz="0" w:space="0" w:color="auto"/>
        <w:right w:val="none" w:sz="0" w:space="0" w:color="auto"/>
      </w:divBdr>
    </w:div>
    <w:div w:id="226721067">
      <w:bodyDiv w:val="1"/>
      <w:marLeft w:val="0"/>
      <w:marRight w:val="0"/>
      <w:marTop w:val="0"/>
      <w:marBottom w:val="0"/>
      <w:divBdr>
        <w:top w:val="none" w:sz="0" w:space="0" w:color="auto"/>
        <w:left w:val="none" w:sz="0" w:space="0" w:color="auto"/>
        <w:bottom w:val="none" w:sz="0" w:space="0" w:color="auto"/>
        <w:right w:val="none" w:sz="0" w:space="0" w:color="auto"/>
      </w:divBdr>
    </w:div>
    <w:div w:id="423454839">
      <w:bodyDiv w:val="1"/>
      <w:marLeft w:val="0"/>
      <w:marRight w:val="0"/>
      <w:marTop w:val="0"/>
      <w:marBottom w:val="0"/>
      <w:divBdr>
        <w:top w:val="none" w:sz="0" w:space="0" w:color="auto"/>
        <w:left w:val="none" w:sz="0" w:space="0" w:color="auto"/>
        <w:bottom w:val="none" w:sz="0" w:space="0" w:color="auto"/>
        <w:right w:val="none" w:sz="0" w:space="0" w:color="auto"/>
      </w:divBdr>
    </w:div>
    <w:div w:id="463699380">
      <w:bodyDiv w:val="1"/>
      <w:marLeft w:val="0"/>
      <w:marRight w:val="0"/>
      <w:marTop w:val="0"/>
      <w:marBottom w:val="0"/>
      <w:divBdr>
        <w:top w:val="none" w:sz="0" w:space="0" w:color="auto"/>
        <w:left w:val="none" w:sz="0" w:space="0" w:color="auto"/>
        <w:bottom w:val="none" w:sz="0" w:space="0" w:color="auto"/>
        <w:right w:val="none" w:sz="0" w:space="0" w:color="auto"/>
      </w:divBdr>
    </w:div>
    <w:div w:id="542643172">
      <w:bodyDiv w:val="1"/>
      <w:marLeft w:val="0"/>
      <w:marRight w:val="0"/>
      <w:marTop w:val="0"/>
      <w:marBottom w:val="0"/>
      <w:divBdr>
        <w:top w:val="none" w:sz="0" w:space="0" w:color="auto"/>
        <w:left w:val="none" w:sz="0" w:space="0" w:color="auto"/>
        <w:bottom w:val="none" w:sz="0" w:space="0" w:color="auto"/>
        <w:right w:val="none" w:sz="0" w:space="0" w:color="auto"/>
      </w:divBdr>
    </w:div>
    <w:div w:id="764619024">
      <w:bodyDiv w:val="1"/>
      <w:marLeft w:val="0"/>
      <w:marRight w:val="0"/>
      <w:marTop w:val="0"/>
      <w:marBottom w:val="0"/>
      <w:divBdr>
        <w:top w:val="none" w:sz="0" w:space="0" w:color="auto"/>
        <w:left w:val="none" w:sz="0" w:space="0" w:color="auto"/>
        <w:bottom w:val="none" w:sz="0" w:space="0" w:color="auto"/>
        <w:right w:val="none" w:sz="0" w:space="0" w:color="auto"/>
      </w:divBdr>
    </w:div>
    <w:div w:id="805588452">
      <w:bodyDiv w:val="1"/>
      <w:marLeft w:val="0"/>
      <w:marRight w:val="0"/>
      <w:marTop w:val="0"/>
      <w:marBottom w:val="0"/>
      <w:divBdr>
        <w:top w:val="none" w:sz="0" w:space="0" w:color="auto"/>
        <w:left w:val="none" w:sz="0" w:space="0" w:color="auto"/>
        <w:bottom w:val="none" w:sz="0" w:space="0" w:color="auto"/>
        <w:right w:val="none" w:sz="0" w:space="0" w:color="auto"/>
      </w:divBdr>
    </w:div>
    <w:div w:id="810370696">
      <w:bodyDiv w:val="1"/>
      <w:marLeft w:val="0"/>
      <w:marRight w:val="0"/>
      <w:marTop w:val="0"/>
      <w:marBottom w:val="0"/>
      <w:divBdr>
        <w:top w:val="none" w:sz="0" w:space="0" w:color="auto"/>
        <w:left w:val="none" w:sz="0" w:space="0" w:color="auto"/>
        <w:bottom w:val="none" w:sz="0" w:space="0" w:color="auto"/>
        <w:right w:val="none" w:sz="0" w:space="0" w:color="auto"/>
      </w:divBdr>
    </w:div>
    <w:div w:id="833951439">
      <w:bodyDiv w:val="1"/>
      <w:marLeft w:val="0"/>
      <w:marRight w:val="0"/>
      <w:marTop w:val="0"/>
      <w:marBottom w:val="0"/>
      <w:divBdr>
        <w:top w:val="none" w:sz="0" w:space="0" w:color="auto"/>
        <w:left w:val="none" w:sz="0" w:space="0" w:color="auto"/>
        <w:bottom w:val="none" w:sz="0" w:space="0" w:color="auto"/>
        <w:right w:val="none" w:sz="0" w:space="0" w:color="auto"/>
      </w:divBdr>
    </w:div>
    <w:div w:id="939097013">
      <w:bodyDiv w:val="1"/>
      <w:marLeft w:val="0"/>
      <w:marRight w:val="0"/>
      <w:marTop w:val="0"/>
      <w:marBottom w:val="0"/>
      <w:divBdr>
        <w:top w:val="none" w:sz="0" w:space="0" w:color="auto"/>
        <w:left w:val="none" w:sz="0" w:space="0" w:color="auto"/>
        <w:bottom w:val="none" w:sz="0" w:space="0" w:color="auto"/>
        <w:right w:val="none" w:sz="0" w:space="0" w:color="auto"/>
      </w:divBdr>
    </w:div>
    <w:div w:id="943534137">
      <w:bodyDiv w:val="1"/>
      <w:marLeft w:val="0"/>
      <w:marRight w:val="0"/>
      <w:marTop w:val="0"/>
      <w:marBottom w:val="0"/>
      <w:divBdr>
        <w:top w:val="none" w:sz="0" w:space="0" w:color="auto"/>
        <w:left w:val="none" w:sz="0" w:space="0" w:color="auto"/>
        <w:bottom w:val="none" w:sz="0" w:space="0" w:color="auto"/>
        <w:right w:val="none" w:sz="0" w:space="0" w:color="auto"/>
      </w:divBdr>
    </w:div>
    <w:div w:id="1052272165">
      <w:bodyDiv w:val="1"/>
      <w:marLeft w:val="0"/>
      <w:marRight w:val="0"/>
      <w:marTop w:val="0"/>
      <w:marBottom w:val="0"/>
      <w:divBdr>
        <w:top w:val="none" w:sz="0" w:space="0" w:color="auto"/>
        <w:left w:val="none" w:sz="0" w:space="0" w:color="auto"/>
        <w:bottom w:val="none" w:sz="0" w:space="0" w:color="auto"/>
        <w:right w:val="none" w:sz="0" w:space="0" w:color="auto"/>
      </w:divBdr>
    </w:div>
    <w:div w:id="1117335079">
      <w:bodyDiv w:val="1"/>
      <w:marLeft w:val="0"/>
      <w:marRight w:val="0"/>
      <w:marTop w:val="0"/>
      <w:marBottom w:val="0"/>
      <w:divBdr>
        <w:top w:val="none" w:sz="0" w:space="0" w:color="auto"/>
        <w:left w:val="none" w:sz="0" w:space="0" w:color="auto"/>
        <w:bottom w:val="none" w:sz="0" w:space="0" w:color="auto"/>
        <w:right w:val="none" w:sz="0" w:space="0" w:color="auto"/>
      </w:divBdr>
    </w:div>
    <w:div w:id="1304966430">
      <w:bodyDiv w:val="1"/>
      <w:marLeft w:val="0"/>
      <w:marRight w:val="0"/>
      <w:marTop w:val="0"/>
      <w:marBottom w:val="0"/>
      <w:divBdr>
        <w:top w:val="none" w:sz="0" w:space="0" w:color="auto"/>
        <w:left w:val="none" w:sz="0" w:space="0" w:color="auto"/>
        <w:bottom w:val="none" w:sz="0" w:space="0" w:color="auto"/>
        <w:right w:val="none" w:sz="0" w:space="0" w:color="auto"/>
      </w:divBdr>
    </w:div>
    <w:div w:id="1531724222">
      <w:bodyDiv w:val="1"/>
      <w:marLeft w:val="0"/>
      <w:marRight w:val="0"/>
      <w:marTop w:val="0"/>
      <w:marBottom w:val="0"/>
      <w:divBdr>
        <w:top w:val="none" w:sz="0" w:space="0" w:color="auto"/>
        <w:left w:val="none" w:sz="0" w:space="0" w:color="auto"/>
        <w:bottom w:val="none" w:sz="0" w:space="0" w:color="auto"/>
        <w:right w:val="none" w:sz="0" w:space="0" w:color="auto"/>
      </w:divBdr>
    </w:div>
    <w:div w:id="1537426438">
      <w:bodyDiv w:val="1"/>
      <w:marLeft w:val="0"/>
      <w:marRight w:val="0"/>
      <w:marTop w:val="0"/>
      <w:marBottom w:val="0"/>
      <w:divBdr>
        <w:top w:val="none" w:sz="0" w:space="0" w:color="auto"/>
        <w:left w:val="none" w:sz="0" w:space="0" w:color="auto"/>
        <w:bottom w:val="none" w:sz="0" w:space="0" w:color="auto"/>
        <w:right w:val="none" w:sz="0" w:space="0" w:color="auto"/>
      </w:divBdr>
    </w:div>
    <w:div w:id="1546987468">
      <w:bodyDiv w:val="1"/>
      <w:marLeft w:val="0"/>
      <w:marRight w:val="0"/>
      <w:marTop w:val="0"/>
      <w:marBottom w:val="0"/>
      <w:divBdr>
        <w:top w:val="none" w:sz="0" w:space="0" w:color="auto"/>
        <w:left w:val="none" w:sz="0" w:space="0" w:color="auto"/>
        <w:bottom w:val="none" w:sz="0" w:space="0" w:color="auto"/>
        <w:right w:val="none" w:sz="0" w:space="0" w:color="auto"/>
      </w:divBdr>
    </w:div>
    <w:div w:id="1622688968">
      <w:bodyDiv w:val="1"/>
      <w:marLeft w:val="0"/>
      <w:marRight w:val="0"/>
      <w:marTop w:val="0"/>
      <w:marBottom w:val="0"/>
      <w:divBdr>
        <w:top w:val="none" w:sz="0" w:space="0" w:color="auto"/>
        <w:left w:val="none" w:sz="0" w:space="0" w:color="auto"/>
        <w:bottom w:val="none" w:sz="0" w:space="0" w:color="auto"/>
        <w:right w:val="none" w:sz="0" w:space="0" w:color="auto"/>
      </w:divBdr>
    </w:div>
    <w:div w:id="1754935955">
      <w:bodyDiv w:val="1"/>
      <w:marLeft w:val="0"/>
      <w:marRight w:val="0"/>
      <w:marTop w:val="0"/>
      <w:marBottom w:val="0"/>
      <w:divBdr>
        <w:top w:val="none" w:sz="0" w:space="0" w:color="auto"/>
        <w:left w:val="none" w:sz="0" w:space="0" w:color="auto"/>
        <w:bottom w:val="none" w:sz="0" w:space="0" w:color="auto"/>
        <w:right w:val="none" w:sz="0" w:space="0" w:color="auto"/>
      </w:divBdr>
    </w:div>
    <w:div w:id="1791974734">
      <w:bodyDiv w:val="1"/>
      <w:marLeft w:val="0"/>
      <w:marRight w:val="0"/>
      <w:marTop w:val="0"/>
      <w:marBottom w:val="0"/>
      <w:divBdr>
        <w:top w:val="none" w:sz="0" w:space="0" w:color="auto"/>
        <w:left w:val="none" w:sz="0" w:space="0" w:color="auto"/>
        <w:bottom w:val="none" w:sz="0" w:space="0" w:color="auto"/>
        <w:right w:val="none" w:sz="0" w:space="0" w:color="auto"/>
      </w:divBdr>
    </w:div>
    <w:div w:id="1946114302">
      <w:bodyDiv w:val="1"/>
      <w:marLeft w:val="0"/>
      <w:marRight w:val="0"/>
      <w:marTop w:val="0"/>
      <w:marBottom w:val="0"/>
      <w:divBdr>
        <w:top w:val="none" w:sz="0" w:space="0" w:color="auto"/>
        <w:left w:val="none" w:sz="0" w:space="0" w:color="auto"/>
        <w:bottom w:val="none" w:sz="0" w:space="0" w:color="auto"/>
        <w:right w:val="none" w:sz="0" w:space="0" w:color="auto"/>
      </w:divBdr>
    </w:div>
    <w:div w:id="1967881426">
      <w:bodyDiv w:val="1"/>
      <w:marLeft w:val="0"/>
      <w:marRight w:val="0"/>
      <w:marTop w:val="0"/>
      <w:marBottom w:val="0"/>
      <w:divBdr>
        <w:top w:val="none" w:sz="0" w:space="0" w:color="auto"/>
        <w:left w:val="none" w:sz="0" w:space="0" w:color="auto"/>
        <w:bottom w:val="none" w:sz="0" w:space="0" w:color="auto"/>
        <w:right w:val="none" w:sz="0" w:space="0" w:color="auto"/>
      </w:divBdr>
    </w:div>
    <w:div w:id="20995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800-61r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rc.nist.gov/publications/nistpubs/800-86/SP800-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Medellin</dc:creator>
  <cp:keywords/>
  <dc:description/>
  <cp:lastModifiedBy>Newton, Leo (BSTE4)</cp:lastModifiedBy>
  <cp:revision>20</cp:revision>
  <dcterms:created xsi:type="dcterms:W3CDTF">2024-11-23T10:49:00Z</dcterms:created>
  <dcterms:modified xsi:type="dcterms:W3CDTF">2024-11-23T11:54:00Z</dcterms:modified>
</cp:coreProperties>
</file>