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A03079" w:rsidRDefault="00717680" w:rsidP="00A03079">
      <w:pPr>
        <w:spacing w:line="480" w:lineRule="auto"/>
        <w:rPr>
          <w:rFonts w:ascii="Times New Roman" w:hAnsi="Times New Roman" w:cs="Times New Roman"/>
          <w:sz w:val="24"/>
          <w:szCs w:val="24"/>
        </w:rPr>
      </w:pPr>
    </w:p>
    <w:p w14:paraId="6DB5CF90" w14:textId="77777777" w:rsidR="00717680" w:rsidRPr="00A03079" w:rsidRDefault="00717680" w:rsidP="00A03079">
      <w:pPr>
        <w:spacing w:line="480" w:lineRule="auto"/>
        <w:jc w:val="center"/>
        <w:rPr>
          <w:rFonts w:ascii="Times New Roman" w:hAnsi="Times New Roman" w:cs="Times New Roman"/>
          <w:sz w:val="24"/>
          <w:szCs w:val="24"/>
        </w:rPr>
      </w:pPr>
    </w:p>
    <w:p w14:paraId="72E8B3A8" w14:textId="77777777" w:rsidR="00717680" w:rsidRPr="00A03079" w:rsidRDefault="00717680" w:rsidP="00A03079">
      <w:pPr>
        <w:spacing w:line="480" w:lineRule="auto"/>
        <w:jc w:val="center"/>
        <w:rPr>
          <w:rFonts w:ascii="Times New Roman" w:hAnsi="Times New Roman" w:cs="Times New Roman"/>
          <w:sz w:val="24"/>
          <w:szCs w:val="24"/>
        </w:rPr>
      </w:pPr>
    </w:p>
    <w:p w14:paraId="04F4EF1A" w14:textId="77777777" w:rsidR="00717680" w:rsidRPr="00A03079" w:rsidRDefault="00717680" w:rsidP="00A03079">
      <w:pPr>
        <w:spacing w:line="480" w:lineRule="auto"/>
        <w:rPr>
          <w:rFonts w:ascii="Times New Roman" w:hAnsi="Times New Roman" w:cs="Times New Roman"/>
          <w:sz w:val="24"/>
          <w:szCs w:val="24"/>
        </w:rPr>
      </w:pPr>
    </w:p>
    <w:p w14:paraId="438566FA" w14:textId="77777777" w:rsidR="00717680" w:rsidRPr="00A03079" w:rsidRDefault="00717680" w:rsidP="00A03079">
      <w:pPr>
        <w:spacing w:line="480" w:lineRule="auto"/>
        <w:jc w:val="center"/>
        <w:rPr>
          <w:rFonts w:ascii="Times New Roman" w:hAnsi="Times New Roman" w:cs="Times New Roman"/>
          <w:sz w:val="24"/>
          <w:szCs w:val="24"/>
        </w:rPr>
      </w:pPr>
    </w:p>
    <w:p w14:paraId="4C88E3E7" w14:textId="1AF39A84" w:rsidR="00F21575" w:rsidRPr="00A03079" w:rsidRDefault="002B6FB0" w:rsidP="00A03079">
      <w:pPr>
        <w:spacing w:line="480" w:lineRule="auto"/>
        <w:jc w:val="center"/>
        <w:rPr>
          <w:rFonts w:ascii="Times New Roman" w:hAnsi="Times New Roman" w:cs="Times New Roman"/>
          <w:sz w:val="24"/>
          <w:szCs w:val="24"/>
        </w:rPr>
      </w:pPr>
      <w:bookmarkStart w:id="0" w:name="_Hlk41294950"/>
      <w:r w:rsidRPr="00A03079">
        <w:rPr>
          <w:rFonts w:ascii="Times New Roman" w:hAnsi="Times New Roman" w:cs="Times New Roman"/>
          <w:sz w:val="24"/>
          <w:szCs w:val="24"/>
        </w:rPr>
        <w:t>Assessment 3</w:t>
      </w:r>
    </w:p>
    <w:bookmarkEnd w:id="0"/>
    <w:p w14:paraId="115D6357" w14:textId="77777777" w:rsidR="007B600C" w:rsidRPr="00A03079" w:rsidRDefault="007B600C"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Law Enforcement Tools and Participation</w:t>
      </w:r>
    </w:p>
    <w:p w14:paraId="0D303864" w14:textId="345B920D" w:rsidR="000A4479" w:rsidRPr="00A03079" w:rsidRDefault="00A03079"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Leo Newton</w:t>
      </w:r>
    </w:p>
    <w:p w14:paraId="0E2CE25E" w14:textId="603DCD24" w:rsidR="00FB4FB1" w:rsidRPr="00A03079" w:rsidRDefault="00FA4F74"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IT-</w:t>
      </w:r>
      <w:r w:rsidR="007A538B" w:rsidRPr="00A03079">
        <w:rPr>
          <w:rFonts w:ascii="Times New Roman" w:hAnsi="Times New Roman" w:cs="Times New Roman"/>
          <w:sz w:val="24"/>
          <w:szCs w:val="24"/>
        </w:rPr>
        <w:t>FPX</w:t>
      </w:r>
      <w:r w:rsidR="00DE018C" w:rsidRPr="00A03079">
        <w:rPr>
          <w:rFonts w:ascii="Times New Roman" w:hAnsi="Times New Roman" w:cs="Times New Roman"/>
          <w:sz w:val="24"/>
          <w:szCs w:val="24"/>
        </w:rPr>
        <w:t>4075 Co</w:t>
      </w:r>
      <w:r w:rsidR="00B227EE" w:rsidRPr="00A03079">
        <w:rPr>
          <w:rFonts w:ascii="Times New Roman" w:hAnsi="Times New Roman" w:cs="Times New Roman"/>
          <w:sz w:val="24"/>
          <w:szCs w:val="24"/>
        </w:rPr>
        <w:t>mputer Forensics</w:t>
      </w:r>
    </w:p>
    <w:p w14:paraId="0DF009E8" w14:textId="693085D7" w:rsidR="000A4479" w:rsidRPr="00A03079" w:rsidRDefault="000A4479"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Capella University</w:t>
      </w:r>
    </w:p>
    <w:p w14:paraId="37E0FB4A" w14:textId="6988E2B3" w:rsidR="007144B5" w:rsidRPr="00A03079" w:rsidRDefault="00260A3D"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Professor</w:t>
      </w:r>
      <w:r w:rsidR="00FB4FB1" w:rsidRPr="00A03079">
        <w:rPr>
          <w:rFonts w:ascii="Times New Roman" w:hAnsi="Times New Roman" w:cs="Times New Roman"/>
          <w:sz w:val="24"/>
          <w:szCs w:val="24"/>
        </w:rPr>
        <w:t xml:space="preserve"> </w:t>
      </w:r>
      <w:r w:rsidR="00F045B6" w:rsidRPr="00A03079">
        <w:rPr>
          <w:rFonts w:ascii="Times New Roman" w:hAnsi="Times New Roman" w:cs="Times New Roman"/>
          <w:sz w:val="24"/>
          <w:szCs w:val="24"/>
        </w:rPr>
        <w:t>Kuhlman</w:t>
      </w:r>
    </w:p>
    <w:p w14:paraId="3F9400B0" w14:textId="5BE182CC" w:rsidR="007144B5" w:rsidRPr="00A03079" w:rsidRDefault="00A03079"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11/24/24</w:t>
      </w:r>
    </w:p>
    <w:p w14:paraId="7A4256E4" w14:textId="5E0C735E" w:rsidR="007144B5" w:rsidRPr="00A03079" w:rsidRDefault="007144B5" w:rsidP="00A03079">
      <w:pPr>
        <w:spacing w:line="480" w:lineRule="auto"/>
        <w:jc w:val="center"/>
        <w:rPr>
          <w:rFonts w:ascii="Times New Roman" w:hAnsi="Times New Roman" w:cs="Times New Roman"/>
          <w:sz w:val="24"/>
          <w:szCs w:val="24"/>
        </w:rPr>
      </w:pPr>
    </w:p>
    <w:p w14:paraId="1EB2D7CF" w14:textId="4E0DE0F0" w:rsidR="007144B5" w:rsidRPr="00A03079" w:rsidRDefault="007144B5" w:rsidP="00A03079">
      <w:pPr>
        <w:spacing w:line="480" w:lineRule="auto"/>
        <w:jc w:val="center"/>
        <w:rPr>
          <w:rFonts w:ascii="Times New Roman" w:hAnsi="Times New Roman" w:cs="Times New Roman"/>
          <w:sz w:val="24"/>
          <w:szCs w:val="24"/>
        </w:rPr>
      </w:pPr>
    </w:p>
    <w:p w14:paraId="057B2EA2" w14:textId="50465C36" w:rsidR="007144B5" w:rsidRPr="00A03079" w:rsidRDefault="007144B5" w:rsidP="00A03079">
      <w:pPr>
        <w:spacing w:line="480" w:lineRule="auto"/>
        <w:jc w:val="center"/>
        <w:rPr>
          <w:rFonts w:ascii="Times New Roman" w:hAnsi="Times New Roman" w:cs="Times New Roman"/>
          <w:sz w:val="24"/>
          <w:szCs w:val="24"/>
        </w:rPr>
      </w:pPr>
    </w:p>
    <w:p w14:paraId="052BF9DF" w14:textId="56CCBEA7" w:rsidR="007144B5" w:rsidRPr="00A03079" w:rsidRDefault="007144B5" w:rsidP="00A03079">
      <w:pPr>
        <w:spacing w:line="480" w:lineRule="auto"/>
        <w:jc w:val="center"/>
        <w:rPr>
          <w:rFonts w:ascii="Times New Roman" w:hAnsi="Times New Roman" w:cs="Times New Roman"/>
          <w:sz w:val="24"/>
          <w:szCs w:val="24"/>
        </w:rPr>
      </w:pPr>
    </w:p>
    <w:p w14:paraId="11CE1880" w14:textId="308098E3" w:rsidR="00EF22AF" w:rsidRPr="00A03079" w:rsidRDefault="00EF22AF" w:rsidP="00A03079">
      <w:pPr>
        <w:spacing w:line="480" w:lineRule="auto"/>
        <w:jc w:val="center"/>
        <w:rPr>
          <w:rFonts w:ascii="Times New Roman" w:hAnsi="Times New Roman" w:cs="Times New Roman"/>
          <w:sz w:val="24"/>
          <w:szCs w:val="24"/>
        </w:rPr>
      </w:pPr>
    </w:p>
    <w:p w14:paraId="77418958" w14:textId="77777777" w:rsidR="00F21575" w:rsidRPr="00A03079" w:rsidRDefault="00F21575" w:rsidP="00A03079">
      <w:pPr>
        <w:spacing w:line="480" w:lineRule="auto"/>
        <w:jc w:val="center"/>
        <w:rPr>
          <w:rFonts w:ascii="Times New Roman" w:hAnsi="Times New Roman" w:cs="Times New Roman"/>
          <w:sz w:val="24"/>
          <w:szCs w:val="24"/>
        </w:rPr>
      </w:pPr>
    </w:p>
    <w:p w14:paraId="590F233D" w14:textId="64DB17BE" w:rsidR="00C91A2D" w:rsidRPr="00A03079" w:rsidRDefault="00260A3D"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lastRenderedPageBreak/>
        <w:t>Table of Contents</w:t>
      </w:r>
    </w:p>
    <w:p w14:paraId="60C266CC" w14:textId="7F8B6468" w:rsidR="003049E7" w:rsidRPr="00A03079" w:rsidRDefault="00615996" w:rsidP="00A03079">
      <w:pPr>
        <w:spacing w:line="480" w:lineRule="auto"/>
        <w:rPr>
          <w:rFonts w:ascii="Times New Roman" w:hAnsi="Times New Roman" w:cs="Times New Roman"/>
          <w:sz w:val="24"/>
          <w:szCs w:val="24"/>
        </w:rPr>
      </w:pPr>
      <w:r w:rsidRPr="00A03079">
        <w:rPr>
          <w:rFonts w:ascii="Times New Roman" w:hAnsi="Times New Roman" w:cs="Times New Roman"/>
          <w:sz w:val="24"/>
          <w:szCs w:val="24"/>
        </w:rPr>
        <w:t>Risk and Benefit</w:t>
      </w:r>
      <w:r w:rsidR="00DC77C4" w:rsidRPr="00A03079">
        <w:rPr>
          <w:rFonts w:ascii="Times New Roman" w:hAnsi="Times New Roman" w:cs="Times New Roman"/>
          <w:sz w:val="24"/>
          <w:szCs w:val="24"/>
        </w:rPr>
        <w:t>s</w:t>
      </w:r>
      <w:r w:rsidR="00C17DE9" w:rsidRPr="00A03079">
        <w:rPr>
          <w:rFonts w:ascii="Times New Roman" w:hAnsi="Times New Roman" w:cs="Times New Roman"/>
          <w:sz w:val="24"/>
          <w:szCs w:val="24"/>
        </w:rPr>
        <w:t>…………</w:t>
      </w:r>
      <w:r w:rsidR="000A7584" w:rsidRPr="00A03079">
        <w:rPr>
          <w:rFonts w:ascii="Times New Roman" w:hAnsi="Times New Roman" w:cs="Times New Roman"/>
          <w:sz w:val="24"/>
          <w:szCs w:val="24"/>
        </w:rPr>
        <w:t>……………</w:t>
      </w:r>
      <w:proofErr w:type="gramStart"/>
      <w:r w:rsidR="000A7584" w:rsidRPr="00A03079">
        <w:rPr>
          <w:rFonts w:ascii="Times New Roman" w:hAnsi="Times New Roman" w:cs="Times New Roman"/>
          <w:sz w:val="24"/>
          <w:szCs w:val="24"/>
        </w:rPr>
        <w:t>…..</w:t>
      </w:r>
      <w:proofErr w:type="gramEnd"/>
      <w:r w:rsidR="00146896" w:rsidRPr="00A03079">
        <w:rPr>
          <w:rFonts w:ascii="Times New Roman" w:hAnsi="Times New Roman" w:cs="Times New Roman"/>
          <w:sz w:val="24"/>
          <w:szCs w:val="24"/>
        </w:rPr>
        <w:t>………………………………</w:t>
      </w:r>
      <w:r w:rsidR="00FA4F74" w:rsidRPr="00A03079">
        <w:rPr>
          <w:rFonts w:ascii="Times New Roman" w:hAnsi="Times New Roman" w:cs="Times New Roman"/>
          <w:sz w:val="24"/>
          <w:szCs w:val="24"/>
        </w:rPr>
        <w:t>……..</w:t>
      </w:r>
      <w:r w:rsidR="000A76BA">
        <w:rPr>
          <w:rFonts w:ascii="Times New Roman" w:hAnsi="Times New Roman" w:cs="Times New Roman"/>
          <w:sz w:val="24"/>
          <w:szCs w:val="24"/>
        </w:rPr>
        <w:t>3</w:t>
      </w:r>
    </w:p>
    <w:p w14:paraId="0627B5AA" w14:textId="4EB26D7D" w:rsidR="003049E7" w:rsidRPr="00A03079" w:rsidRDefault="004F5D00" w:rsidP="00A03079">
      <w:pPr>
        <w:spacing w:line="480" w:lineRule="auto"/>
        <w:rPr>
          <w:rFonts w:ascii="Times New Roman" w:hAnsi="Times New Roman" w:cs="Times New Roman"/>
          <w:sz w:val="24"/>
          <w:szCs w:val="24"/>
        </w:rPr>
      </w:pPr>
      <w:r w:rsidRPr="00A03079">
        <w:rPr>
          <w:rFonts w:ascii="Times New Roman" w:hAnsi="Times New Roman" w:cs="Times New Roman"/>
          <w:sz w:val="24"/>
          <w:szCs w:val="24"/>
        </w:rPr>
        <w:t>Law Enforcement Agencies.</w:t>
      </w:r>
      <w:r w:rsidR="00FA4F74" w:rsidRPr="00A03079">
        <w:rPr>
          <w:rFonts w:ascii="Times New Roman" w:hAnsi="Times New Roman" w:cs="Times New Roman"/>
          <w:sz w:val="24"/>
          <w:szCs w:val="24"/>
        </w:rPr>
        <w:t>………………………………………………………</w:t>
      </w:r>
      <w:r w:rsidR="000A76BA">
        <w:rPr>
          <w:rFonts w:ascii="Times New Roman" w:hAnsi="Times New Roman" w:cs="Times New Roman"/>
          <w:sz w:val="24"/>
          <w:szCs w:val="24"/>
        </w:rPr>
        <w:t>5</w:t>
      </w:r>
    </w:p>
    <w:p w14:paraId="043B644E" w14:textId="5BC75C6A" w:rsidR="00184AE8" w:rsidRPr="00A03079" w:rsidRDefault="009F3920" w:rsidP="00A03079">
      <w:pPr>
        <w:spacing w:line="480" w:lineRule="auto"/>
        <w:rPr>
          <w:rFonts w:ascii="Times New Roman" w:hAnsi="Times New Roman" w:cs="Times New Roman"/>
          <w:sz w:val="24"/>
          <w:szCs w:val="24"/>
        </w:rPr>
      </w:pPr>
      <w:r w:rsidRPr="00A03079">
        <w:rPr>
          <w:rFonts w:ascii="Times New Roman" w:hAnsi="Times New Roman" w:cs="Times New Roman"/>
          <w:sz w:val="24"/>
          <w:szCs w:val="24"/>
        </w:rPr>
        <w:t>Barriers………….</w:t>
      </w:r>
      <w:r w:rsidR="00184AE8" w:rsidRPr="00A03079">
        <w:rPr>
          <w:rFonts w:ascii="Times New Roman" w:hAnsi="Times New Roman" w:cs="Times New Roman"/>
          <w:sz w:val="24"/>
          <w:szCs w:val="24"/>
        </w:rPr>
        <w:t>…………………………………………………………………</w:t>
      </w:r>
      <w:r w:rsidR="000A76BA">
        <w:rPr>
          <w:rFonts w:ascii="Times New Roman" w:hAnsi="Times New Roman" w:cs="Times New Roman"/>
          <w:sz w:val="24"/>
          <w:szCs w:val="24"/>
        </w:rPr>
        <w:t>6</w:t>
      </w:r>
    </w:p>
    <w:p w14:paraId="4CCEDA1C" w14:textId="1F945A14" w:rsidR="003049E7" w:rsidRPr="00A03079" w:rsidRDefault="00694E8B" w:rsidP="00A03079">
      <w:pPr>
        <w:spacing w:line="480" w:lineRule="auto"/>
        <w:rPr>
          <w:rFonts w:ascii="Times New Roman" w:hAnsi="Times New Roman" w:cs="Times New Roman"/>
          <w:sz w:val="24"/>
          <w:szCs w:val="24"/>
        </w:rPr>
      </w:pPr>
      <w:r w:rsidRPr="00A03079">
        <w:rPr>
          <w:rFonts w:ascii="Times New Roman" w:hAnsi="Times New Roman" w:cs="Times New Roman"/>
          <w:sz w:val="24"/>
          <w:szCs w:val="24"/>
        </w:rPr>
        <w:t>Improper Evidence Handling</w:t>
      </w:r>
      <w:r w:rsidR="00FA4F74" w:rsidRPr="00A03079">
        <w:rPr>
          <w:rFonts w:ascii="Times New Roman" w:hAnsi="Times New Roman" w:cs="Times New Roman"/>
          <w:sz w:val="24"/>
          <w:szCs w:val="24"/>
        </w:rPr>
        <w:t>………………………………………………</w:t>
      </w:r>
      <w:r w:rsidR="009A168E" w:rsidRPr="00A03079">
        <w:rPr>
          <w:rFonts w:ascii="Times New Roman" w:hAnsi="Times New Roman" w:cs="Times New Roman"/>
          <w:sz w:val="24"/>
          <w:szCs w:val="24"/>
        </w:rPr>
        <w:t>.</w:t>
      </w:r>
      <w:r w:rsidR="00FA4F74" w:rsidRPr="00A03079">
        <w:rPr>
          <w:rFonts w:ascii="Times New Roman" w:hAnsi="Times New Roman" w:cs="Times New Roman"/>
          <w:sz w:val="24"/>
          <w:szCs w:val="24"/>
        </w:rPr>
        <w:t>…</w:t>
      </w:r>
      <w:proofErr w:type="gramStart"/>
      <w:r w:rsidR="00FA4F74" w:rsidRPr="00A03079">
        <w:rPr>
          <w:rFonts w:ascii="Times New Roman" w:hAnsi="Times New Roman" w:cs="Times New Roman"/>
          <w:sz w:val="24"/>
          <w:szCs w:val="24"/>
        </w:rPr>
        <w:t>…..</w:t>
      </w:r>
      <w:proofErr w:type="gramEnd"/>
      <w:r w:rsidR="000A76BA">
        <w:rPr>
          <w:rFonts w:ascii="Times New Roman" w:hAnsi="Times New Roman" w:cs="Times New Roman"/>
          <w:sz w:val="24"/>
          <w:szCs w:val="24"/>
        </w:rPr>
        <w:t>8</w:t>
      </w:r>
    </w:p>
    <w:p w14:paraId="5255CAF0" w14:textId="0B7D4DE9" w:rsidR="00260A3D" w:rsidRPr="00A03079" w:rsidRDefault="003049E7" w:rsidP="00A03079">
      <w:pPr>
        <w:spacing w:line="480" w:lineRule="auto"/>
        <w:rPr>
          <w:rFonts w:ascii="Times New Roman" w:hAnsi="Times New Roman" w:cs="Times New Roman"/>
          <w:sz w:val="24"/>
          <w:szCs w:val="24"/>
        </w:rPr>
      </w:pPr>
      <w:r w:rsidRPr="00A03079">
        <w:rPr>
          <w:rFonts w:ascii="Times New Roman" w:hAnsi="Times New Roman" w:cs="Times New Roman"/>
          <w:sz w:val="24"/>
          <w:szCs w:val="24"/>
        </w:rPr>
        <w:t>References.</w:t>
      </w:r>
      <w:r w:rsidR="00260A3D" w:rsidRPr="00A03079">
        <w:rPr>
          <w:rFonts w:ascii="Times New Roman" w:hAnsi="Times New Roman" w:cs="Times New Roman"/>
          <w:sz w:val="24"/>
          <w:szCs w:val="24"/>
        </w:rPr>
        <w:t>…………</w:t>
      </w:r>
      <w:proofErr w:type="gramStart"/>
      <w:r w:rsidR="00260A3D" w:rsidRPr="00A03079">
        <w:rPr>
          <w:rFonts w:ascii="Times New Roman" w:hAnsi="Times New Roman" w:cs="Times New Roman"/>
          <w:sz w:val="24"/>
          <w:szCs w:val="24"/>
        </w:rPr>
        <w:t>…</w:t>
      </w:r>
      <w:r w:rsidR="005A64E2" w:rsidRPr="00A03079">
        <w:rPr>
          <w:rFonts w:ascii="Times New Roman" w:hAnsi="Times New Roman" w:cs="Times New Roman"/>
          <w:sz w:val="24"/>
          <w:szCs w:val="24"/>
        </w:rPr>
        <w:t>..</w:t>
      </w:r>
      <w:proofErr w:type="gramEnd"/>
      <w:r w:rsidR="00260A3D" w:rsidRPr="00A03079">
        <w:rPr>
          <w:rFonts w:ascii="Times New Roman" w:hAnsi="Times New Roman" w:cs="Times New Roman"/>
          <w:sz w:val="24"/>
          <w:szCs w:val="24"/>
        </w:rPr>
        <w:t>……</w:t>
      </w:r>
      <w:r w:rsidR="007A538B" w:rsidRPr="00A03079">
        <w:rPr>
          <w:rFonts w:ascii="Times New Roman" w:hAnsi="Times New Roman" w:cs="Times New Roman"/>
          <w:sz w:val="24"/>
          <w:szCs w:val="24"/>
        </w:rPr>
        <w:t>..</w:t>
      </w:r>
      <w:r w:rsidR="00260A3D" w:rsidRPr="00A03079">
        <w:rPr>
          <w:rFonts w:ascii="Times New Roman" w:hAnsi="Times New Roman" w:cs="Times New Roman"/>
          <w:sz w:val="24"/>
          <w:szCs w:val="24"/>
        </w:rPr>
        <w:t>…………...……</w:t>
      </w:r>
      <w:r w:rsidR="008505EC" w:rsidRPr="00A03079">
        <w:rPr>
          <w:rFonts w:ascii="Times New Roman" w:hAnsi="Times New Roman" w:cs="Times New Roman"/>
          <w:sz w:val="24"/>
          <w:szCs w:val="24"/>
        </w:rPr>
        <w:t>………………………</w:t>
      </w:r>
      <w:r w:rsidR="00260A3D" w:rsidRPr="00A03079">
        <w:rPr>
          <w:rFonts w:ascii="Times New Roman" w:hAnsi="Times New Roman" w:cs="Times New Roman"/>
          <w:sz w:val="24"/>
          <w:szCs w:val="24"/>
        </w:rPr>
        <w:t xml:space="preserve">………... </w:t>
      </w:r>
      <w:r w:rsidR="000A76BA">
        <w:rPr>
          <w:rFonts w:ascii="Times New Roman" w:hAnsi="Times New Roman" w:cs="Times New Roman"/>
          <w:sz w:val="24"/>
          <w:szCs w:val="24"/>
        </w:rPr>
        <w:t>10</w:t>
      </w:r>
    </w:p>
    <w:p w14:paraId="04D8D5D8" w14:textId="77777777" w:rsidR="00260A3D" w:rsidRPr="00A03079" w:rsidRDefault="00260A3D" w:rsidP="00A03079">
      <w:pPr>
        <w:spacing w:line="480" w:lineRule="auto"/>
        <w:rPr>
          <w:rFonts w:ascii="Times New Roman" w:hAnsi="Times New Roman" w:cs="Times New Roman"/>
          <w:sz w:val="24"/>
          <w:szCs w:val="24"/>
        </w:rPr>
      </w:pPr>
    </w:p>
    <w:p w14:paraId="5141420D" w14:textId="77777777" w:rsidR="00260A3D" w:rsidRPr="00A03079" w:rsidRDefault="00260A3D" w:rsidP="00A03079">
      <w:pPr>
        <w:spacing w:line="480" w:lineRule="auto"/>
        <w:rPr>
          <w:rFonts w:ascii="Times New Roman" w:hAnsi="Times New Roman" w:cs="Times New Roman"/>
          <w:sz w:val="24"/>
          <w:szCs w:val="24"/>
        </w:rPr>
      </w:pPr>
    </w:p>
    <w:p w14:paraId="45B4B853" w14:textId="102CF947" w:rsidR="00260A3D" w:rsidRPr="00A03079" w:rsidRDefault="00260A3D" w:rsidP="00A03079">
      <w:pPr>
        <w:spacing w:line="480" w:lineRule="auto"/>
        <w:rPr>
          <w:rFonts w:ascii="Times New Roman" w:hAnsi="Times New Roman" w:cs="Times New Roman"/>
          <w:sz w:val="24"/>
          <w:szCs w:val="24"/>
        </w:rPr>
      </w:pPr>
    </w:p>
    <w:p w14:paraId="2863E36C" w14:textId="1B187CC7" w:rsidR="009A168E" w:rsidRPr="00A03079" w:rsidRDefault="009A168E" w:rsidP="00A03079">
      <w:pPr>
        <w:spacing w:line="480" w:lineRule="auto"/>
        <w:rPr>
          <w:rFonts w:ascii="Times New Roman" w:hAnsi="Times New Roman" w:cs="Times New Roman"/>
          <w:sz w:val="24"/>
          <w:szCs w:val="24"/>
        </w:rPr>
      </w:pPr>
    </w:p>
    <w:p w14:paraId="1577B044" w14:textId="2BB1EF9B" w:rsidR="009A168E" w:rsidRPr="00A03079" w:rsidRDefault="009A168E" w:rsidP="00A03079">
      <w:pPr>
        <w:spacing w:line="480" w:lineRule="auto"/>
        <w:rPr>
          <w:rFonts w:ascii="Times New Roman" w:hAnsi="Times New Roman" w:cs="Times New Roman"/>
          <w:sz w:val="24"/>
          <w:szCs w:val="24"/>
        </w:rPr>
      </w:pPr>
    </w:p>
    <w:p w14:paraId="1943119B" w14:textId="3D072D38" w:rsidR="009A168E" w:rsidRDefault="009A168E" w:rsidP="00A03079">
      <w:pPr>
        <w:spacing w:line="480" w:lineRule="auto"/>
        <w:rPr>
          <w:rFonts w:ascii="Times New Roman" w:hAnsi="Times New Roman" w:cs="Times New Roman"/>
          <w:sz w:val="24"/>
          <w:szCs w:val="24"/>
        </w:rPr>
      </w:pPr>
    </w:p>
    <w:p w14:paraId="6CEA1CC1" w14:textId="77777777" w:rsidR="00A03079" w:rsidRDefault="00A03079" w:rsidP="00A03079">
      <w:pPr>
        <w:spacing w:line="480" w:lineRule="auto"/>
        <w:rPr>
          <w:rFonts w:ascii="Times New Roman" w:hAnsi="Times New Roman" w:cs="Times New Roman"/>
          <w:sz w:val="24"/>
          <w:szCs w:val="24"/>
        </w:rPr>
      </w:pPr>
    </w:p>
    <w:p w14:paraId="711CAA11" w14:textId="77777777" w:rsidR="00A03079" w:rsidRDefault="00A03079" w:rsidP="00A03079">
      <w:pPr>
        <w:spacing w:line="480" w:lineRule="auto"/>
        <w:rPr>
          <w:rFonts w:ascii="Times New Roman" w:hAnsi="Times New Roman" w:cs="Times New Roman"/>
          <w:sz w:val="24"/>
          <w:szCs w:val="24"/>
        </w:rPr>
      </w:pPr>
    </w:p>
    <w:p w14:paraId="0B36CBE3" w14:textId="77777777" w:rsidR="00A03079" w:rsidRDefault="00A03079" w:rsidP="00A03079">
      <w:pPr>
        <w:spacing w:line="480" w:lineRule="auto"/>
        <w:rPr>
          <w:rFonts w:ascii="Times New Roman" w:hAnsi="Times New Roman" w:cs="Times New Roman"/>
          <w:sz w:val="24"/>
          <w:szCs w:val="24"/>
        </w:rPr>
      </w:pPr>
    </w:p>
    <w:p w14:paraId="242EAB15" w14:textId="77777777" w:rsidR="00A03079" w:rsidRDefault="00A03079" w:rsidP="00A03079">
      <w:pPr>
        <w:spacing w:line="480" w:lineRule="auto"/>
        <w:rPr>
          <w:rFonts w:ascii="Times New Roman" w:hAnsi="Times New Roman" w:cs="Times New Roman"/>
          <w:sz w:val="24"/>
          <w:szCs w:val="24"/>
        </w:rPr>
      </w:pPr>
    </w:p>
    <w:p w14:paraId="3F898BD6" w14:textId="77777777" w:rsidR="00A03079" w:rsidRDefault="00A03079" w:rsidP="00A03079">
      <w:pPr>
        <w:spacing w:line="480" w:lineRule="auto"/>
        <w:rPr>
          <w:rFonts w:ascii="Times New Roman" w:hAnsi="Times New Roman" w:cs="Times New Roman"/>
          <w:sz w:val="24"/>
          <w:szCs w:val="24"/>
        </w:rPr>
      </w:pPr>
    </w:p>
    <w:p w14:paraId="4B3E0D6B" w14:textId="77777777" w:rsidR="00A03079" w:rsidRPr="00A03079" w:rsidRDefault="00A03079" w:rsidP="00A03079">
      <w:pPr>
        <w:spacing w:line="480" w:lineRule="auto"/>
        <w:rPr>
          <w:rFonts w:ascii="Times New Roman" w:hAnsi="Times New Roman" w:cs="Times New Roman"/>
          <w:sz w:val="24"/>
          <w:szCs w:val="24"/>
        </w:rPr>
      </w:pPr>
    </w:p>
    <w:p w14:paraId="213D68BC" w14:textId="4BE7C332" w:rsidR="00DC77C4" w:rsidRPr="00A03079" w:rsidRDefault="00DC77C4"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lastRenderedPageBreak/>
        <w:t>Risk and Benefits</w:t>
      </w:r>
    </w:p>
    <w:p w14:paraId="7AE6186B"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Remote investigations, often necessitated by the geographically dispersed nature of cybercrime and data breaches, present unique challenges and opportunities for law enforcement involvement. While collaboration with law enforcement offers invaluable expertise and legal authority, it also introduces potential risks that must be carefully managed.</w:t>
      </w:r>
    </w:p>
    <w:p w14:paraId="6843CAD0"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Benefits:</w:t>
      </w:r>
    </w:p>
    <w:p w14:paraId="0BC876D7" w14:textId="68152EFF" w:rsidR="00A03079" w:rsidRPr="0099776D" w:rsidRDefault="00A03079" w:rsidP="00A03079">
      <w:pPr>
        <w:numPr>
          <w:ilvl w:val="0"/>
          <w:numId w:val="4"/>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Specialized Expertise and Resources: Law enforcement agencies possess specialized units dedicated to cybercrime and digital forensics. These units are equipped with advanced tools, technologies, and databases not readily available to private organizations. Their expertise encompasses malware analysis, network forensics, data recovery, and other specialized areas crucial for complex investigations. They can leverage resources like the National Cyber Investigative Joint Task Force (NCIJTF) for coordinating complex cyber investigations</w:t>
      </w:r>
      <w:r w:rsidR="00CC286B">
        <w:rPr>
          <w:rFonts w:ascii="Times New Roman" w:hAnsi="Times New Roman" w:cs="Times New Roman"/>
          <w:sz w:val="24"/>
          <w:szCs w:val="24"/>
        </w:rPr>
        <w:t xml:space="preserve"> (FBI, 2024)</w:t>
      </w:r>
      <w:r w:rsidRPr="0099776D">
        <w:rPr>
          <w:rFonts w:ascii="Times New Roman" w:hAnsi="Times New Roman" w:cs="Times New Roman"/>
          <w:sz w:val="24"/>
          <w:szCs w:val="24"/>
        </w:rPr>
        <w:t>.</w:t>
      </w:r>
    </w:p>
    <w:p w14:paraId="2483D173" w14:textId="63DE76F3" w:rsidR="00A03079" w:rsidRPr="0099776D" w:rsidRDefault="00A03079" w:rsidP="00A03079">
      <w:pPr>
        <w:numPr>
          <w:ilvl w:val="0"/>
          <w:numId w:val="4"/>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Legal Authority and Jurisdiction: Law enforcement's power to obtain warrants, subpoenas, and court orders is essential for accessing critical evidence held by third parties like ISPs, cloud providers, and social media platforms. Their understanding of legal frameworks, including the Electronic Communications Privacy Act (ECPA) and the Stored Communications Act (SCA), ensures that evidence is collected legally and admissibly</w:t>
      </w:r>
      <w:r w:rsidR="00CC286B">
        <w:rPr>
          <w:rFonts w:ascii="Times New Roman" w:hAnsi="Times New Roman" w:cs="Times New Roman"/>
          <w:sz w:val="24"/>
          <w:szCs w:val="24"/>
        </w:rPr>
        <w:t xml:space="preserve"> (OJP, 1986)</w:t>
      </w:r>
      <w:r w:rsidRPr="0099776D">
        <w:rPr>
          <w:rFonts w:ascii="Times New Roman" w:hAnsi="Times New Roman" w:cs="Times New Roman"/>
          <w:sz w:val="24"/>
          <w:szCs w:val="24"/>
        </w:rPr>
        <w:t>. They are also adept at navigating jurisdictional complexities in multi-state or international investigations.</w:t>
      </w:r>
    </w:p>
    <w:p w14:paraId="7006FD38" w14:textId="391AF07B" w:rsidR="00A03079" w:rsidRPr="0099776D" w:rsidRDefault="00A03079" w:rsidP="00A03079">
      <w:pPr>
        <w:numPr>
          <w:ilvl w:val="0"/>
          <w:numId w:val="4"/>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International Collaboration and Mutual Legal Assistance Treaties (MLATs): In cross-border investigations, law enforcement agencies can utilize MLATs to request assistance from foreign governments in gathering evidence and apprehending suspects</w:t>
      </w:r>
      <w:r w:rsidR="004C0595">
        <w:rPr>
          <w:rFonts w:ascii="Times New Roman" w:hAnsi="Times New Roman" w:cs="Times New Roman"/>
          <w:sz w:val="24"/>
          <w:szCs w:val="24"/>
        </w:rPr>
        <w:t xml:space="preserve"> (DOJ, 2022)</w:t>
      </w:r>
      <w:r w:rsidRPr="0099776D">
        <w:rPr>
          <w:rFonts w:ascii="Times New Roman" w:hAnsi="Times New Roman" w:cs="Times New Roman"/>
          <w:sz w:val="24"/>
          <w:szCs w:val="24"/>
        </w:rPr>
        <w:t xml:space="preserve">. </w:t>
      </w:r>
      <w:r w:rsidRPr="0099776D">
        <w:rPr>
          <w:rFonts w:ascii="Times New Roman" w:hAnsi="Times New Roman" w:cs="Times New Roman"/>
          <w:sz w:val="24"/>
          <w:szCs w:val="24"/>
        </w:rPr>
        <w:lastRenderedPageBreak/>
        <w:t>Their established relationships with international law enforcement organizations like Interpol facilitate cooperation and information sharing.</w:t>
      </w:r>
    </w:p>
    <w:p w14:paraId="572D4261" w14:textId="77777777" w:rsidR="00A03079" w:rsidRPr="0099776D" w:rsidRDefault="00A03079" w:rsidP="00A03079">
      <w:pPr>
        <w:numPr>
          <w:ilvl w:val="0"/>
          <w:numId w:val="4"/>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Enhanced Deterrence and Prosecution: The involvement of law enforcement sends a strong message that cybercrime will not be tolerated. Successful prosecutions can lead to significant penalties, including fines, imprisonment, and restitution for victims. This can deter future criminal activity and hold perpetrators accountable.</w:t>
      </w:r>
    </w:p>
    <w:p w14:paraId="7E5878CC" w14:textId="77777777" w:rsidR="00A03079" w:rsidRPr="0099776D" w:rsidRDefault="00A03079" w:rsidP="00A03079">
      <w:pPr>
        <w:numPr>
          <w:ilvl w:val="0"/>
          <w:numId w:val="4"/>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Access to Victim Support Services: Law enforcement agencies can connect victims of cybercrime with support services, including counseling, legal aid, and identity theft recovery assistance.</w:t>
      </w:r>
    </w:p>
    <w:p w14:paraId="231F2A17"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Risks:</w:t>
      </w:r>
    </w:p>
    <w:p w14:paraId="7D9E711E" w14:textId="77777777" w:rsidR="00A03079" w:rsidRPr="0099776D" w:rsidRDefault="00A03079" w:rsidP="00A03079">
      <w:pPr>
        <w:numPr>
          <w:ilvl w:val="0"/>
          <w:numId w:val="5"/>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Jurisdictional Conflicts and Coordination Challenges: Remote investigations can involve multiple jurisdictions, potentially leading to conflicts between local, state, and federal agencies. Effective communication, coordination, and clear delineation of responsibilities are crucial to avoid delays and ensure a smooth investigation.</w:t>
      </w:r>
    </w:p>
    <w:p w14:paraId="42669804" w14:textId="77777777" w:rsidR="00A03079" w:rsidRPr="0099776D" w:rsidRDefault="00A03079" w:rsidP="00A03079">
      <w:pPr>
        <w:numPr>
          <w:ilvl w:val="0"/>
          <w:numId w:val="5"/>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Data Privacy and Security Concerns: Sharing sensitive data with law enforcement raises legitimate concerns about privacy and confidentiality. Organizations must carefully consider data handling procedures, secure communication channels, and legal frameworks governing data sharing to protect sensitive information, including personal data, trade secrets, and intellectual property.</w:t>
      </w:r>
    </w:p>
    <w:p w14:paraId="74E29E8D" w14:textId="77777777" w:rsidR="00A03079" w:rsidRPr="0099776D" w:rsidRDefault="00A03079" w:rsidP="00A03079">
      <w:pPr>
        <w:numPr>
          <w:ilvl w:val="0"/>
          <w:numId w:val="5"/>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Resource Constraints and Prioritization: Law enforcement agencies often face limited resources and competing priorities. The severity of the incident, the potential for successful prosecution, and the availability of resources will influence their level of involvement and the speed of their response.</w:t>
      </w:r>
    </w:p>
    <w:p w14:paraId="34E983E8" w14:textId="77777777" w:rsidR="00A03079" w:rsidRPr="0099776D" w:rsidRDefault="00A03079" w:rsidP="00A03079">
      <w:pPr>
        <w:numPr>
          <w:ilvl w:val="0"/>
          <w:numId w:val="5"/>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lastRenderedPageBreak/>
        <w:t>Potential for Evidence Contamination or Mishandling: While rare, improper handling of digital evidence by law enforcement can compromise its integrity. Strict adherence to chain-of-custody procedures, proper documentation, and the use of validated forensic techniques are essential to mitigate this risk.</w:t>
      </w:r>
    </w:p>
    <w:p w14:paraId="7D761858" w14:textId="77777777" w:rsidR="00A03079" w:rsidRPr="0099776D" w:rsidRDefault="00A03079" w:rsidP="00A03079">
      <w:pPr>
        <w:numPr>
          <w:ilvl w:val="0"/>
          <w:numId w:val="5"/>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Public Relations and Reputational Risks: Involving law enforcement can attract media attention, potentially impacting the organization's reputation. A proactive communication strategy is essential to manage public perception and minimize negative publicity.</w:t>
      </w:r>
    </w:p>
    <w:p w14:paraId="0F09BD1A" w14:textId="77777777" w:rsidR="00A03079" w:rsidRPr="00A03079" w:rsidRDefault="00A03079" w:rsidP="00A03079">
      <w:pPr>
        <w:spacing w:line="480" w:lineRule="auto"/>
        <w:jc w:val="center"/>
        <w:rPr>
          <w:rFonts w:ascii="Times New Roman" w:hAnsi="Times New Roman" w:cs="Times New Roman"/>
          <w:sz w:val="24"/>
          <w:szCs w:val="24"/>
          <w:highlight w:val="yellow"/>
        </w:rPr>
      </w:pPr>
    </w:p>
    <w:p w14:paraId="303DCD35" w14:textId="245DD93B" w:rsidR="00A03079" w:rsidRPr="00A03079" w:rsidRDefault="004F5D00"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Law Enforcement Agencies</w:t>
      </w:r>
    </w:p>
    <w:p w14:paraId="5027BD80"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Misuse of company assets can encompass a broad spectrum of illegal activities, each potentially involving different law enforcement agencies. Determining the appropriate agency depends on the specific nature of the misuse, the amount of loss incurred, and jurisdictional boundaries.</w:t>
      </w:r>
    </w:p>
    <w:p w14:paraId="1F9DB8E9" w14:textId="77777777"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Local Police Departments: Typically handle cases involving physical theft, vandalism, or low-level fraud occurring within their jurisdiction.</w:t>
      </w:r>
    </w:p>
    <w:p w14:paraId="00CB7B38" w14:textId="77777777"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State Police/Investigative Agencies: Investigate more complex crimes within a state, including fraud, embezzlement, computer crimes, and intellectual property theft. Often have specialized cybercrime units.</w:t>
      </w:r>
    </w:p>
    <w:p w14:paraId="1942CC24" w14:textId="77777777"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Federal Bureau of Investigation (FBI): Investigates federal crimes, including cyber intrusions, interstate fraud, large-scale financial crimes, and intellectual property theft with international implications. Plays a significant role in combating organized cybercrime.</w:t>
      </w:r>
    </w:p>
    <w:p w14:paraId="329E4EC8" w14:textId="77777777"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lastRenderedPageBreak/>
        <w:t>Secret Service: Investigates financial crimes, counterfeiting, and computer fraud affecting financial systems and institutions. Their Electronic Crimes Task Forces (ECTFs) focus on cybercrime investigations.</w:t>
      </w:r>
    </w:p>
    <w:p w14:paraId="7E411B7E" w14:textId="6998CB6E"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Department of Homeland Security (DHS) – including CISA and ICE HSI: DHS agencies like CISA address cybersecurity threats and vulnerabilities impacting critical infrastructure. ICE Homeland Security Investigations (HSI) investigates cross-border criminal activities, including cybercrime and intellectual property theft</w:t>
      </w:r>
      <w:r w:rsidR="00565445">
        <w:rPr>
          <w:rFonts w:ascii="Times New Roman" w:hAnsi="Times New Roman" w:cs="Times New Roman"/>
          <w:sz w:val="24"/>
          <w:szCs w:val="24"/>
        </w:rPr>
        <w:t xml:space="preserve"> (DHS, 2024)</w:t>
      </w:r>
      <w:r w:rsidRPr="0099776D">
        <w:rPr>
          <w:rFonts w:ascii="Times New Roman" w:hAnsi="Times New Roman" w:cs="Times New Roman"/>
          <w:sz w:val="24"/>
          <w:szCs w:val="24"/>
        </w:rPr>
        <w:t>.</w:t>
      </w:r>
    </w:p>
    <w:p w14:paraId="22C8A840" w14:textId="77777777"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U.S. Postal Inspection Service: Investigates mail fraud, including scams, identity theft, and the use of the postal service to facilitate other crimes.</w:t>
      </w:r>
    </w:p>
    <w:p w14:paraId="06EB5786" w14:textId="3D7A5BFB"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Securities and Exchange Commission (SEC): Investigates violations of securities laws, including insider trading, market manipulation, and financial fraud involving publicly traded companies</w:t>
      </w:r>
      <w:r w:rsidR="00565445">
        <w:rPr>
          <w:rFonts w:ascii="Times New Roman" w:hAnsi="Times New Roman" w:cs="Times New Roman"/>
          <w:sz w:val="24"/>
          <w:szCs w:val="24"/>
        </w:rPr>
        <w:t xml:space="preserve"> (SEC, 2024)</w:t>
      </w:r>
      <w:r w:rsidRPr="0099776D">
        <w:rPr>
          <w:rFonts w:ascii="Times New Roman" w:hAnsi="Times New Roman" w:cs="Times New Roman"/>
          <w:sz w:val="24"/>
          <w:szCs w:val="24"/>
        </w:rPr>
        <w:t>.</w:t>
      </w:r>
    </w:p>
    <w:p w14:paraId="0D8972F8" w14:textId="42A149B0" w:rsidR="00A03079" w:rsidRPr="0099776D" w:rsidRDefault="00A03079" w:rsidP="00A03079">
      <w:pPr>
        <w:numPr>
          <w:ilvl w:val="0"/>
          <w:numId w:val="6"/>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International Law Enforcement Agencies (e.g., Interpol, Europol): Facilitate international cooperation in combating transnational crime, including cybercrime, intellectual property theft, and money laundering</w:t>
      </w:r>
      <w:r w:rsidR="00565445">
        <w:rPr>
          <w:rFonts w:ascii="Times New Roman" w:hAnsi="Times New Roman" w:cs="Times New Roman"/>
          <w:sz w:val="24"/>
          <w:szCs w:val="24"/>
        </w:rPr>
        <w:t xml:space="preserve"> (Interpol, 2024)</w:t>
      </w:r>
      <w:r w:rsidRPr="0099776D">
        <w:rPr>
          <w:rFonts w:ascii="Times New Roman" w:hAnsi="Times New Roman" w:cs="Times New Roman"/>
          <w:sz w:val="24"/>
          <w:szCs w:val="24"/>
        </w:rPr>
        <w:t>.</w:t>
      </w:r>
    </w:p>
    <w:p w14:paraId="612F7F69" w14:textId="443569C7" w:rsidR="004F5D00" w:rsidRPr="00A03079" w:rsidRDefault="004F5D00" w:rsidP="00A03079">
      <w:pPr>
        <w:spacing w:line="480" w:lineRule="auto"/>
        <w:rPr>
          <w:rFonts w:ascii="Times New Roman" w:hAnsi="Times New Roman" w:cs="Times New Roman"/>
          <w:sz w:val="24"/>
          <w:szCs w:val="24"/>
        </w:rPr>
      </w:pPr>
    </w:p>
    <w:p w14:paraId="2C5FFD95" w14:textId="1E446A17" w:rsidR="000C4D10" w:rsidRPr="00A03079" w:rsidRDefault="009F3920"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Barriers</w:t>
      </w:r>
    </w:p>
    <w:p w14:paraId="600CD269"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Several internal factors at Widget Factory pose challenges to seamless collaboration with law enforcement:</w:t>
      </w:r>
    </w:p>
    <w:p w14:paraId="66F0DF4F"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Lack of a Formal Incident Response Plan: A documented IR plan is essential for a coordinated and effective response to security incidents. Without a plan, evidence may be mishandled, critical steps may be overlooked, and communication with law enforcement may be delayed.</w:t>
      </w:r>
    </w:p>
    <w:p w14:paraId="41B3B962"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lastRenderedPageBreak/>
        <w:t>Insufficient Employee Training: Employees need training on recognizing security incidents, preserving evidence, and following proper reporting procedures. Lack of training can lead to evidence contamination, delayed reporting, and hampered investigations.</w:t>
      </w:r>
    </w:p>
    <w:p w14:paraId="26DBBCB8"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Limited Security Staffing and Expertise: Dedicated security personnel with experience in digital forensics and law enforcement interaction are essential for managing complex investigations. Widget Factory's reliance on general IT staff for security functions can create a gap in expertise and hinder effective collaboration with law enforcement.</w:t>
      </w:r>
    </w:p>
    <w:p w14:paraId="56E3A9B2"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Inadequate Evidence Handling and Chain-of-Custody Procedures: Without strict chain-of-custody procedures and secure evidence storage, the integrity and admissibility of evidence can be compromised. This can significantly weaken the case and hinder prosecution.</w:t>
      </w:r>
    </w:p>
    <w:p w14:paraId="76F1FD1C"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Ineffective Communication and Coordination Channels: Establishing clear communication channels with law enforcement before an incident occurs is crucial. Designated points of contact, pre-arranged agreements, and secure communication methods can streamline interaction and facilitate timely information sharing.</w:t>
      </w:r>
    </w:p>
    <w:p w14:paraId="3C880725"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Fear of Negative Publicity and Reputational Damage: Concerns about public perception can sometimes discourage organizations from involving law enforcement. This reluctance can obstruct justice and allow perpetrators to continue their activities. A well-defined communication strategy can help manage public relations and minimize reputational risks.</w:t>
      </w:r>
    </w:p>
    <w:p w14:paraId="4986E68A" w14:textId="77777777" w:rsidR="00A03079" w:rsidRPr="0099776D" w:rsidRDefault="00A03079" w:rsidP="00A03079">
      <w:pPr>
        <w:numPr>
          <w:ilvl w:val="0"/>
          <w:numId w:val="7"/>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 xml:space="preserve">Challenges Posed by the Distributed Infrastructure: Widget Factory's geographically dispersed locations create challenges for coordinating investigations and collecting </w:t>
      </w:r>
      <w:r w:rsidRPr="0099776D">
        <w:rPr>
          <w:rFonts w:ascii="Times New Roman" w:hAnsi="Times New Roman" w:cs="Times New Roman"/>
          <w:sz w:val="24"/>
          <w:szCs w:val="24"/>
        </w:rPr>
        <w:lastRenderedPageBreak/>
        <w:t>evidence across different jurisdictions. Standardized procedures and centralized reporting mechanisms are essential.</w:t>
      </w:r>
    </w:p>
    <w:p w14:paraId="62454FF7" w14:textId="77777777" w:rsidR="00A03079" w:rsidRPr="00A03079" w:rsidRDefault="00A03079" w:rsidP="00A03079">
      <w:pPr>
        <w:spacing w:line="480" w:lineRule="auto"/>
        <w:jc w:val="center"/>
        <w:rPr>
          <w:rFonts w:ascii="Times New Roman" w:hAnsi="Times New Roman" w:cs="Times New Roman"/>
          <w:sz w:val="24"/>
          <w:szCs w:val="24"/>
        </w:rPr>
      </w:pPr>
    </w:p>
    <w:p w14:paraId="72F3D6D9" w14:textId="512E57B8" w:rsidR="005D55EE" w:rsidRPr="00A03079" w:rsidRDefault="00694E8B"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t>Improper Evidence Handling</w:t>
      </w:r>
    </w:p>
    <w:p w14:paraId="5137A02E" w14:textId="77777777" w:rsidR="00A03079" w:rsidRPr="0099776D" w:rsidRDefault="00A03079" w:rsidP="00A03079">
      <w:p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Improper handling of digital evidence can severely compromise the integrity of an investigation, leading to a range of negative consequences:</w:t>
      </w:r>
    </w:p>
    <w:p w14:paraId="5E08EDAF" w14:textId="779A173F"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Inadmissibility of Evidence in Court: Courts have strict rules regarding the admissibility of evidence. Evidence that has been improperly collected, handled, or documented can be excluded from trial, weakening or even destroying the prosecution's case</w:t>
      </w:r>
      <w:r w:rsidR="00565445">
        <w:rPr>
          <w:rFonts w:ascii="Times New Roman" w:hAnsi="Times New Roman" w:cs="Times New Roman"/>
          <w:sz w:val="24"/>
          <w:szCs w:val="24"/>
        </w:rPr>
        <w:t xml:space="preserve"> (Solomon et al., 2011).</w:t>
      </w:r>
    </w:p>
    <w:p w14:paraId="17933EC6" w14:textId="77777777"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Compromised Investigative Findings: Contaminated or altered evidence can lead investigators down the wrong path, hindering their ability to accurately reconstruct events, identify perpetrators, or understand the full extent of the incident.</w:t>
      </w:r>
    </w:p>
    <w:p w14:paraId="06DBF080" w14:textId="77777777"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 xml:space="preserve">Damage to Credibility and Trust: Mishandling of evidence can damage the credibility of the </w:t>
      </w:r>
      <w:proofErr w:type="gramStart"/>
      <w:r w:rsidRPr="0099776D">
        <w:rPr>
          <w:rFonts w:ascii="Times New Roman" w:hAnsi="Times New Roman" w:cs="Times New Roman"/>
          <w:sz w:val="24"/>
          <w:szCs w:val="24"/>
        </w:rPr>
        <w:t>investigation</w:t>
      </w:r>
      <w:proofErr w:type="gramEnd"/>
      <w:r w:rsidRPr="0099776D">
        <w:rPr>
          <w:rFonts w:ascii="Times New Roman" w:hAnsi="Times New Roman" w:cs="Times New Roman"/>
          <w:sz w:val="24"/>
          <w:szCs w:val="24"/>
        </w:rPr>
        <w:t xml:space="preserve"> and the investigators involved, undermining public trust and potentially leading to wrongful accusations or acquittals.</w:t>
      </w:r>
    </w:p>
    <w:p w14:paraId="3EA60550" w14:textId="145F5EC5"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Irreversible Data Loss: Improper handling of digital devices can result in the accidental deletion or overwriting of crucial data. This can severely hinder the investigation and, in some cases, make it impossible to recover lost information</w:t>
      </w:r>
      <w:r w:rsidR="00565445">
        <w:rPr>
          <w:rFonts w:ascii="Times New Roman" w:hAnsi="Times New Roman" w:cs="Times New Roman"/>
          <w:sz w:val="24"/>
          <w:szCs w:val="24"/>
        </w:rPr>
        <w:t xml:space="preserve"> (Solomon et al</w:t>
      </w:r>
      <w:r w:rsidRPr="0099776D">
        <w:rPr>
          <w:rFonts w:ascii="Times New Roman" w:hAnsi="Times New Roman" w:cs="Times New Roman"/>
          <w:sz w:val="24"/>
          <w:szCs w:val="24"/>
        </w:rPr>
        <w:t>.</w:t>
      </w:r>
      <w:r w:rsidR="00565445">
        <w:rPr>
          <w:rFonts w:ascii="Times New Roman" w:hAnsi="Times New Roman" w:cs="Times New Roman"/>
          <w:sz w:val="24"/>
          <w:szCs w:val="24"/>
        </w:rPr>
        <w:t>, 2011)</w:t>
      </w:r>
    </w:p>
    <w:p w14:paraId="0226AB5A" w14:textId="77777777"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Increased Costs and Resource Drain: Remediation efforts to address improper evidence handling, such as repeating forensic analysis or conducting additional investigations, can be expensive and time-consuming.</w:t>
      </w:r>
    </w:p>
    <w:p w14:paraId="208854A5" w14:textId="77777777"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lastRenderedPageBreak/>
        <w:t>Reputational Damage and Loss of Public Trust: Publicly disclosed incidents of improper evidence handling can severely damage an organization's reputation, erode public trust, and potentially lead to legal action or regulatory sanctions.</w:t>
      </w:r>
    </w:p>
    <w:p w14:paraId="2923F338" w14:textId="77777777" w:rsidR="00A03079" w:rsidRPr="0099776D" w:rsidRDefault="00A03079" w:rsidP="00A03079">
      <w:pPr>
        <w:numPr>
          <w:ilvl w:val="0"/>
          <w:numId w:val="8"/>
        </w:numPr>
        <w:spacing w:after="0" w:line="480" w:lineRule="auto"/>
        <w:rPr>
          <w:rFonts w:ascii="Times New Roman" w:hAnsi="Times New Roman" w:cs="Times New Roman"/>
          <w:sz w:val="24"/>
          <w:szCs w:val="24"/>
        </w:rPr>
      </w:pPr>
      <w:r w:rsidRPr="0099776D">
        <w:rPr>
          <w:rFonts w:ascii="Times New Roman" w:hAnsi="Times New Roman" w:cs="Times New Roman"/>
          <w:sz w:val="24"/>
          <w:szCs w:val="24"/>
        </w:rPr>
        <w:t>Obstruction of Justice: In severe cases, improper evidence handling can be construed as obstruction of justice, leading to criminal charges against those involved.</w:t>
      </w:r>
    </w:p>
    <w:p w14:paraId="28E89903" w14:textId="77777777" w:rsidR="00D10DE4" w:rsidRPr="00A03079" w:rsidRDefault="00D10DE4" w:rsidP="00A03079">
      <w:pPr>
        <w:spacing w:line="480" w:lineRule="auto"/>
        <w:rPr>
          <w:rFonts w:ascii="Times New Roman" w:hAnsi="Times New Roman" w:cs="Times New Roman"/>
          <w:sz w:val="24"/>
          <w:szCs w:val="24"/>
        </w:rPr>
      </w:pPr>
    </w:p>
    <w:p w14:paraId="63502242" w14:textId="77777777" w:rsidR="00D10DE4" w:rsidRPr="00A03079" w:rsidRDefault="00D10DE4" w:rsidP="00A03079">
      <w:pPr>
        <w:spacing w:line="480" w:lineRule="auto"/>
        <w:rPr>
          <w:rFonts w:ascii="Times New Roman" w:hAnsi="Times New Roman" w:cs="Times New Roman"/>
          <w:sz w:val="24"/>
          <w:szCs w:val="24"/>
        </w:rPr>
      </w:pPr>
    </w:p>
    <w:p w14:paraId="545BF4C5" w14:textId="77777777" w:rsidR="00D10DE4" w:rsidRPr="00A03079" w:rsidRDefault="00D10DE4" w:rsidP="00A03079">
      <w:pPr>
        <w:spacing w:line="480" w:lineRule="auto"/>
        <w:rPr>
          <w:rFonts w:ascii="Times New Roman" w:hAnsi="Times New Roman" w:cs="Times New Roman"/>
          <w:sz w:val="24"/>
          <w:szCs w:val="24"/>
        </w:rPr>
      </w:pPr>
    </w:p>
    <w:p w14:paraId="6DEECA17" w14:textId="77777777" w:rsidR="00D10DE4" w:rsidRPr="00A03079" w:rsidRDefault="00D10DE4" w:rsidP="00A03079">
      <w:pPr>
        <w:spacing w:line="480" w:lineRule="auto"/>
        <w:rPr>
          <w:rFonts w:ascii="Times New Roman" w:hAnsi="Times New Roman" w:cs="Times New Roman"/>
          <w:sz w:val="24"/>
          <w:szCs w:val="24"/>
        </w:rPr>
      </w:pPr>
    </w:p>
    <w:p w14:paraId="30AC5A75" w14:textId="77777777" w:rsidR="00D10DE4" w:rsidRPr="00A03079" w:rsidRDefault="00D10DE4" w:rsidP="00A03079">
      <w:pPr>
        <w:spacing w:line="480" w:lineRule="auto"/>
        <w:rPr>
          <w:rFonts w:ascii="Times New Roman" w:hAnsi="Times New Roman" w:cs="Times New Roman"/>
          <w:sz w:val="24"/>
          <w:szCs w:val="24"/>
        </w:rPr>
      </w:pPr>
    </w:p>
    <w:p w14:paraId="13E74078" w14:textId="77777777" w:rsidR="00D10DE4" w:rsidRPr="00A03079" w:rsidRDefault="00D10DE4" w:rsidP="00A03079">
      <w:pPr>
        <w:spacing w:line="480" w:lineRule="auto"/>
        <w:rPr>
          <w:rFonts w:ascii="Times New Roman" w:hAnsi="Times New Roman" w:cs="Times New Roman"/>
          <w:sz w:val="24"/>
          <w:szCs w:val="24"/>
        </w:rPr>
      </w:pPr>
    </w:p>
    <w:p w14:paraId="0A01B609" w14:textId="77777777" w:rsidR="00A03079" w:rsidRDefault="00A03079" w:rsidP="00A03079">
      <w:pPr>
        <w:spacing w:line="480" w:lineRule="auto"/>
        <w:rPr>
          <w:rFonts w:ascii="Times New Roman" w:hAnsi="Times New Roman" w:cs="Times New Roman"/>
          <w:sz w:val="24"/>
          <w:szCs w:val="24"/>
        </w:rPr>
      </w:pPr>
    </w:p>
    <w:p w14:paraId="54F0A1E0" w14:textId="77777777" w:rsidR="00A03079" w:rsidRDefault="00A03079" w:rsidP="00A03079">
      <w:pPr>
        <w:spacing w:line="480" w:lineRule="auto"/>
        <w:jc w:val="center"/>
        <w:rPr>
          <w:rFonts w:ascii="Times New Roman" w:hAnsi="Times New Roman" w:cs="Times New Roman"/>
          <w:sz w:val="24"/>
          <w:szCs w:val="24"/>
        </w:rPr>
      </w:pPr>
    </w:p>
    <w:p w14:paraId="55155DDC" w14:textId="77777777" w:rsidR="00A03079" w:rsidRDefault="00A03079" w:rsidP="00A03079">
      <w:pPr>
        <w:spacing w:line="480" w:lineRule="auto"/>
        <w:jc w:val="center"/>
        <w:rPr>
          <w:rFonts w:ascii="Times New Roman" w:hAnsi="Times New Roman" w:cs="Times New Roman"/>
          <w:sz w:val="24"/>
          <w:szCs w:val="24"/>
        </w:rPr>
      </w:pPr>
    </w:p>
    <w:p w14:paraId="3F18B2F1" w14:textId="77777777" w:rsidR="00A03079" w:rsidRDefault="00A03079" w:rsidP="00A03079">
      <w:pPr>
        <w:spacing w:line="480" w:lineRule="auto"/>
        <w:jc w:val="center"/>
        <w:rPr>
          <w:rFonts w:ascii="Times New Roman" w:hAnsi="Times New Roman" w:cs="Times New Roman"/>
          <w:sz w:val="24"/>
          <w:szCs w:val="24"/>
        </w:rPr>
      </w:pPr>
    </w:p>
    <w:p w14:paraId="5496C86A" w14:textId="77777777" w:rsidR="00A03079" w:rsidRDefault="00A03079" w:rsidP="00A03079">
      <w:pPr>
        <w:spacing w:line="480" w:lineRule="auto"/>
        <w:jc w:val="center"/>
        <w:rPr>
          <w:rFonts w:ascii="Times New Roman" w:hAnsi="Times New Roman" w:cs="Times New Roman"/>
          <w:sz w:val="24"/>
          <w:szCs w:val="24"/>
        </w:rPr>
      </w:pPr>
    </w:p>
    <w:p w14:paraId="2B91C69C" w14:textId="77777777" w:rsidR="00A03079" w:rsidRDefault="00A03079" w:rsidP="00A03079">
      <w:pPr>
        <w:spacing w:line="480" w:lineRule="auto"/>
        <w:jc w:val="center"/>
        <w:rPr>
          <w:rFonts w:ascii="Times New Roman" w:hAnsi="Times New Roman" w:cs="Times New Roman"/>
          <w:sz w:val="24"/>
          <w:szCs w:val="24"/>
        </w:rPr>
      </w:pPr>
    </w:p>
    <w:p w14:paraId="655D08B6" w14:textId="77777777" w:rsidR="00A03079" w:rsidRDefault="00A03079" w:rsidP="00A03079">
      <w:pPr>
        <w:spacing w:line="480" w:lineRule="auto"/>
        <w:jc w:val="center"/>
        <w:rPr>
          <w:rFonts w:ascii="Times New Roman" w:hAnsi="Times New Roman" w:cs="Times New Roman"/>
          <w:sz w:val="24"/>
          <w:szCs w:val="24"/>
        </w:rPr>
      </w:pPr>
    </w:p>
    <w:p w14:paraId="2B3DC913" w14:textId="77777777" w:rsidR="00A03079" w:rsidRDefault="00A03079" w:rsidP="00A03079">
      <w:pPr>
        <w:spacing w:line="480" w:lineRule="auto"/>
        <w:jc w:val="center"/>
        <w:rPr>
          <w:rFonts w:ascii="Times New Roman" w:hAnsi="Times New Roman" w:cs="Times New Roman"/>
          <w:sz w:val="24"/>
          <w:szCs w:val="24"/>
        </w:rPr>
      </w:pPr>
    </w:p>
    <w:p w14:paraId="7C0ACB6F" w14:textId="3D240E1A" w:rsidR="00267993" w:rsidRDefault="00EE54D5" w:rsidP="00A03079">
      <w:pPr>
        <w:spacing w:line="480" w:lineRule="auto"/>
        <w:jc w:val="center"/>
        <w:rPr>
          <w:rFonts w:ascii="Times New Roman" w:hAnsi="Times New Roman" w:cs="Times New Roman"/>
          <w:sz w:val="24"/>
          <w:szCs w:val="24"/>
        </w:rPr>
      </w:pPr>
      <w:r w:rsidRPr="00A03079">
        <w:rPr>
          <w:rFonts w:ascii="Times New Roman" w:hAnsi="Times New Roman" w:cs="Times New Roman"/>
          <w:sz w:val="24"/>
          <w:szCs w:val="24"/>
        </w:rPr>
        <w:lastRenderedPageBreak/>
        <w:t>Reference</w:t>
      </w:r>
      <w:r w:rsidR="008453F5" w:rsidRPr="00A03079">
        <w:rPr>
          <w:rFonts w:ascii="Times New Roman" w:hAnsi="Times New Roman" w:cs="Times New Roman"/>
          <w:sz w:val="24"/>
          <w:szCs w:val="24"/>
        </w:rPr>
        <w:t>s</w:t>
      </w:r>
    </w:p>
    <w:p w14:paraId="07618E58" w14:textId="0C578E27" w:rsidR="00CC286B" w:rsidRPr="00565445" w:rsidRDefault="00CC286B"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F</w:t>
      </w:r>
      <w:r w:rsidRPr="00565445">
        <w:rPr>
          <w:rFonts w:ascii="Times New Roman" w:hAnsi="Times New Roman" w:cs="Times New Roman"/>
          <w:sz w:val="24"/>
          <w:szCs w:val="24"/>
        </w:rPr>
        <w:t xml:space="preserve">ederal </w:t>
      </w:r>
      <w:r w:rsidRPr="00565445">
        <w:rPr>
          <w:rFonts w:ascii="Times New Roman" w:hAnsi="Times New Roman" w:cs="Times New Roman"/>
          <w:sz w:val="24"/>
          <w:szCs w:val="24"/>
        </w:rPr>
        <w:t>I</w:t>
      </w:r>
      <w:r w:rsidRPr="00565445">
        <w:rPr>
          <w:rFonts w:ascii="Times New Roman" w:hAnsi="Times New Roman" w:cs="Times New Roman"/>
          <w:sz w:val="24"/>
          <w:szCs w:val="24"/>
        </w:rPr>
        <w:t xml:space="preserve">nvestigation </w:t>
      </w:r>
      <w:r w:rsidRPr="00565445">
        <w:rPr>
          <w:rFonts w:ascii="Times New Roman" w:hAnsi="Times New Roman" w:cs="Times New Roman"/>
          <w:sz w:val="24"/>
          <w:szCs w:val="24"/>
        </w:rPr>
        <w:t>B</w:t>
      </w:r>
      <w:r w:rsidRPr="00565445">
        <w:rPr>
          <w:rFonts w:ascii="Times New Roman" w:hAnsi="Times New Roman" w:cs="Times New Roman"/>
          <w:sz w:val="24"/>
          <w:szCs w:val="24"/>
        </w:rPr>
        <w:t>ureau</w:t>
      </w:r>
      <w:r w:rsidRPr="00565445">
        <w:rPr>
          <w:rFonts w:ascii="Times New Roman" w:hAnsi="Times New Roman" w:cs="Times New Roman"/>
          <w:sz w:val="24"/>
          <w:szCs w:val="24"/>
        </w:rPr>
        <w:t xml:space="preserve"> (FBI). (2024). </w:t>
      </w:r>
      <w:r w:rsidRPr="000A76BA">
        <w:rPr>
          <w:rFonts w:ascii="Times New Roman" w:hAnsi="Times New Roman" w:cs="Times New Roman"/>
          <w:i/>
          <w:iCs/>
          <w:sz w:val="24"/>
          <w:szCs w:val="24"/>
        </w:rPr>
        <w:t>National Cyber Investigative Joint Task Force</w:t>
      </w:r>
      <w:r w:rsidRPr="00565445">
        <w:rPr>
          <w:rFonts w:ascii="Times New Roman" w:hAnsi="Times New Roman" w:cs="Times New Roman"/>
          <w:sz w:val="24"/>
          <w:szCs w:val="24"/>
        </w:rPr>
        <w:t xml:space="preserve">. </w:t>
      </w:r>
      <w:hyperlink r:id="rId8" w:history="1">
        <w:r w:rsidRPr="00565445">
          <w:rPr>
            <w:rStyle w:val="Hyperlink"/>
            <w:rFonts w:ascii="Times New Roman" w:hAnsi="Times New Roman" w:cs="Times New Roman"/>
            <w:sz w:val="24"/>
            <w:szCs w:val="24"/>
          </w:rPr>
          <w:t>https://www.fbi.gov/investigate/cyber/national-cyber-investigative-joint-task-force</w:t>
        </w:r>
      </w:hyperlink>
      <w:r w:rsidRPr="00565445">
        <w:rPr>
          <w:rFonts w:ascii="Times New Roman" w:hAnsi="Times New Roman" w:cs="Times New Roman"/>
          <w:sz w:val="24"/>
          <w:szCs w:val="24"/>
        </w:rPr>
        <w:t xml:space="preserve">. </w:t>
      </w:r>
    </w:p>
    <w:p w14:paraId="5EB8C455" w14:textId="79557284" w:rsidR="00CC286B" w:rsidRPr="00565445" w:rsidRDefault="00CC286B"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 xml:space="preserve">Office of Justice Programs (OJP). (1986). </w:t>
      </w:r>
      <w:r w:rsidRPr="000A76BA">
        <w:rPr>
          <w:rFonts w:ascii="Times New Roman" w:hAnsi="Times New Roman" w:cs="Times New Roman"/>
          <w:i/>
          <w:iCs/>
          <w:sz w:val="24"/>
          <w:szCs w:val="24"/>
        </w:rPr>
        <w:t>Electronic Communications Privacy Act of 1986 (ECPA)</w:t>
      </w:r>
      <w:r w:rsidRPr="00565445">
        <w:rPr>
          <w:rFonts w:ascii="Times New Roman" w:hAnsi="Times New Roman" w:cs="Times New Roman"/>
          <w:sz w:val="24"/>
          <w:szCs w:val="24"/>
        </w:rPr>
        <w:t xml:space="preserve">. </w:t>
      </w:r>
      <w:hyperlink r:id="rId9" w:history="1">
        <w:r w:rsidRPr="00565445">
          <w:rPr>
            <w:rStyle w:val="Hyperlink"/>
            <w:rFonts w:ascii="Times New Roman" w:hAnsi="Times New Roman" w:cs="Times New Roman"/>
            <w:sz w:val="24"/>
            <w:szCs w:val="24"/>
          </w:rPr>
          <w:t>https://bja.ojp.gov/program/it/privacy-civil-liberties/authorities/statutes/1285</w:t>
        </w:r>
      </w:hyperlink>
      <w:r w:rsidRPr="00565445">
        <w:rPr>
          <w:rFonts w:ascii="Times New Roman" w:hAnsi="Times New Roman" w:cs="Times New Roman"/>
          <w:sz w:val="24"/>
          <w:szCs w:val="24"/>
        </w:rPr>
        <w:t xml:space="preserve">. </w:t>
      </w:r>
    </w:p>
    <w:p w14:paraId="00E105AD" w14:textId="61F64075" w:rsidR="004C0595" w:rsidRPr="00565445" w:rsidRDefault="004C0595"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U.S. D</w:t>
      </w:r>
      <w:r w:rsidRPr="00565445">
        <w:rPr>
          <w:rFonts w:ascii="Times New Roman" w:hAnsi="Times New Roman" w:cs="Times New Roman"/>
          <w:sz w:val="24"/>
          <w:szCs w:val="24"/>
        </w:rPr>
        <w:t xml:space="preserve">epartment of Justice (DOJ). (2022). </w:t>
      </w:r>
      <w:r w:rsidRPr="000A76BA">
        <w:rPr>
          <w:rFonts w:ascii="Times New Roman" w:hAnsi="Times New Roman" w:cs="Times New Roman"/>
          <w:i/>
          <w:iCs/>
          <w:sz w:val="24"/>
          <w:szCs w:val="24"/>
        </w:rPr>
        <w:t>Mutual Legal Assistance Treaties of the United States (MLATS)</w:t>
      </w:r>
      <w:r w:rsidRPr="00565445">
        <w:rPr>
          <w:rFonts w:ascii="Times New Roman" w:hAnsi="Times New Roman" w:cs="Times New Roman"/>
          <w:sz w:val="24"/>
          <w:szCs w:val="24"/>
        </w:rPr>
        <w:t xml:space="preserve">. </w:t>
      </w:r>
      <w:hyperlink r:id="rId10" w:history="1">
        <w:r w:rsidRPr="00565445">
          <w:rPr>
            <w:rStyle w:val="Hyperlink"/>
            <w:rFonts w:ascii="Times New Roman" w:hAnsi="Times New Roman" w:cs="Times New Roman"/>
            <w:sz w:val="24"/>
            <w:szCs w:val="24"/>
          </w:rPr>
          <w:t>https://www.justice.gov/d9/pages/attachments/2022/05/04/mutual-legal-assistance-treaties-of-the-united-states.pdf</w:t>
        </w:r>
      </w:hyperlink>
      <w:r w:rsidRPr="00565445">
        <w:rPr>
          <w:rFonts w:ascii="Times New Roman" w:hAnsi="Times New Roman" w:cs="Times New Roman"/>
          <w:sz w:val="24"/>
          <w:szCs w:val="24"/>
        </w:rPr>
        <w:t xml:space="preserve">. </w:t>
      </w:r>
    </w:p>
    <w:p w14:paraId="5D22A765" w14:textId="12CBEBD9" w:rsidR="004C0595" w:rsidRPr="00565445" w:rsidRDefault="004C0595"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Department of Homeland Security (DHS). (2024</w:t>
      </w:r>
      <w:r w:rsidRPr="000A76BA">
        <w:rPr>
          <w:rFonts w:ascii="Times New Roman" w:hAnsi="Times New Roman" w:cs="Times New Roman"/>
          <w:i/>
          <w:iCs/>
          <w:sz w:val="24"/>
          <w:szCs w:val="24"/>
        </w:rPr>
        <w:t>). Cybercrime</w:t>
      </w:r>
      <w:r w:rsidRPr="00565445">
        <w:rPr>
          <w:rFonts w:ascii="Times New Roman" w:hAnsi="Times New Roman" w:cs="Times New Roman"/>
          <w:sz w:val="24"/>
          <w:szCs w:val="24"/>
        </w:rPr>
        <w:t xml:space="preserve">.  </w:t>
      </w:r>
      <w:hyperlink r:id="rId11" w:history="1">
        <w:r w:rsidRPr="00565445">
          <w:rPr>
            <w:rStyle w:val="Hyperlink"/>
            <w:rFonts w:ascii="Times New Roman" w:hAnsi="Times New Roman" w:cs="Times New Roman"/>
            <w:sz w:val="24"/>
            <w:szCs w:val="24"/>
          </w:rPr>
          <w:t>https://www.dhs.gov/hsi/investigate/cybercrime</w:t>
        </w:r>
      </w:hyperlink>
      <w:r w:rsidRPr="00565445">
        <w:rPr>
          <w:rFonts w:ascii="Times New Roman" w:hAnsi="Times New Roman" w:cs="Times New Roman"/>
          <w:sz w:val="24"/>
          <w:szCs w:val="24"/>
        </w:rPr>
        <w:t xml:space="preserve">. </w:t>
      </w:r>
    </w:p>
    <w:p w14:paraId="7C646156" w14:textId="1F9D7254" w:rsidR="00565445" w:rsidRPr="00565445" w:rsidRDefault="00565445"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Securities and Exchange Commission (SEC). (2024).</w:t>
      </w:r>
      <w:r w:rsidRPr="00565445">
        <w:rPr>
          <w:rFonts w:ascii="Times New Roman" w:eastAsia="Times New Roman" w:hAnsi="Times New Roman" w:cs="Times New Roman"/>
          <w:color w:val="1B1B1B"/>
          <w:sz w:val="24"/>
          <w:szCs w:val="24"/>
        </w:rPr>
        <w:t xml:space="preserve"> </w:t>
      </w:r>
      <w:r w:rsidRPr="000A76BA">
        <w:rPr>
          <w:rFonts w:ascii="Times New Roman" w:hAnsi="Times New Roman" w:cs="Times New Roman"/>
          <w:i/>
          <w:iCs/>
          <w:sz w:val="24"/>
          <w:szCs w:val="24"/>
        </w:rPr>
        <w:t>Hacking/Insider Trading</w:t>
      </w:r>
      <w:r w:rsidRPr="00565445">
        <w:rPr>
          <w:rFonts w:ascii="Times New Roman" w:hAnsi="Times New Roman" w:cs="Times New Roman"/>
          <w:sz w:val="24"/>
          <w:szCs w:val="24"/>
        </w:rPr>
        <w:t xml:space="preserve">. </w:t>
      </w:r>
      <w:hyperlink r:id="rId12" w:history="1">
        <w:r w:rsidRPr="00565445">
          <w:rPr>
            <w:rStyle w:val="Hyperlink"/>
            <w:rFonts w:ascii="Times New Roman" w:hAnsi="Times New Roman" w:cs="Times New Roman"/>
            <w:sz w:val="24"/>
            <w:szCs w:val="24"/>
          </w:rPr>
          <w:t>https://www.sec.gov/securities-topics/crypto-assets#hacking</w:t>
        </w:r>
      </w:hyperlink>
      <w:r w:rsidRPr="00565445">
        <w:rPr>
          <w:rFonts w:ascii="Times New Roman" w:hAnsi="Times New Roman" w:cs="Times New Roman"/>
          <w:sz w:val="24"/>
          <w:szCs w:val="24"/>
        </w:rPr>
        <w:t xml:space="preserve">. </w:t>
      </w:r>
    </w:p>
    <w:p w14:paraId="78E8CA60" w14:textId="2AB98327" w:rsidR="00565445" w:rsidRPr="00565445" w:rsidRDefault="00565445"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 xml:space="preserve">Interpol. (2024). </w:t>
      </w:r>
      <w:r w:rsidRPr="000A76BA">
        <w:rPr>
          <w:rFonts w:ascii="Times New Roman" w:hAnsi="Times New Roman" w:cs="Times New Roman"/>
          <w:i/>
          <w:iCs/>
          <w:sz w:val="24"/>
          <w:szCs w:val="24"/>
        </w:rPr>
        <w:t>Cybercrime</w:t>
      </w:r>
      <w:r w:rsidRPr="00565445">
        <w:rPr>
          <w:rFonts w:ascii="Times New Roman" w:hAnsi="Times New Roman" w:cs="Times New Roman"/>
          <w:sz w:val="24"/>
          <w:szCs w:val="24"/>
        </w:rPr>
        <w:t xml:space="preserve">. </w:t>
      </w:r>
      <w:hyperlink r:id="rId13" w:history="1">
        <w:r w:rsidRPr="00565445">
          <w:rPr>
            <w:rStyle w:val="Hyperlink"/>
            <w:rFonts w:ascii="Times New Roman" w:hAnsi="Times New Roman" w:cs="Times New Roman"/>
            <w:sz w:val="24"/>
            <w:szCs w:val="24"/>
          </w:rPr>
          <w:t>https://www.interpol.int/en/Crimes/Cybercrime</w:t>
        </w:r>
      </w:hyperlink>
      <w:r w:rsidRPr="00565445">
        <w:rPr>
          <w:rFonts w:ascii="Times New Roman" w:hAnsi="Times New Roman" w:cs="Times New Roman"/>
          <w:sz w:val="24"/>
          <w:szCs w:val="24"/>
        </w:rPr>
        <w:t xml:space="preserve">. </w:t>
      </w:r>
    </w:p>
    <w:p w14:paraId="23FA9A64" w14:textId="6FD09924" w:rsidR="00565445" w:rsidRPr="00565445" w:rsidRDefault="00565445" w:rsidP="00565445">
      <w:pPr>
        <w:spacing w:line="480" w:lineRule="auto"/>
        <w:rPr>
          <w:rFonts w:ascii="Times New Roman" w:hAnsi="Times New Roman" w:cs="Times New Roman"/>
          <w:sz w:val="24"/>
          <w:szCs w:val="24"/>
        </w:rPr>
      </w:pPr>
      <w:r w:rsidRPr="00565445">
        <w:rPr>
          <w:rFonts w:ascii="Times New Roman" w:hAnsi="Times New Roman" w:cs="Times New Roman"/>
          <w:sz w:val="24"/>
          <w:szCs w:val="24"/>
        </w:rPr>
        <w:t>Solomon, M. G., Rudolph, K., Tittel, E., Broom, N., &amp; Barrett, D. (2011). </w:t>
      </w:r>
      <w:r w:rsidRPr="000A76BA">
        <w:rPr>
          <w:rFonts w:ascii="Times New Roman" w:hAnsi="Times New Roman" w:cs="Times New Roman"/>
          <w:i/>
          <w:iCs/>
          <w:sz w:val="24"/>
          <w:szCs w:val="24"/>
        </w:rPr>
        <w:t>Computer forensics jumpstart.</w:t>
      </w:r>
      <w:r w:rsidRPr="00565445">
        <w:rPr>
          <w:rFonts w:ascii="Times New Roman" w:hAnsi="Times New Roman" w:cs="Times New Roman"/>
          <w:sz w:val="24"/>
          <w:szCs w:val="24"/>
        </w:rPr>
        <w:t xml:space="preserve"> John Wiley &amp; Sons, Incorporated.</w:t>
      </w:r>
    </w:p>
    <w:p w14:paraId="3307665C" w14:textId="77777777" w:rsidR="00CC286B" w:rsidRPr="00CC286B" w:rsidRDefault="00CC286B" w:rsidP="00CC286B">
      <w:pPr>
        <w:spacing w:line="480" w:lineRule="auto"/>
        <w:rPr>
          <w:rFonts w:ascii="Times New Roman" w:hAnsi="Times New Roman" w:cs="Times New Roman"/>
          <w:sz w:val="24"/>
          <w:szCs w:val="24"/>
        </w:rPr>
      </w:pPr>
    </w:p>
    <w:p w14:paraId="5D797FE9" w14:textId="449E76F9" w:rsidR="00CC286B" w:rsidRPr="00A03079" w:rsidRDefault="00CC286B" w:rsidP="00A03079">
      <w:pPr>
        <w:spacing w:line="480" w:lineRule="auto"/>
        <w:jc w:val="center"/>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highlight w:val="yellow"/>
        </w:rPr>
      </w:sdtEndPr>
      <w:sdtContent>
        <w:p w14:paraId="3D2136B4" w14:textId="0210FD98" w:rsidR="006D5B22" w:rsidRPr="000A76BA" w:rsidRDefault="00B02167" w:rsidP="000A76BA">
          <w:pPr>
            <w:spacing w:after="0" w:line="480" w:lineRule="auto"/>
            <w:ind w:left="720" w:hanging="720"/>
            <w:rPr>
              <w:rFonts w:ascii="Times New Roman" w:hAnsi="Times New Roman" w:cs="Times New Roman"/>
              <w:sz w:val="24"/>
              <w:szCs w:val="24"/>
            </w:rPr>
          </w:pPr>
          <w:r w:rsidRPr="00A03079">
            <w:rPr>
              <w:rFonts w:ascii="Times New Roman" w:hAnsi="Times New Roman" w:cs="Times New Roman"/>
              <w:sz w:val="24"/>
              <w:szCs w:val="24"/>
              <w:highlight w:val="yellow"/>
            </w:rPr>
            <w:fldChar w:fldCharType="begin"/>
          </w:r>
          <w:r w:rsidRPr="00A03079">
            <w:rPr>
              <w:rFonts w:ascii="Times New Roman" w:hAnsi="Times New Roman" w:cs="Times New Roman"/>
              <w:sz w:val="24"/>
              <w:szCs w:val="24"/>
              <w:highlight w:val="yellow"/>
            </w:rPr>
            <w:instrText xml:space="preserve"> BIBLIOGRAPHY </w:instrText>
          </w:r>
          <w:r w:rsidRPr="00A03079">
            <w:rPr>
              <w:rFonts w:ascii="Times New Roman" w:hAnsi="Times New Roman" w:cs="Times New Roman"/>
              <w:sz w:val="24"/>
              <w:szCs w:val="24"/>
              <w:highlight w:val="yellow"/>
            </w:rPr>
            <w:fldChar w:fldCharType="end"/>
          </w:r>
        </w:p>
      </w:sdtContent>
    </w:sdt>
    <w:p w14:paraId="3C883BB5" w14:textId="77777777" w:rsidR="00FF1C21" w:rsidRPr="00A03079" w:rsidRDefault="00FF1C21" w:rsidP="00A03079">
      <w:pPr>
        <w:spacing w:before="100" w:beforeAutospacing="1" w:after="100" w:afterAutospacing="1" w:line="480" w:lineRule="auto"/>
        <w:ind w:left="567" w:hanging="567"/>
        <w:rPr>
          <w:rFonts w:ascii="Times New Roman" w:eastAsia="Times New Roman" w:hAnsi="Times New Roman" w:cs="Times New Roman"/>
          <w:sz w:val="24"/>
          <w:szCs w:val="24"/>
        </w:rPr>
      </w:pPr>
    </w:p>
    <w:p w14:paraId="1AD30BDA" w14:textId="77777777" w:rsidR="00FF1C21" w:rsidRPr="00A03079" w:rsidRDefault="00FF1C21" w:rsidP="00A03079">
      <w:pPr>
        <w:spacing w:before="100" w:beforeAutospacing="1" w:after="100" w:afterAutospacing="1" w:line="480" w:lineRule="auto"/>
        <w:ind w:left="567" w:hanging="567"/>
        <w:rPr>
          <w:rFonts w:ascii="Times New Roman" w:eastAsia="Times New Roman" w:hAnsi="Times New Roman" w:cs="Times New Roman"/>
          <w:sz w:val="24"/>
          <w:szCs w:val="24"/>
        </w:rPr>
      </w:pPr>
    </w:p>
    <w:p w14:paraId="1C1BAFA5" w14:textId="5154E00D" w:rsidR="00D83EA9" w:rsidRPr="00A03079" w:rsidRDefault="00D83EA9" w:rsidP="00A03079">
      <w:pPr>
        <w:spacing w:before="100" w:beforeAutospacing="1" w:after="100" w:afterAutospacing="1" w:line="480" w:lineRule="auto"/>
        <w:ind w:left="567" w:hanging="567"/>
        <w:rPr>
          <w:rFonts w:ascii="Times New Roman" w:eastAsia="Times New Roman" w:hAnsi="Times New Roman" w:cs="Times New Roman"/>
          <w:sz w:val="24"/>
          <w:szCs w:val="24"/>
        </w:rPr>
      </w:pPr>
      <w:r w:rsidRPr="00A03079">
        <w:rPr>
          <w:rFonts w:ascii="Times New Roman" w:eastAsia="Times New Roman" w:hAnsi="Times New Roman" w:cs="Times New Roman"/>
          <w:sz w:val="24"/>
          <w:szCs w:val="24"/>
        </w:rPr>
        <w:lastRenderedPageBreak/>
        <w:br/>
      </w:r>
    </w:p>
    <w:p w14:paraId="18712C22" w14:textId="77777777" w:rsidR="00D83EA9" w:rsidRPr="00A03079" w:rsidRDefault="00D83EA9" w:rsidP="00A03079">
      <w:pPr>
        <w:spacing w:before="100" w:beforeAutospacing="1" w:after="100" w:afterAutospacing="1" w:line="480" w:lineRule="auto"/>
        <w:ind w:left="567" w:hanging="567"/>
        <w:rPr>
          <w:rFonts w:ascii="Times New Roman" w:eastAsia="Times New Roman" w:hAnsi="Times New Roman" w:cs="Times New Roman"/>
          <w:sz w:val="24"/>
          <w:szCs w:val="24"/>
        </w:rPr>
      </w:pPr>
    </w:p>
    <w:p w14:paraId="142AF203" w14:textId="77777777" w:rsidR="00EE54D5" w:rsidRPr="00A03079" w:rsidRDefault="00EE54D5" w:rsidP="00A03079">
      <w:pPr>
        <w:spacing w:before="100" w:beforeAutospacing="1" w:after="100" w:afterAutospacing="1" w:line="480" w:lineRule="auto"/>
        <w:ind w:left="567" w:hanging="567"/>
        <w:rPr>
          <w:rFonts w:ascii="Times New Roman" w:eastAsia="Times New Roman" w:hAnsi="Times New Roman" w:cs="Times New Roman"/>
          <w:sz w:val="24"/>
          <w:szCs w:val="24"/>
        </w:rPr>
      </w:pPr>
    </w:p>
    <w:p w14:paraId="3C113808" w14:textId="77777777" w:rsidR="00EE54D5" w:rsidRPr="00A03079" w:rsidRDefault="00EE54D5" w:rsidP="00A03079">
      <w:pPr>
        <w:spacing w:line="480" w:lineRule="auto"/>
        <w:rPr>
          <w:rFonts w:ascii="Times New Roman" w:hAnsi="Times New Roman" w:cs="Times New Roman"/>
          <w:sz w:val="24"/>
          <w:szCs w:val="24"/>
        </w:rPr>
      </w:pPr>
    </w:p>
    <w:p w14:paraId="2B019889" w14:textId="53770B54" w:rsidR="00267993" w:rsidRPr="00A03079" w:rsidRDefault="00267993" w:rsidP="00A03079">
      <w:pPr>
        <w:spacing w:line="480" w:lineRule="auto"/>
        <w:jc w:val="center"/>
        <w:rPr>
          <w:rFonts w:ascii="Times New Roman" w:hAnsi="Times New Roman" w:cs="Times New Roman"/>
          <w:sz w:val="24"/>
          <w:szCs w:val="24"/>
        </w:rPr>
      </w:pPr>
    </w:p>
    <w:p w14:paraId="40C74E03" w14:textId="1D13A32A" w:rsidR="00267993" w:rsidRPr="00A03079" w:rsidRDefault="00267993" w:rsidP="00A03079">
      <w:pPr>
        <w:spacing w:line="480" w:lineRule="auto"/>
        <w:jc w:val="center"/>
        <w:rPr>
          <w:rFonts w:ascii="Times New Roman" w:hAnsi="Times New Roman" w:cs="Times New Roman"/>
          <w:sz w:val="24"/>
          <w:szCs w:val="24"/>
        </w:rPr>
      </w:pPr>
    </w:p>
    <w:p w14:paraId="5D7DE59A" w14:textId="41DE31AB" w:rsidR="00267993" w:rsidRPr="00A03079" w:rsidRDefault="00267993" w:rsidP="00A03079">
      <w:pPr>
        <w:spacing w:line="480" w:lineRule="auto"/>
        <w:jc w:val="center"/>
        <w:rPr>
          <w:rFonts w:ascii="Times New Roman" w:hAnsi="Times New Roman" w:cs="Times New Roman"/>
          <w:sz w:val="24"/>
          <w:szCs w:val="24"/>
        </w:rPr>
      </w:pPr>
    </w:p>
    <w:p w14:paraId="0424361B" w14:textId="62E1CAEB" w:rsidR="00267993" w:rsidRPr="00A03079" w:rsidRDefault="00267993" w:rsidP="00A03079">
      <w:pPr>
        <w:spacing w:line="480" w:lineRule="auto"/>
        <w:jc w:val="center"/>
        <w:rPr>
          <w:rFonts w:ascii="Times New Roman" w:hAnsi="Times New Roman" w:cs="Times New Roman"/>
          <w:sz w:val="24"/>
          <w:szCs w:val="24"/>
        </w:rPr>
      </w:pPr>
    </w:p>
    <w:p w14:paraId="0B3275C3" w14:textId="29DC6BE5" w:rsidR="004E4C3F" w:rsidRPr="00A03079" w:rsidRDefault="004E4C3F" w:rsidP="00A03079">
      <w:pPr>
        <w:spacing w:line="480" w:lineRule="auto"/>
        <w:jc w:val="center"/>
        <w:rPr>
          <w:rFonts w:ascii="Times New Roman" w:hAnsi="Times New Roman" w:cs="Times New Roman"/>
          <w:sz w:val="24"/>
          <w:szCs w:val="24"/>
        </w:rPr>
      </w:pPr>
    </w:p>
    <w:sectPr w:rsidR="004E4C3F" w:rsidRPr="00A030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346B5" w14:textId="77777777" w:rsidR="003C3D56" w:rsidRDefault="003C3D56" w:rsidP="00717680">
      <w:pPr>
        <w:spacing w:after="0" w:line="240" w:lineRule="auto"/>
      </w:pPr>
      <w:r>
        <w:separator/>
      </w:r>
    </w:p>
  </w:endnote>
  <w:endnote w:type="continuationSeparator" w:id="0">
    <w:p w14:paraId="2DC394F7" w14:textId="77777777" w:rsidR="003C3D56" w:rsidRDefault="003C3D56" w:rsidP="0071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6F249" w14:textId="77777777" w:rsidR="003C3D56" w:rsidRDefault="003C3D56" w:rsidP="00717680">
      <w:pPr>
        <w:spacing w:after="0" w:line="240" w:lineRule="auto"/>
      </w:pPr>
      <w:r>
        <w:separator/>
      </w:r>
    </w:p>
  </w:footnote>
  <w:footnote w:type="continuationSeparator" w:id="0">
    <w:p w14:paraId="3959E74C" w14:textId="77777777" w:rsidR="003C3D56" w:rsidRDefault="003C3D56" w:rsidP="0071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5B33"/>
    <w:multiLevelType w:val="multilevel"/>
    <w:tmpl w:val="0FF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B344E"/>
    <w:multiLevelType w:val="multilevel"/>
    <w:tmpl w:val="89EE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4367D"/>
    <w:multiLevelType w:val="multilevel"/>
    <w:tmpl w:val="126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C07A6"/>
    <w:multiLevelType w:val="multilevel"/>
    <w:tmpl w:val="4D6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028E8"/>
    <w:multiLevelType w:val="multilevel"/>
    <w:tmpl w:val="F55E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35537">
    <w:abstractNumId w:val="6"/>
  </w:num>
  <w:num w:numId="2" w16cid:durableId="1667317758">
    <w:abstractNumId w:val="4"/>
  </w:num>
  <w:num w:numId="3" w16cid:durableId="255527195">
    <w:abstractNumId w:val="1"/>
  </w:num>
  <w:num w:numId="4" w16cid:durableId="129447149">
    <w:abstractNumId w:val="0"/>
  </w:num>
  <w:num w:numId="5" w16cid:durableId="2086875041">
    <w:abstractNumId w:val="3"/>
  </w:num>
  <w:num w:numId="6" w16cid:durableId="1409155506">
    <w:abstractNumId w:val="7"/>
  </w:num>
  <w:num w:numId="7" w16cid:durableId="1640765445">
    <w:abstractNumId w:val="2"/>
  </w:num>
  <w:num w:numId="8" w16cid:durableId="604384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13089"/>
    <w:rsid w:val="00013867"/>
    <w:rsid w:val="00023967"/>
    <w:rsid w:val="00023B9D"/>
    <w:rsid w:val="00065659"/>
    <w:rsid w:val="00072311"/>
    <w:rsid w:val="000A4479"/>
    <w:rsid w:val="000A7584"/>
    <w:rsid w:val="000A76BA"/>
    <w:rsid w:val="000B55C3"/>
    <w:rsid w:val="000C4D10"/>
    <w:rsid w:val="000D2B2B"/>
    <w:rsid w:val="000D4C0E"/>
    <w:rsid w:val="000E3B06"/>
    <w:rsid w:val="000E6BED"/>
    <w:rsid w:val="000F4A0B"/>
    <w:rsid w:val="000F6DE7"/>
    <w:rsid w:val="001073DE"/>
    <w:rsid w:val="00111C45"/>
    <w:rsid w:val="001454A3"/>
    <w:rsid w:val="00146896"/>
    <w:rsid w:val="00147BF6"/>
    <w:rsid w:val="00174F64"/>
    <w:rsid w:val="00181152"/>
    <w:rsid w:val="0018499D"/>
    <w:rsid w:val="00184AE8"/>
    <w:rsid w:val="00185C3E"/>
    <w:rsid w:val="0018798A"/>
    <w:rsid w:val="00187D26"/>
    <w:rsid w:val="001A5E49"/>
    <w:rsid w:val="001D177F"/>
    <w:rsid w:val="00207F18"/>
    <w:rsid w:val="0021161E"/>
    <w:rsid w:val="00213BC0"/>
    <w:rsid w:val="00235B56"/>
    <w:rsid w:val="00260A3D"/>
    <w:rsid w:val="00261BDA"/>
    <w:rsid w:val="00262F5D"/>
    <w:rsid w:val="00266EA6"/>
    <w:rsid w:val="00267993"/>
    <w:rsid w:val="00270E8A"/>
    <w:rsid w:val="00281D9B"/>
    <w:rsid w:val="002902F3"/>
    <w:rsid w:val="00296989"/>
    <w:rsid w:val="002A26D5"/>
    <w:rsid w:val="002A6CB1"/>
    <w:rsid w:val="002B1356"/>
    <w:rsid w:val="002B60CE"/>
    <w:rsid w:val="002B6A19"/>
    <w:rsid w:val="002B6FB0"/>
    <w:rsid w:val="002C5F0F"/>
    <w:rsid w:val="002D6738"/>
    <w:rsid w:val="002E3BA6"/>
    <w:rsid w:val="002F1622"/>
    <w:rsid w:val="002F302E"/>
    <w:rsid w:val="003049E7"/>
    <w:rsid w:val="00307AC3"/>
    <w:rsid w:val="0031263E"/>
    <w:rsid w:val="0032737D"/>
    <w:rsid w:val="00330D28"/>
    <w:rsid w:val="0035727A"/>
    <w:rsid w:val="00371004"/>
    <w:rsid w:val="003816C3"/>
    <w:rsid w:val="00384D01"/>
    <w:rsid w:val="003A2151"/>
    <w:rsid w:val="003B0311"/>
    <w:rsid w:val="003B5BB8"/>
    <w:rsid w:val="003B6C8D"/>
    <w:rsid w:val="003C3D56"/>
    <w:rsid w:val="003C76C6"/>
    <w:rsid w:val="003E2C1F"/>
    <w:rsid w:val="00401CA9"/>
    <w:rsid w:val="00436E7F"/>
    <w:rsid w:val="00444A5C"/>
    <w:rsid w:val="00456A95"/>
    <w:rsid w:val="00472775"/>
    <w:rsid w:val="00477FDC"/>
    <w:rsid w:val="00487BBC"/>
    <w:rsid w:val="00490BD3"/>
    <w:rsid w:val="00497059"/>
    <w:rsid w:val="00497924"/>
    <w:rsid w:val="004A0430"/>
    <w:rsid w:val="004B781F"/>
    <w:rsid w:val="004C0595"/>
    <w:rsid w:val="004C6355"/>
    <w:rsid w:val="004D6A91"/>
    <w:rsid w:val="004E4C3F"/>
    <w:rsid w:val="004F599A"/>
    <w:rsid w:val="004F5D00"/>
    <w:rsid w:val="00514E9E"/>
    <w:rsid w:val="005176DE"/>
    <w:rsid w:val="00542901"/>
    <w:rsid w:val="00546C4C"/>
    <w:rsid w:val="0054787E"/>
    <w:rsid w:val="0055666C"/>
    <w:rsid w:val="00565445"/>
    <w:rsid w:val="00583DC2"/>
    <w:rsid w:val="00584718"/>
    <w:rsid w:val="0058796F"/>
    <w:rsid w:val="00592BC9"/>
    <w:rsid w:val="005A29D0"/>
    <w:rsid w:val="005A64E2"/>
    <w:rsid w:val="005A6AB7"/>
    <w:rsid w:val="005D55EE"/>
    <w:rsid w:val="005E2448"/>
    <w:rsid w:val="005F1267"/>
    <w:rsid w:val="006020BE"/>
    <w:rsid w:val="00607A68"/>
    <w:rsid w:val="00607D8E"/>
    <w:rsid w:val="0061401F"/>
    <w:rsid w:val="006140BF"/>
    <w:rsid w:val="0061420A"/>
    <w:rsid w:val="00615996"/>
    <w:rsid w:val="00622A83"/>
    <w:rsid w:val="00622AC6"/>
    <w:rsid w:val="0064163D"/>
    <w:rsid w:val="00662552"/>
    <w:rsid w:val="00666507"/>
    <w:rsid w:val="00672F0C"/>
    <w:rsid w:val="00693572"/>
    <w:rsid w:val="00694E8B"/>
    <w:rsid w:val="006C3A8B"/>
    <w:rsid w:val="006C78FC"/>
    <w:rsid w:val="006D40F1"/>
    <w:rsid w:val="006D5B22"/>
    <w:rsid w:val="006E0F7E"/>
    <w:rsid w:val="006F24BC"/>
    <w:rsid w:val="00702B33"/>
    <w:rsid w:val="00703CD0"/>
    <w:rsid w:val="007123E7"/>
    <w:rsid w:val="007144B5"/>
    <w:rsid w:val="00717680"/>
    <w:rsid w:val="00722B79"/>
    <w:rsid w:val="00727692"/>
    <w:rsid w:val="0073029E"/>
    <w:rsid w:val="00733A15"/>
    <w:rsid w:val="00743089"/>
    <w:rsid w:val="00764645"/>
    <w:rsid w:val="007646FD"/>
    <w:rsid w:val="00770817"/>
    <w:rsid w:val="00773E73"/>
    <w:rsid w:val="00796AF6"/>
    <w:rsid w:val="007A538B"/>
    <w:rsid w:val="007B428C"/>
    <w:rsid w:val="007B4E4F"/>
    <w:rsid w:val="007B600C"/>
    <w:rsid w:val="007C24C2"/>
    <w:rsid w:val="007C7DD5"/>
    <w:rsid w:val="007E01D8"/>
    <w:rsid w:val="007E4A8F"/>
    <w:rsid w:val="007E71A1"/>
    <w:rsid w:val="007F5304"/>
    <w:rsid w:val="00810D62"/>
    <w:rsid w:val="00813B55"/>
    <w:rsid w:val="00814F93"/>
    <w:rsid w:val="0083330C"/>
    <w:rsid w:val="008453F5"/>
    <w:rsid w:val="008505EC"/>
    <w:rsid w:val="008522BB"/>
    <w:rsid w:val="00880A2B"/>
    <w:rsid w:val="00883AA4"/>
    <w:rsid w:val="008865B2"/>
    <w:rsid w:val="00887712"/>
    <w:rsid w:val="0089643C"/>
    <w:rsid w:val="00896CF5"/>
    <w:rsid w:val="008A6D26"/>
    <w:rsid w:val="008B42B5"/>
    <w:rsid w:val="008C0636"/>
    <w:rsid w:val="008E2975"/>
    <w:rsid w:val="008F7430"/>
    <w:rsid w:val="00904C98"/>
    <w:rsid w:val="00912BD6"/>
    <w:rsid w:val="00935A64"/>
    <w:rsid w:val="00946049"/>
    <w:rsid w:val="00950ED9"/>
    <w:rsid w:val="00960F3B"/>
    <w:rsid w:val="00964EE3"/>
    <w:rsid w:val="00970544"/>
    <w:rsid w:val="00986F74"/>
    <w:rsid w:val="0099652A"/>
    <w:rsid w:val="009A168E"/>
    <w:rsid w:val="009A18D7"/>
    <w:rsid w:val="009A6005"/>
    <w:rsid w:val="009B6AF5"/>
    <w:rsid w:val="009D0222"/>
    <w:rsid w:val="009D33D1"/>
    <w:rsid w:val="009D7669"/>
    <w:rsid w:val="009E1C17"/>
    <w:rsid w:val="009E2C29"/>
    <w:rsid w:val="009E777B"/>
    <w:rsid w:val="009F2BFA"/>
    <w:rsid w:val="009F3920"/>
    <w:rsid w:val="009F5C5B"/>
    <w:rsid w:val="00A03079"/>
    <w:rsid w:val="00A0391F"/>
    <w:rsid w:val="00A1407C"/>
    <w:rsid w:val="00A1518A"/>
    <w:rsid w:val="00A16E3A"/>
    <w:rsid w:val="00A3472D"/>
    <w:rsid w:val="00A35F77"/>
    <w:rsid w:val="00A4057E"/>
    <w:rsid w:val="00A43BCC"/>
    <w:rsid w:val="00A54412"/>
    <w:rsid w:val="00A61CDD"/>
    <w:rsid w:val="00A8491F"/>
    <w:rsid w:val="00A926A9"/>
    <w:rsid w:val="00AA44EA"/>
    <w:rsid w:val="00AB0855"/>
    <w:rsid w:val="00AB7FC7"/>
    <w:rsid w:val="00AC31E6"/>
    <w:rsid w:val="00AD256B"/>
    <w:rsid w:val="00AD55CB"/>
    <w:rsid w:val="00AF7E35"/>
    <w:rsid w:val="00B02167"/>
    <w:rsid w:val="00B065CC"/>
    <w:rsid w:val="00B105B6"/>
    <w:rsid w:val="00B20D2A"/>
    <w:rsid w:val="00B227EE"/>
    <w:rsid w:val="00B25844"/>
    <w:rsid w:val="00B34340"/>
    <w:rsid w:val="00B34E66"/>
    <w:rsid w:val="00B60418"/>
    <w:rsid w:val="00B6195C"/>
    <w:rsid w:val="00B61E93"/>
    <w:rsid w:val="00B66417"/>
    <w:rsid w:val="00B7276F"/>
    <w:rsid w:val="00B730DF"/>
    <w:rsid w:val="00B8292F"/>
    <w:rsid w:val="00B85B07"/>
    <w:rsid w:val="00B95291"/>
    <w:rsid w:val="00B96E05"/>
    <w:rsid w:val="00BA01D3"/>
    <w:rsid w:val="00BC7F57"/>
    <w:rsid w:val="00BD2943"/>
    <w:rsid w:val="00BE5172"/>
    <w:rsid w:val="00BF1943"/>
    <w:rsid w:val="00C07D19"/>
    <w:rsid w:val="00C16A16"/>
    <w:rsid w:val="00C17DE9"/>
    <w:rsid w:val="00C32749"/>
    <w:rsid w:val="00C32A7E"/>
    <w:rsid w:val="00C4309A"/>
    <w:rsid w:val="00C528C7"/>
    <w:rsid w:val="00C532ED"/>
    <w:rsid w:val="00C55C36"/>
    <w:rsid w:val="00C611F8"/>
    <w:rsid w:val="00C70AAE"/>
    <w:rsid w:val="00C76B0A"/>
    <w:rsid w:val="00C87D9D"/>
    <w:rsid w:val="00C91A2D"/>
    <w:rsid w:val="00C967C3"/>
    <w:rsid w:val="00CC227A"/>
    <w:rsid w:val="00CC286B"/>
    <w:rsid w:val="00CC5B26"/>
    <w:rsid w:val="00CF69E6"/>
    <w:rsid w:val="00D10DE4"/>
    <w:rsid w:val="00D13664"/>
    <w:rsid w:val="00D24811"/>
    <w:rsid w:val="00D27308"/>
    <w:rsid w:val="00D3456B"/>
    <w:rsid w:val="00D37A44"/>
    <w:rsid w:val="00D51866"/>
    <w:rsid w:val="00D66FD1"/>
    <w:rsid w:val="00D83EA9"/>
    <w:rsid w:val="00D906CE"/>
    <w:rsid w:val="00D942E1"/>
    <w:rsid w:val="00D9573A"/>
    <w:rsid w:val="00D97D3C"/>
    <w:rsid w:val="00DA1E6A"/>
    <w:rsid w:val="00DA5D2E"/>
    <w:rsid w:val="00DB03D7"/>
    <w:rsid w:val="00DB4164"/>
    <w:rsid w:val="00DC77C4"/>
    <w:rsid w:val="00DE018C"/>
    <w:rsid w:val="00DE4AE2"/>
    <w:rsid w:val="00DE7A27"/>
    <w:rsid w:val="00E02371"/>
    <w:rsid w:val="00E07DEE"/>
    <w:rsid w:val="00E16012"/>
    <w:rsid w:val="00E212F3"/>
    <w:rsid w:val="00E24980"/>
    <w:rsid w:val="00E32357"/>
    <w:rsid w:val="00E34412"/>
    <w:rsid w:val="00E358A4"/>
    <w:rsid w:val="00E36B75"/>
    <w:rsid w:val="00E54F84"/>
    <w:rsid w:val="00E61D56"/>
    <w:rsid w:val="00E73907"/>
    <w:rsid w:val="00E76BF9"/>
    <w:rsid w:val="00E80D6A"/>
    <w:rsid w:val="00E81F2C"/>
    <w:rsid w:val="00E83CDF"/>
    <w:rsid w:val="00E903CC"/>
    <w:rsid w:val="00E90726"/>
    <w:rsid w:val="00EB3ED8"/>
    <w:rsid w:val="00EE54D5"/>
    <w:rsid w:val="00EF22AF"/>
    <w:rsid w:val="00EF5269"/>
    <w:rsid w:val="00F045B6"/>
    <w:rsid w:val="00F126BD"/>
    <w:rsid w:val="00F21575"/>
    <w:rsid w:val="00F36EB4"/>
    <w:rsid w:val="00F42DCC"/>
    <w:rsid w:val="00F44096"/>
    <w:rsid w:val="00F56BB3"/>
    <w:rsid w:val="00F672C9"/>
    <w:rsid w:val="00F87AB5"/>
    <w:rsid w:val="00F93AC4"/>
    <w:rsid w:val="00F95796"/>
    <w:rsid w:val="00FA4F74"/>
    <w:rsid w:val="00FB456F"/>
    <w:rsid w:val="00FB4FB1"/>
    <w:rsid w:val="00FB701B"/>
    <w:rsid w:val="00FC38E5"/>
    <w:rsid w:val="00FC3A43"/>
    <w:rsid w:val="00FC78F6"/>
    <w:rsid w:val="00FE2D5D"/>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95"/>
  </w:style>
  <w:style w:type="paragraph" w:styleId="Heading1">
    <w:name w:val="heading 1"/>
    <w:basedOn w:val="Normal"/>
    <w:next w:val="Normal"/>
    <w:link w:val="Heading1Char"/>
    <w:uiPriority w:val="9"/>
    <w:qFormat/>
    <w:rsid w:val="007144B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44B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44B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pPr>
      <w:spacing w:line="240" w:lineRule="auto"/>
    </w:pPr>
    <w:rPr>
      <w:b/>
      <w:bCs/>
      <w:smallCaps/>
      <w:color w:val="44546A" w:themeColor="text2"/>
    </w:rPr>
  </w:style>
  <w:style w:type="paragraph" w:styleId="Title">
    <w:name w:val="Title"/>
    <w:basedOn w:val="Normal"/>
    <w:next w:val="Normal"/>
    <w:link w:val="TitleChar"/>
    <w:uiPriority w:val="10"/>
    <w:qFormat/>
    <w:rsid w:val="007144B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3920838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40462308">
      <w:bodyDiv w:val="1"/>
      <w:marLeft w:val="0"/>
      <w:marRight w:val="0"/>
      <w:marTop w:val="0"/>
      <w:marBottom w:val="0"/>
      <w:divBdr>
        <w:top w:val="none" w:sz="0" w:space="0" w:color="auto"/>
        <w:left w:val="none" w:sz="0" w:space="0" w:color="auto"/>
        <w:bottom w:val="none" w:sz="0" w:space="0" w:color="auto"/>
        <w:right w:val="none" w:sz="0" w:space="0" w:color="auto"/>
      </w:divBdr>
    </w:div>
    <w:div w:id="152180406">
      <w:bodyDiv w:val="1"/>
      <w:marLeft w:val="0"/>
      <w:marRight w:val="0"/>
      <w:marTop w:val="0"/>
      <w:marBottom w:val="0"/>
      <w:divBdr>
        <w:top w:val="none" w:sz="0" w:space="0" w:color="auto"/>
        <w:left w:val="none" w:sz="0" w:space="0" w:color="auto"/>
        <w:bottom w:val="none" w:sz="0" w:space="0" w:color="auto"/>
        <w:right w:val="none" w:sz="0" w:space="0" w:color="auto"/>
      </w:divBdr>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594096007">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17335079">
      <w:bodyDiv w:val="1"/>
      <w:marLeft w:val="0"/>
      <w:marRight w:val="0"/>
      <w:marTop w:val="0"/>
      <w:marBottom w:val="0"/>
      <w:divBdr>
        <w:top w:val="none" w:sz="0" w:space="0" w:color="auto"/>
        <w:left w:val="none" w:sz="0" w:space="0" w:color="auto"/>
        <w:bottom w:val="none" w:sz="0" w:space="0" w:color="auto"/>
        <w:right w:val="none" w:sz="0" w:space="0" w:color="auto"/>
      </w:divBdr>
    </w:div>
    <w:div w:id="1160148086">
      <w:bodyDiv w:val="1"/>
      <w:marLeft w:val="0"/>
      <w:marRight w:val="0"/>
      <w:marTop w:val="0"/>
      <w:marBottom w:val="0"/>
      <w:divBdr>
        <w:top w:val="none" w:sz="0" w:space="0" w:color="auto"/>
        <w:left w:val="none" w:sz="0" w:space="0" w:color="auto"/>
        <w:bottom w:val="none" w:sz="0" w:space="0" w:color="auto"/>
        <w:right w:val="none" w:sz="0" w:space="0" w:color="auto"/>
      </w:divBdr>
    </w:div>
    <w:div w:id="1224290805">
      <w:bodyDiv w:val="1"/>
      <w:marLeft w:val="0"/>
      <w:marRight w:val="0"/>
      <w:marTop w:val="0"/>
      <w:marBottom w:val="0"/>
      <w:divBdr>
        <w:top w:val="none" w:sz="0" w:space="0" w:color="auto"/>
        <w:left w:val="none" w:sz="0" w:space="0" w:color="auto"/>
        <w:bottom w:val="none" w:sz="0" w:space="0" w:color="auto"/>
        <w:right w:val="none" w:sz="0" w:space="0" w:color="auto"/>
      </w:divBdr>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504665899">
      <w:bodyDiv w:val="1"/>
      <w:marLeft w:val="0"/>
      <w:marRight w:val="0"/>
      <w:marTop w:val="0"/>
      <w:marBottom w:val="0"/>
      <w:divBdr>
        <w:top w:val="none" w:sz="0" w:space="0" w:color="auto"/>
        <w:left w:val="none" w:sz="0" w:space="0" w:color="auto"/>
        <w:bottom w:val="none" w:sz="0" w:space="0" w:color="auto"/>
        <w:right w:val="none" w:sz="0" w:space="0" w:color="auto"/>
      </w:divBdr>
    </w:div>
    <w:div w:id="1534417677">
      <w:bodyDiv w:val="1"/>
      <w:marLeft w:val="0"/>
      <w:marRight w:val="0"/>
      <w:marTop w:val="0"/>
      <w:marBottom w:val="0"/>
      <w:divBdr>
        <w:top w:val="none" w:sz="0" w:space="0" w:color="auto"/>
        <w:left w:val="none" w:sz="0" w:space="0" w:color="auto"/>
        <w:bottom w:val="none" w:sz="0" w:space="0" w:color="auto"/>
        <w:right w:val="none" w:sz="0" w:space="0" w:color="auto"/>
      </w:divBdr>
    </w:div>
    <w:div w:id="1537426438">
      <w:bodyDiv w:val="1"/>
      <w:marLeft w:val="0"/>
      <w:marRight w:val="0"/>
      <w:marTop w:val="0"/>
      <w:marBottom w:val="0"/>
      <w:divBdr>
        <w:top w:val="none" w:sz="0" w:space="0" w:color="auto"/>
        <w:left w:val="none" w:sz="0" w:space="0" w:color="auto"/>
        <w:bottom w:val="none" w:sz="0" w:space="0" w:color="auto"/>
        <w:right w:val="none" w:sz="0" w:space="0" w:color="auto"/>
      </w:divBdr>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622688968">
      <w:bodyDiv w:val="1"/>
      <w:marLeft w:val="0"/>
      <w:marRight w:val="0"/>
      <w:marTop w:val="0"/>
      <w:marBottom w:val="0"/>
      <w:divBdr>
        <w:top w:val="none" w:sz="0" w:space="0" w:color="auto"/>
        <w:left w:val="none" w:sz="0" w:space="0" w:color="auto"/>
        <w:bottom w:val="none" w:sz="0" w:space="0" w:color="auto"/>
        <w:right w:val="none" w:sz="0" w:space="0" w:color="auto"/>
      </w:divBdr>
    </w:div>
    <w:div w:id="1754935955">
      <w:bodyDiv w:val="1"/>
      <w:marLeft w:val="0"/>
      <w:marRight w:val="0"/>
      <w:marTop w:val="0"/>
      <w:marBottom w:val="0"/>
      <w:divBdr>
        <w:top w:val="none" w:sz="0" w:space="0" w:color="auto"/>
        <w:left w:val="none" w:sz="0" w:space="0" w:color="auto"/>
        <w:bottom w:val="none" w:sz="0" w:space="0" w:color="auto"/>
        <w:right w:val="none" w:sz="0" w:space="0" w:color="auto"/>
      </w:divBdr>
    </w:div>
    <w:div w:id="1791974734">
      <w:bodyDiv w:val="1"/>
      <w:marLeft w:val="0"/>
      <w:marRight w:val="0"/>
      <w:marTop w:val="0"/>
      <w:marBottom w:val="0"/>
      <w:divBdr>
        <w:top w:val="none" w:sz="0" w:space="0" w:color="auto"/>
        <w:left w:val="none" w:sz="0" w:space="0" w:color="auto"/>
        <w:bottom w:val="none" w:sz="0" w:space="0" w:color="auto"/>
        <w:right w:val="none" w:sz="0" w:space="0" w:color="auto"/>
      </w:divBdr>
    </w:div>
    <w:div w:id="1854369130">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67881426">
      <w:bodyDiv w:val="1"/>
      <w:marLeft w:val="0"/>
      <w:marRight w:val="0"/>
      <w:marTop w:val="0"/>
      <w:marBottom w:val="0"/>
      <w:divBdr>
        <w:top w:val="none" w:sz="0" w:space="0" w:color="auto"/>
        <w:left w:val="none" w:sz="0" w:space="0" w:color="auto"/>
        <w:bottom w:val="none" w:sz="0" w:space="0" w:color="auto"/>
        <w:right w:val="none" w:sz="0" w:space="0" w:color="auto"/>
      </w:divBdr>
    </w:div>
    <w:div w:id="2008708734">
      <w:bodyDiv w:val="1"/>
      <w:marLeft w:val="0"/>
      <w:marRight w:val="0"/>
      <w:marTop w:val="0"/>
      <w:marBottom w:val="0"/>
      <w:divBdr>
        <w:top w:val="none" w:sz="0" w:space="0" w:color="auto"/>
        <w:left w:val="none" w:sz="0" w:space="0" w:color="auto"/>
        <w:bottom w:val="none" w:sz="0" w:space="0" w:color="auto"/>
        <w:right w:val="none" w:sz="0" w:space="0" w:color="auto"/>
      </w:divBdr>
    </w:div>
    <w:div w:id="2042590022">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yber/national-cyber-investigative-joint-task-force" TargetMode="External"/><Relationship Id="rId13" Type="http://schemas.openxmlformats.org/officeDocument/2006/relationships/hyperlink" Target="https://www.interpol.int/en/Crimes/Cybercri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gov/securities-topics/crypto-assets#hac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gov/hsi/investigate/cybercr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ustice.gov/d9/pages/attachments/2022/05/04/mutual-legal-assistance-treaties-of-the-united-states.pdf" TargetMode="External"/><Relationship Id="rId4" Type="http://schemas.openxmlformats.org/officeDocument/2006/relationships/settings" Target="settings.xml"/><Relationship Id="rId9" Type="http://schemas.openxmlformats.org/officeDocument/2006/relationships/hyperlink" Target="https://bja.ojp.gov/program/it/privacy-civil-liberties/authorities/statutes/12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2</cp:revision>
  <dcterms:created xsi:type="dcterms:W3CDTF">2024-11-24T15:27:00Z</dcterms:created>
  <dcterms:modified xsi:type="dcterms:W3CDTF">2024-11-24T15:27:00Z</dcterms:modified>
</cp:coreProperties>
</file>