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FEB61" w14:textId="77777777" w:rsidR="00717680" w:rsidRPr="00635AA2" w:rsidRDefault="00717680" w:rsidP="00635AA2">
      <w:pPr>
        <w:spacing w:line="480" w:lineRule="auto"/>
      </w:pPr>
    </w:p>
    <w:p w14:paraId="6DB5CF90" w14:textId="77777777" w:rsidR="00717680" w:rsidRPr="00635AA2" w:rsidRDefault="00717680" w:rsidP="00635AA2">
      <w:pPr>
        <w:spacing w:line="480" w:lineRule="auto"/>
        <w:jc w:val="center"/>
      </w:pPr>
    </w:p>
    <w:p w14:paraId="04F4EF1A" w14:textId="77777777" w:rsidR="00717680" w:rsidRPr="00635AA2" w:rsidRDefault="00717680" w:rsidP="00635AA2">
      <w:pPr>
        <w:spacing w:line="480" w:lineRule="auto"/>
      </w:pPr>
    </w:p>
    <w:p w14:paraId="12FCDF60" w14:textId="77777777" w:rsidR="00635AA2" w:rsidRPr="00635AA2" w:rsidRDefault="00635AA2" w:rsidP="00635AA2">
      <w:pPr>
        <w:spacing w:line="480" w:lineRule="auto"/>
      </w:pPr>
    </w:p>
    <w:p w14:paraId="438566FA" w14:textId="77777777" w:rsidR="00717680" w:rsidRPr="00635AA2" w:rsidRDefault="00717680" w:rsidP="00635AA2">
      <w:pPr>
        <w:spacing w:line="480" w:lineRule="auto"/>
        <w:jc w:val="center"/>
      </w:pPr>
    </w:p>
    <w:p w14:paraId="4C88E3E7" w14:textId="2D2370D0" w:rsidR="00F21575" w:rsidRPr="00635AA2" w:rsidRDefault="008E50A6" w:rsidP="00635AA2">
      <w:pPr>
        <w:spacing w:line="480" w:lineRule="auto"/>
        <w:jc w:val="center"/>
      </w:pPr>
      <w:bookmarkStart w:id="0" w:name="_Hlk41294950"/>
      <w:r w:rsidRPr="00635AA2">
        <w:t>Assessment</w:t>
      </w:r>
      <w:r w:rsidR="00B25844" w:rsidRPr="00635AA2">
        <w:t xml:space="preserve"> </w:t>
      </w:r>
      <w:r w:rsidR="003A342A" w:rsidRPr="00635AA2">
        <w:t>4</w:t>
      </w:r>
    </w:p>
    <w:bookmarkEnd w:id="0"/>
    <w:p w14:paraId="6F407651" w14:textId="77777777" w:rsidR="00916530" w:rsidRPr="00635AA2" w:rsidRDefault="00916530" w:rsidP="00635AA2">
      <w:pPr>
        <w:spacing w:line="480" w:lineRule="auto"/>
        <w:jc w:val="center"/>
      </w:pPr>
      <w:r w:rsidRPr="00635AA2">
        <w:t>Legal Aspects of Computer-Based Crime</w:t>
      </w:r>
    </w:p>
    <w:p w14:paraId="0D303864" w14:textId="444F24D7" w:rsidR="000A4479" w:rsidRPr="00635AA2" w:rsidRDefault="00635AA2" w:rsidP="00635AA2">
      <w:pPr>
        <w:spacing w:line="480" w:lineRule="auto"/>
        <w:jc w:val="center"/>
      </w:pPr>
      <w:r w:rsidRPr="00635AA2">
        <w:t>Leo Newton</w:t>
      </w:r>
    </w:p>
    <w:p w14:paraId="0E2CE25E" w14:textId="4AD0D795" w:rsidR="00FB4FB1" w:rsidRPr="00635AA2" w:rsidRDefault="00FA4F74" w:rsidP="00635AA2">
      <w:pPr>
        <w:spacing w:line="480" w:lineRule="auto"/>
        <w:jc w:val="center"/>
      </w:pPr>
      <w:r w:rsidRPr="00635AA2">
        <w:t>IT-</w:t>
      </w:r>
      <w:r w:rsidR="008A0881" w:rsidRPr="00635AA2">
        <w:t>FPX</w:t>
      </w:r>
      <w:r w:rsidR="00DE018C" w:rsidRPr="00635AA2">
        <w:t>4075 Co</w:t>
      </w:r>
      <w:r w:rsidR="00B227EE" w:rsidRPr="00635AA2">
        <w:t>mputer Forensics</w:t>
      </w:r>
    </w:p>
    <w:p w14:paraId="0DF009E8" w14:textId="693085D7" w:rsidR="000A4479" w:rsidRPr="00635AA2" w:rsidRDefault="000A4479" w:rsidP="00635AA2">
      <w:pPr>
        <w:spacing w:line="480" w:lineRule="auto"/>
        <w:jc w:val="center"/>
      </w:pPr>
      <w:r w:rsidRPr="00635AA2">
        <w:t>Capella University</w:t>
      </w:r>
    </w:p>
    <w:p w14:paraId="37E0FB4A" w14:textId="6988E2B3" w:rsidR="007144B5" w:rsidRPr="00635AA2" w:rsidRDefault="00260A3D" w:rsidP="00635AA2">
      <w:pPr>
        <w:spacing w:line="480" w:lineRule="auto"/>
        <w:jc w:val="center"/>
      </w:pPr>
      <w:r w:rsidRPr="00635AA2">
        <w:t>Professor</w:t>
      </w:r>
      <w:r w:rsidR="00FB4FB1" w:rsidRPr="00635AA2">
        <w:t xml:space="preserve"> </w:t>
      </w:r>
      <w:r w:rsidR="00F045B6" w:rsidRPr="00635AA2">
        <w:t>Kuhlman</w:t>
      </w:r>
    </w:p>
    <w:p w14:paraId="3F9400B0" w14:textId="6AFAA207" w:rsidR="007144B5" w:rsidRPr="00635AA2" w:rsidRDefault="00635AA2" w:rsidP="00635AA2">
      <w:pPr>
        <w:spacing w:line="480" w:lineRule="auto"/>
        <w:jc w:val="center"/>
      </w:pPr>
      <w:r w:rsidRPr="00635AA2">
        <w:t>11/25/24</w:t>
      </w:r>
    </w:p>
    <w:p w14:paraId="7A4256E4" w14:textId="5E0C735E" w:rsidR="007144B5" w:rsidRPr="00635AA2" w:rsidRDefault="007144B5" w:rsidP="00635AA2">
      <w:pPr>
        <w:spacing w:line="480" w:lineRule="auto"/>
        <w:jc w:val="center"/>
      </w:pPr>
    </w:p>
    <w:p w14:paraId="1EB2D7CF" w14:textId="4E0DE0F0" w:rsidR="007144B5" w:rsidRPr="00635AA2" w:rsidRDefault="007144B5" w:rsidP="00635AA2">
      <w:pPr>
        <w:spacing w:line="480" w:lineRule="auto"/>
        <w:jc w:val="center"/>
      </w:pPr>
    </w:p>
    <w:p w14:paraId="057B2EA2" w14:textId="50465C36" w:rsidR="007144B5" w:rsidRPr="00635AA2" w:rsidRDefault="007144B5" w:rsidP="00635AA2">
      <w:pPr>
        <w:spacing w:line="480" w:lineRule="auto"/>
        <w:jc w:val="center"/>
      </w:pPr>
    </w:p>
    <w:p w14:paraId="052BF9DF" w14:textId="56CCBEA7" w:rsidR="007144B5" w:rsidRPr="00635AA2" w:rsidRDefault="007144B5" w:rsidP="00635AA2">
      <w:pPr>
        <w:spacing w:line="480" w:lineRule="auto"/>
        <w:jc w:val="center"/>
      </w:pPr>
    </w:p>
    <w:p w14:paraId="11CE1880" w14:textId="308098E3" w:rsidR="00EF22AF" w:rsidRDefault="00EF22AF" w:rsidP="00635AA2">
      <w:pPr>
        <w:spacing w:line="480" w:lineRule="auto"/>
        <w:jc w:val="center"/>
      </w:pPr>
    </w:p>
    <w:p w14:paraId="3D5E0E7E" w14:textId="77777777" w:rsidR="0068298C" w:rsidRDefault="0068298C" w:rsidP="00635AA2">
      <w:pPr>
        <w:spacing w:line="480" w:lineRule="auto"/>
        <w:jc w:val="center"/>
      </w:pPr>
    </w:p>
    <w:p w14:paraId="3B62F3CE" w14:textId="77777777" w:rsidR="0068298C" w:rsidRDefault="0068298C" w:rsidP="00635AA2">
      <w:pPr>
        <w:spacing w:line="480" w:lineRule="auto"/>
        <w:jc w:val="center"/>
      </w:pPr>
    </w:p>
    <w:p w14:paraId="70B2D590" w14:textId="77777777" w:rsidR="0068298C" w:rsidRDefault="0068298C" w:rsidP="00635AA2">
      <w:pPr>
        <w:spacing w:line="480" w:lineRule="auto"/>
        <w:jc w:val="center"/>
      </w:pPr>
    </w:p>
    <w:p w14:paraId="053ED28E" w14:textId="77777777" w:rsidR="0068298C" w:rsidRDefault="0068298C" w:rsidP="00635AA2">
      <w:pPr>
        <w:spacing w:line="480" w:lineRule="auto"/>
        <w:jc w:val="center"/>
      </w:pPr>
    </w:p>
    <w:p w14:paraId="2E3A31AB" w14:textId="77777777" w:rsidR="0068298C" w:rsidRPr="00635AA2" w:rsidRDefault="0068298C" w:rsidP="00635AA2">
      <w:pPr>
        <w:spacing w:line="480" w:lineRule="auto"/>
        <w:jc w:val="center"/>
      </w:pPr>
    </w:p>
    <w:p w14:paraId="77418958" w14:textId="77777777" w:rsidR="00F21575" w:rsidRPr="00635AA2" w:rsidRDefault="00F21575" w:rsidP="00635AA2">
      <w:pPr>
        <w:spacing w:line="480" w:lineRule="auto"/>
        <w:jc w:val="center"/>
      </w:pPr>
    </w:p>
    <w:p w14:paraId="590F233D" w14:textId="64DB17BE" w:rsidR="00C91A2D" w:rsidRPr="0068298C" w:rsidRDefault="00260A3D" w:rsidP="00635AA2">
      <w:pPr>
        <w:spacing w:line="480" w:lineRule="auto"/>
        <w:jc w:val="center"/>
        <w:rPr>
          <w:b/>
          <w:bCs/>
        </w:rPr>
      </w:pPr>
      <w:r w:rsidRPr="0068298C">
        <w:rPr>
          <w:b/>
          <w:bCs/>
        </w:rPr>
        <w:lastRenderedPageBreak/>
        <w:t>Table of Contents</w:t>
      </w:r>
    </w:p>
    <w:p w14:paraId="60C266CC" w14:textId="7CC8D683" w:rsidR="003049E7" w:rsidRPr="00635AA2" w:rsidRDefault="002D2E32" w:rsidP="00635AA2">
      <w:pPr>
        <w:spacing w:line="480" w:lineRule="auto"/>
      </w:pPr>
      <w:r w:rsidRPr="00635AA2">
        <w:t>Access Control Methods...</w:t>
      </w:r>
      <w:r w:rsidR="00C17DE9" w:rsidRPr="00635AA2">
        <w:t>…</w:t>
      </w:r>
      <w:r w:rsidR="000A7584" w:rsidRPr="00635AA2">
        <w:t>……………</w:t>
      </w:r>
      <w:proofErr w:type="gramStart"/>
      <w:r w:rsidR="000A7584" w:rsidRPr="00635AA2">
        <w:t>…..</w:t>
      </w:r>
      <w:proofErr w:type="gramEnd"/>
      <w:r w:rsidR="00146896" w:rsidRPr="00635AA2">
        <w:t>………………………………</w:t>
      </w:r>
      <w:r w:rsidR="00FA4F74" w:rsidRPr="00635AA2">
        <w:t>……..</w:t>
      </w:r>
      <w:r w:rsidR="0068298C">
        <w:t>3</w:t>
      </w:r>
    </w:p>
    <w:p w14:paraId="1CEE89C3" w14:textId="38771676" w:rsidR="003049E7" w:rsidRPr="00635AA2" w:rsidRDefault="004A69C1" w:rsidP="00635AA2">
      <w:pPr>
        <w:spacing w:line="480" w:lineRule="auto"/>
      </w:pPr>
      <w:r w:rsidRPr="00635AA2">
        <w:t>Engagement……………</w:t>
      </w:r>
      <w:r w:rsidR="00C17DE9" w:rsidRPr="00635AA2">
        <w:t>……….</w:t>
      </w:r>
      <w:r w:rsidR="00FA4F74" w:rsidRPr="00635AA2">
        <w:t>………………………………………………</w:t>
      </w:r>
      <w:proofErr w:type="gramStart"/>
      <w:r w:rsidR="00FA4F74" w:rsidRPr="00635AA2">
        <w:t>…..</w:t>
      </w:r>
      <w:proofErr w:type="gramEnd"/>
      <w:r w:rsidR="0068298C">
        <w:t>4</w:t>
      </w:r>
    </w:p>
    <w:p w14:paraId="0627B5AA" w14:textId="268CD22E" w:rsidR="003049E7" w:rsidRPr="00635AA2" w:rsidRDefault="003925C7" w:rsidP="00635AA2">
      <w:pPr>
        <w:spacing w:line="480" w:lineRule="auto"/>
      </w:pPr>
      <w:r w:rsidRPr="00635AA2">
        <w:t>Technical and Procedural Controls…</w:t>
      </w:r>
      <w:r w:rsidR="00FA4F74" w:rsidRPr="00635AA2">
        <w:t>………………………………………………</w:t>
      </w:r>
      <w:r w:rsidR="0068298C">
        <w:t>5</w:t>
      </w:r>
    </w:p>
    <w:p w14:paraId="4CCEDA1C" w14:textId="34F4C21F" w:rsidR="003049E7" w:rsidRPr="00635AA2" w:rsidRDefault="00F22384" w:rsidP="00635AA2">
      <w:pPr>
        <w:spacing w:line="480" w:lineRule="auto"/>
      </w:pPr>
      <w:r w:rsidRPr="00635AA2">
        <w:t>Options…….</w:t>
      </w:r>
      <w:r w:rsidR="004423B8" w:rsidRPr="00635AA2">
        <w:t>……………</w:t>
      </w:r>
      <w:proofErr w:type="gramStart"/>
      <w:r w:rsidR="004423B8" w:rsidRPr="00635AA2">
        <w:t>…..</w:t>
      </w:r>
      <w:proofErr w:type="gramEnd"/>
      <w:r w:rsidR="00FA4F74" w:rsidRPr="00635AA2">
        <w:t>………………………………………………</w:t>
      </w:r>
      <w:r w:rsidR="009A168E" w:rsidRPr="00635AA2">
        <w:t>.</w:t>
      </w:r>
      <w:r w:rsidR="00FA4F74" w:rsidRPr="00635AA2">
        <w:t>……..</w:t>
      </w:r>
      <w:r w:rsidR="0068298C">
        <w:t>6</w:t>
      </w:r>
    </w:p>
    <w:p w14:paraId="523C8433" w14:textId="0D561B83" w:rsidR="004423B8" w:rsidRPr="00635AA2" w:rsidRDefault="00E51BEE" w:rsidP="00635AA2">
      <w:pPr>
        <w:spacing w:line="480" w:lineRule="auto"/>
      </w:pPr>
      <w:r w:rsidRPr="00635AA2">
        <w:t>Skills…………….</w:t>
      </w:r>
      <w:r w:rsidR="001820A1" w:rsidRPr="00635AA2">
        <w:t>………….</w:t>
      </w:r>
      <w:r w:rsidR="005974A6" w:rsidRPr="00635AA2">
        <w:t>………………………………………………………</w:t>
      </w:r>
      <w:r w:rsidR="0068298C">
        <w:t>6</w:t>
      </w:r>
    </w:p>
    <w:p w14:paraId="0312D559" w14:textId="70A620FA" w:rsidR="001820A1" w:rsidRDefault="00D41767" w:rsidP="00635AA2">
      <w:pPr>
        <w:spacing w:line="480" w:lineRule="auto"/>
      </w:pPr>
      <w:r w:rsidRPr="00635AA2">
        <w:t>Strategies</w:t>
      </w:r>
      <w:proofErr w:type="gramStart"/>
      <w:r w:rsidRPr="00635AA2">
        <w:t>…..</w:t>
      </w:r>
      <w:proofErr w:type="gramEnd"/>
      <w:r w:rsidR="001820A1" w:rsidRPr="00635AA2">
        <w:t>……………………………………………………………………….</w:t>
      </w:r>
      <w:r w:rsidR="0068298C">
        <w:t>7</w:t>
      </w:r>
    </w:p>
    <w:p w14:paraId="5FA3CDE3" w14:textId="01B4C090" w:rsidR="00635AA2" w:rsidRPr="00635AA2" w:rsidRDefault="00635AA2" w:rsidP="00635AA2">
      <w:pPr>
        <w:spacing w:line="480" w:lineRule="auto"/>
      </w:pPr>
      <w:r>
        <w:t>Current Evaluation</w:t>
      </w:r>
      <w:proofErr w:type="gramStart"/>
      <w:r w:rsidRPr="00635AA2">
        <w:t>…..</w:t>
      </w:r>
      <w:proofErr w:type="gramEnd"/>
      <w:r w:rsidRPr="00635AA2">
        <w:t>…………………………………………………………</w:t>
      </w:r>
      <w:r>
        <w:t>..</w:t>
      </w:r>
      <w:r w:rsidRPr="00635AA2">
        <w:t>….</w:t>
      </w:r>
      <w:r w:rsidR="0068298C">
        <w:t>8</w:t>
      </w:r>
    </w:p>
    <w:p w14:paraId="5255CAF0" w14:textId="72A9FB37" w:rsidR="00260A3D" w:rsidRPr="00635AA2" w:rsidRDefault="003049E7" w:rsidP="00635AA2">
      <w:pPr>
        <w:spacing w:line="480" w:lineRule="auto"/>
      </w:pPr>
      <w:r w:rsidRPr="00635AA2">
        <w:t>References.</w:t>
      </w:r>
      <w:r w:rsidR="00260A3D" w:rsidRPr="00635AA2">
        <w:t>…………</w:t>
      </w:r>
      <w:proofErr w:type="gramStart"/>
      <w:r w:rsidR="00260A3D" w:rsidRPr="00635AA2">
        <w:t>…</w:t>
      </w:r>
      <w:r w:rsidR="005A64E2" w:rsidRPr="00635AA2">
        <w:t>..</w:t>
      </w:r>
      <w:proofErr w:type="gramEnd"/>
      <w:r w:rsidR="00260A3D" w:rsidRPr="00635AA2">
        <w:t>…………………...……</w:t>
      </w:r>
      <w:r w:rsidR="008505EC" w:rsidRPr="00635AA2">
        <w:t>………………………</w:t>
      </w:r>
      <w:r w:rsidR="00260A3D" w:rsidRPr="00635AA2">
        <w:t xml:space="preserve">………... </w:t>
      </w:r>
      <w:r w:rsidR="0068298C">
        <w:t>10</w:t>
      </w:r>
    </w:p>
    <w:p w14:paraId="04D8D5D8" w14:textId="77777777" w:rsidR="00260A3D" w:rsidRPr="00635AA2" w:rsidRDefault="00260A3D" w:rsidP="00635AA2">
      <w:pPr>
        <w:spacing w:line="480" w:lineRule="auto"/>
      </w:pPr>
    </w:p>
    <w:p w14:paraId="5141420D" w14:textId="77777777" w:rsidR="00260A3D" w:rsidRPr="00635AA2" w:rsidRDefault="00260A3D" w:rsidP="00635AA2">
      <w:pPr>
        <w:spacing w:line="480" w:lineRule="auto"/>
      </w:pPr>
    </w:p>
    <w:p w14:paraId="45B4B853" w14:textId="102CF947" w:rsidR="00260A3D" w:rsidRPr="00635AA2" w:rsidRDefault="00260A3D" w:rsidP="00635AA2">
      <w:pPr>
        <w:spacing w:line="480" w:lineRule="auto"/>
      </w:pPr>
    </w:p>
    <w:p w14:paraId="2863E36C" w14:textId="1B187CC7" w:rsidR="009A168E" w:rsidRPr="00635AA2" w:rsidRDefault="009A168E" w:rsidP="00635AA2">
      <w:pPr>
        <w:spacing w:line="480" w:lineRule="auto"/>
      </w:pPr>
    </w:p>
    <w:p w14:paraId="1577B044" w14:textId="2BB1EF9B" w:rsidR="009A168E" w:rsidRPr="00635AA2" w:rsidRDefault="009A168E" w:rsidP="00635AA2">
      <w:pPr>
        <w:spacing w:line="480" w:lineRule="auto"/>
      </w:pPr>
    </w:p>
    <w:p w14:paraId="6441CB0C" w14:textId="4B177EF9" w:rsidR="009A168E" w:rsidRPr="00635AA2" w:rsidRDefault="009A168E" w:rsidP="00635AA2">
      <w:pPr>
        <w:spacing w:line="480" w:lineRule="auto"/>
      </w:pPr>
    </w:p>
    <w:p w14:paraId="5F6EFAB6" w14:textId="3F94F34E" w:rsidR="009A168E" w:rsidRPr="00635AA2" w:rsidRDefault="009A168E" w:rsidP="00635AA2">
      <w:pPr>
        <w:spacing w:line="480" w:lineRule="auto"/>
      </w:pPr>
    </w:p>
    <w:p w14:paraId="5046D359" w14:textId="4826D945" w:rsidR="009A168E" w:rsidRPr="00635AA2" w:rsidRDefault="009A168E" w:rsidP="00635AA2">
      <w:pPr>
        <w:spacing w:line="480" w:lineRule="auto"/>
      </w:pPr>
    </w:p>
    <w:p w14:paraId="1943119B" w14:textId="3D072D38" w:rsidR="009A168E" w:rsidRDefault="009A168E" w:rsidP="00635AA2">
      <w:pPr>
        <w:spacing w:line="480" w:lineRule="auto"/>
      </w:pPr>
    </w:p>
    <w:p w14:paraId="5A6A04D6" w14:textId="77777777" w:rsidR="0068298C" w:rsidRDefault="0068298C" w:rsidP="00635AA2">
      <w:pPr>
        <w:spacing w:line="480" w:lineRule="auto"/>
      </w:pPr>
    </w:p>
    <w:p w14:paraId="64E37926" w14:textId="77777777" w:rsidR="0068298C" w:rsidRDefault="0068298C" w:rsidP="00635AA2">
      <w:pPr>
        <w:spacing w:line="480" w:lineRule="auto"/>
      </w:pPr>
    </w:p>
    <w:p w14:paraId="25246A0C" w14:textId="77777777" w:rsidR="0068298C" w:rsidRDefault="0068298C" w:rsidP="00635AA2">
      <w:pPr>
        <w:spacing w:line="480" w:lineRule="auto"/>
      </w:pPr>
    </w:p>
    <w:p w14:paraId="3B297DA0" w14:textId="77777777" w:rsidR="0068298C" w:rsidRDefault="0068298C" w:rsidP="00635AA2">
      <w:pPr>
        <w:spacing w:line="480" w:lineRule="auto"/>
      </w:pPr>
    </w:p>
    <w:p w14:paraId="116B56ED" w14:textId="77777777" w:rsidR="0068298C" w:rsidRPr="00635AA2" w:rsidRDefault="0068298C" w:rsidP="00635AA2">
      <w:pPr>
        <w:spacing w:line="480" w:lineRule="auto"/>
      </w:pPr>
    </w:p>
    <w:p w14:paraId="64E9FA83" w14:textId="4D532A26" w:rsidR="00936D27" w:rsidRPr="00635AA2" w:rsidRDefault="002D2E32" w:rsidP="00635AA2">
      <w:pPr>
        <w:spacing w:line="480" w:lineRule="auto"/>
        <w:jc w:val="center"/>
        <w:rPr>
          <w:b/>
          <w:bCs/>
        </w:rPr>
      </w:pPr>
      <w:r w:rsidRPr="00635AA2">
        <w:rPr>
          <w:b/>
          <w:bCs/>
        </w:rPr>
        <w:lastRenderedPageBreak/>
        <w:t>Access Control Methods</w:t>
      </w:r>
    </w:p>
    <w:p w14:paraId="02CE1A2B" w14:textId="77777777" w:rsidR="00635AA2" w:rsidRPr="00566FFE" w:rsidRDefault="002D2E32" w:rsidP="00635AA2">
      <w:pPr>
        <w:spacing w:line="480" w:lineRule="auto"/>
      </w:pPr>
      <w:r w:rsidRPr="00635AA2">
        <w:tab/>
      </w:r>
      <w:r w:rsidR="00635AA2" w:rsidRPr="00566FFE">
        <w:t>Access control methods and models play a crucial role in ensuring the integrity and admissibility of digital evidence. Robust access controls limit who can access specific systems and data, reducing the risk of unauthorized modifications or deletions that could compromise the evidence. This is particularly important in establishing the authenticity and reliability of evidence presented in court.</w:t>
      </w:r>
    </w:p>
    <w:p w14:paraId="37CE930D" w14:textId="77777777" w:rsidR="00635AA2" w:rsidRPr="00566FFE" w:rsidRDefault="00635AA2" w:rsidP="00635AA2">
      <w:pPr>
        <w:numPr>
          <w:ilvl w:val="0"/>
          <w:numId w:val="4"/>
        </w:numPr>
        <w:spacing w:line="480" w:lineRule="auto"/>
      </w:pPr>
      <w:r w:rsidRPr="00566FFE">
        <w:t>Authenticity:</w:t>
      </w:r>
      <w:r w:rsidRPr="00566FFE">
        <w:rPr>
          <w:rFonts w:eastAsiaTheme="majorEastAsia"/>
        </w:rPr>
        <w:t> </w:t>
      </w:r>
      <w:r w:rsidRPr="00566FFE">
        <w:t>Strong access controls help demonstrate that the evidence collected is genuine and has not been tampered with. By restricting access to authorized individuals, it becomes more difficult for a defendant to claim that the evidence was planted or altered.</w:t>
      </w:r>
    </w:p>
    <w:p w14:paraId="0AEC32BE" w14:textId="77777777" w:rsidR="00635AA2" w:rsidRPr="00566FFE" w:rsidRDefault="00635AA2" w:rsidP="00635AA2">
      <w:pPr>
        <w:numPr>
          <w:ilvl w:val="0"/>
          <w:numId w:val="4"/>
        </w:numPr>
        <w:spacing w:line="480" w:lineRule="auto"/>
      </w:pPr>
      <w:r w:rsidRPr="00566FFE">
        <w:t>Reliability:</w:t>
      </w:r>
      <w:r w:rsidRPr="00566FFE">
        <w:rPr>
          <w:rFonts w:eastAsiaTheme="majorEastAsia"/>
        </w:rPr>
        <w:t> </w:t>
      </w:r>
      <w:r w:rsidRPr="00566FFE">
        <w:t>Access controls help ensure the reliability of digital evidence by preventing unauthorized changes. If a system is easily accessible by multiple users, it becomes more challenging to prove that the evidence reflects the state of the system at the time of the incident.</w:t>
      </w:r>
    </w:p>
    <w:p w14:paraId="22636569" w14:textId="48C1C22F" w:rsidR="00635AA2" w:rsidRPr="00566FFE" w:rsidRDefault="00635AA2" w:rsidP="00635AA2">
      <w:pPr>
        <w:numPr>
          <w:ilvl w:val="0"/>
          <w:numId w:val="4"/>
        </w:numPr>
        <w:spacing w:line="480" w:lineRule="auto"/>
      </w:pPr>
      <w:r w:rsidRPr="00566FFE">
        <w:t>Chain of Custody:</w:t>
      </w:r>
      <w:r w:rsidRPr="00566FFE">
        <w:rPr>
          <w:rFonts w:eastAsiaTheme="majorEastAsia"/>
        </w:rPr>
        <w:t> </w:t>
      </w:r>
      <w:r w:rsidRPr="00566FFE">
        <w:t>Access controls support a clear chain of custody, which is crucial for demonstrating that the evidence has been handled properly and securely from the time of collection to its presentation in court</w:t>
      </w:r>
      <w:r>
        <w:t xml:space="preserve"> (Solomon et. al., 2011)</w:t>
      </w:r>
      <w:r w:rsidRPr="00566FFE">
        <w:t>. Documented access logs can provide a detailed record of who accessed the evidence and when, further strengthening the chain of custody.</w:t>
      </w:r>
    </w:p>
    <w:p w14:paraId="5A36446F" w14:textId="77777777" w:rsidR="00635AA2" w:rsidRPr="00566FFE" w:rsidRDefault="00635AA2" w:rsidP="00635AA2">
      <w:pPr>
        <w:numPr>
          <w:ilvl w:val="0"/>
          <w:numId w:val="4"/>
        </w:numPr>
        <w:spacing w:line="480" w:lineRule="auto"/>
      </w:pPr>
      <w:r w:rsidRPr="00566FFE">
        <w:t>Data Integrity:</w:t>
      </w:r>
      <w:r w:rsidRPr="00566FFE">
        <w:rPr>
          <w:rFonts w:eastAsiaTheme="majorEastAsia"/>
        </w:rPr>
        <w:t> </w:t>
      </w:r>
      <w:r w:rsidRPr="00566FFE">
        <w:t>Access controls help maintain the integrity of digital evidence by preventing unauthorized modifications or deletions. This is especially important for sensitive data, such as medical records or financial transactions, where even minor changes can have significant legal implications.</w:t>
      </w:r>
    </w:p>
    <w:p w14:paraId="6EEC479D" w14:textId="77777777" w:rsidR="00635AA2" w:rsidRPr="00566FFE" w:rsidRDefault="00635AA2" w:rsidP="00635AA2">
      <w:pPr>
        <w:numPr>
          <w:ilvl w:val="0"/>
          <w:numId w:val="4"/>
        </w:numPr>
        <w:spacing w:line="480" w:lineRule="auto"/>
      </w:pPr>
      <w:r w:rsidRPr="00566FFE">
        <w:lastRenderedPageBreak/>
        <w:t>Legal and Regulatory Compliance:</w:t>
      </w:r>
      <w:r w:rsidRPr="00566FFE">
        <w:rPr>
          <w:rFonts w:eastAsiaTheme="majorEastAsia"/>
        </w:rPr>
        <w:t> </w:t>
      </w:r>
      <w:r w:rsidRPr="00566FFE">
        <w:t>Implementing strong access controls is often a requirement for complying with various legal and regulatory frameworks, such as HIPAA, PCI DSS, and GDPR. Compliance with these regulations can strengthen the admissibility of evidence by demonstrating a commitment to data security and privacy.</w:t>
      </w:r>
    </w:p>
    <w:p w14:paraId="7B85AB42" w14:textId="79844473" w:rsidR="002D2E32" w:rsidRPr="00635AA2" w:rsidRDefault="002D2E32" w:rsidP="00635AA2">
      <w:pPr>
        <w:spacing w:line="480" w:lineRule="auto"/>
      </w:pPr>
    </w:p>
    <w:p w14:paraId="61E53E30" w14:textId="76DAB5EB" w:rsidR="00936D27" w:rsidRPr="00635AA2" w:rsidRDefault="004A69C1" w:rsidP="00635AA2">
      <w:pPr>
        <w:spacing w:line="480" w:lineRule="auto"/>
        <w:jc w:val="center"/>
        <w:rPr>
          <w:b/>
          <w:bCs/>
        </w:rPr>
      </w:pPr>
      <w:r w:rsidRPr="00635AA2">
        <w:rPr>
          <w:b/>
          <w:bCs/>
        </w:rPr>
        <w:t>Engagement</w:t>
      </w:r>
    </w:p>
    <w:p w14:paraId="06C43C25" w14:textId="77777777" w:rsidR="00635AA2" w:rsidRPr="00566FFE" w:rsidRDefault="00635AA2" w:rsidP="00635AA2">
      <w:pPr>
        <w:spacing w:line="480" w:lineRule="auto"/>
      </w:pPr>
      <w:r w:rsidRPr="00566FFE">
        <w:t>Conducting investigations while upholding due-process rights requires a delicate balance. Investigators must gather evidence thoroughly and efficiently while respecting the rights of the suspect. Key challenges include:</w:t>
      </w:r>
    </w:p>
    <w:p w14:paraId="3143FFAE" w14:textId="77777777" w:rsidR="00635AA2" w:rsidRPr="00566FFE" w:rsidRDefault="00635AA2" w:rsidP="00635AA2">
      <w:pPr>
        <w:numPr>
          <w:ilvl w:val="0"/>
          <w:numId w:val="5"/>
        </w:numPr>
        <w:spacing w:line="480" w:lineRule="auto"/>
      </w:pPr>
      <w:r w:rsidRPr="00566FFE">
        <w:t>Obtaining Legal Authorization:</w:t>
      </w:r>
      <w:r w:rsidRPr="00566FFE">
        <w:rPr>
          <w:rFonts w:eastAsiaTheme="majorEastAsia"/>
        </w:rPr>
        <w:t> </w:t>
      </w:r>
      <w:r w:rsidRPr="00566FFE">
        <w:t>Investigators must obtain proper legal authorization, such as warrants or subpoenas, before accessing or seizing digital evidence. This process can be time-consuming and requires careful adherence to legal procedures.</w:t>
      </w:r>
    </w:p>
    <w:p w14:paraId="18B47E72" w14:textId="77777777" w:rsidR="00635AA2" w:rsidRPr="00566FFE" w:rsidRDefault="00635AA2" w:rsidP="00635AA2">
      <w:pPr>
        <w:numPr>
          <w:ilvl w:val="0"/>
          <w:numId w:val="5"/>
        </w:numPr>
        <w:spacing w:line="480" w:lineRule="auto"/>
      </w:pPr>
      <w:r w:rsidRPr="00566FFE">
        <w:t>Protecting Against Self-Incrimination:</w:t>
      </w:r>
      <w:r w:rsidRPr="00566FFE">
        <w:rPr>
          <w:rFonts w:eastAsiaTheme="majorEastAsia"/>
        </w:rPr>
        <w:t> </w:t>
      </w:r>
      <w:r w:rsidRPr="00566FFE">
        <w:t>Suspects have the right to remain silent and not incriminate themselves. Investigators must be careful not to coerce confessions or obtain evidence through illegal means.</w:t>
      </w:r>
    </w:p>
    <w:p w14:paraId="5F6392C9" w14:textId="77777777" w:rsidR="00635AA2" w:rsidRPr="00566FFE" w:rsidRDefault="00635AA2" w:rsidP="00635AA2">
      <w:pPr>
        <w:numPr>
          <w:ilvl w:val="0"/>
          <w:numId w:val="5"/>
        </w:numPr>
        <w:spacing w:line="480" w:lineRule="auto"/>
      </w:pPr>
      <w:r w:rsidRPr="00566FFE">
        <w:t>Preserving Attorney-Client Privilege:</w:t>
      </w:r>
      <w:r w:rsidRPr="00566FFE">
        <w:rPr>
          <w:rFonts w:eastAsiaTheme="majorEastAsia"/>
        </w:rPr>
        <w:t> </w:t>
      </w:r>
      <w:r w:rsidRPr="00566FFE">
        <w:t>Communications between a suspect and their attorney are privileged and cannot be used as evidence. Investigators must take precautions to avoid inadvertently accessing or seizing privileged information.</w:t>
      </w:r>
    </w:p>
    <w:p w14:paraId="0A030BC7" w14:textId="37EA7BE4" w:rsidR="00635AA2" w:rsidRPr="00566FFE" w:rsidRDefault="00635AA2" w:rsidP="00635AA2">
      <w:pPr>
        <w:numPr>
          <w:ilvl w:val="0"/>
          <w:numId w:val="5"/>
        </w:numPr>
        <w:spacing w:line="480" w:lineRule="auto"/>
      </w:pPr>
      <w:r w:rsidRPr="00566FFE">
        <w:t>Maintaining Chain of Custody:</w:t>
      </w:r>
      <w:r w:rsidRPr="00566FFE">
        <w:rPr>
          <w:rFonts w:eastAsiaTheme="majorEastAsia"/>
        </w:rPr>
        <w:t> </w:t>
      </w:r>
      <w:r w:rsidRPr="00566FFE">
        <w:t>A clear and unbroken chain of custody must be maintained for all collected evidence to ensure its admissibility in court</w:t>
      </w:r>
      <w:r>
        <w:t xml:space="preserve"> (Solomon et. al, 2011)</w:t>
      </w:r>
      <w:r w:rsidRPr="00566FFE">
        <w:t>. This requires meticulous documentation and secure storage of evidence.</w:t>
      </w:r>
    </w:p>
    <w:p w14:paraId="31E79435" w14:textId="77777777" w:rsidR="00635AA2" w:rsidRPr="00566FFE" w:rsidRDefault="00635AA2" w:rsidP="00635AA2">
      <w:pPr>
        <w:numPr>
          <w:ilvl w:val="0"/>
          <w:numId w:val="5"/>
        </w:numPr>
        <w:spacing w:line="480" w:lineRule="auto"/>
      </w:pPr>
      <w:r w:rsidRPr="00566FFE">
        <w:t>Balancing Investigative Needs with Privacy Rights:</w:t>
      </w:r>
      <w:r w:rsidRPr="00566FFE">
        <w:rPr>
          <w:rFonts w:eastAsiaTheme="majorEastAsia"/>
        </w:rPr>
        <w:t> </w:t>
      </w:r>
      <w:r w:rsidRPr="00566FFE">
        <w:t xml:space="preserve">Investigators must balance the need to gather evidence with the suspect's right to privacy. Unreasonable searches and seizures </w:t>
      </w:r>
      <w:r w:rsidRPr="00566FFE">
        <w:lastRenderedPageBreak/>
        <w:t>are prohibited, and investigators must only collect evidence that is relevant to the investigation.</w:t>
      </w:r>
    </w:p>
    <w:p w14:paraId="7DAC0505" w14:textId="19CC8B95" w:rsidR="00C823F6" w:rsidRPr="00635AA2" w:rsidRDefault="00C823F6" w:rsidP="00635AA2">
      <w:pPr>
        <w:spacing w:line="480" w:lineRule="auto"/>
        <w:jc w:val="center"/>
        <w:rPr>
          <w:b/>
          <w:bCs/>
        </w:rPr>
      </w:pPr>
      <w:r w:rsidRPr="00635AA2">
        <w:rPr>
          <w:b/>
          <w:bCs/>
        </w:rPr>
        <w:t>Technical and Procedural Controls</w:t>
      </w:r>
    </w:p>
    <w:p w14:paraId="4B7A25AC" w14:textId="77777777" w:rsidR="00635AA2" w:rsidRPr="00566FFE" w:rsidRDefault="00635AA2" w:rsidP="00635AA2">
      <w:pPr>
        <w:spacing w:line="480" w:lineRule="auto"/>
      </w:pPr>
      <w:r w:rsidRPr="00566FFE">
        <w:t>Technical and procedural controls form the foundation for effective investigations. They provide a framework for securing data, documenting activities, and preserving evidence:</w:t>
      </w:r>
    </w:p>
    <w:p w14:paraId="2804160C" w14:textId="77777777" w:rsidR="00635AA2" w:rsidRPr="00566FFE" w:rsidRDefault="00635AA2" w:rsidP="00635AA2">
      <w:pPr>
        <w:numPr>
          <w:ilvl w:val="0"/>
          <w:numId w:val="9"/>
        </w:numPr>
        <w:spacing w:line="480" w:lineRule="auto"/>
      </w:pPr>
      <w:r w:rsidRPr="00566FFE">
        <w:t>Access Controls:</w:t>
      </w:r>
      <w:r w:rsidRPr="00566FFE">
        <w:rPr>
          <w:rFonts w:eastAsiaTheme="majorEastAsia"/>
        </w:rPr>
        <w:t> </w:t>
      </w:r>
      <w:r w:rsidRPr="00566FFE">
        <w:t>Restricting access to systems and data minimizes the risk of unauthorized modifications or deletions, preserving the integrity of evidence.</w:t>
      </w:r>
    </w:p>
    <w:p w14:paraId="3FCE86AD" w14:textId="77777777" w:rsidR="00635AA2" w:rsidRPr="00566FFE" w:rsidRDefault="00635AA2" w:rsidP="00635AA2">
      <w:pPr>
        <w:numPr>
          <w:ilvl w:val="0"/>
          <w:numId w:val="9"/>
        </w:numPr>
        <w:spacing w:line="480" w:lineRule="auto"/>
      </w:pPr>
      <w:r w:rsidRPr="00566FFE">
        <w:t>Audit Logging:</w:t>
      </w:r>
      <w:r w:rsidRPr="00566FFE">
        <w:rPr>
          <w:rFonts w:eastAsiaTheme="majorEastAsia"/>
        </w:rPr>
        <w:t> </w:t>
      </w:r>
      <w:r w:rsidRPr="00566FFE">
        <w:t>Detailed audit logs provide a record of user activity, system changes, and security events, offering valuable insights during investigations.</w:t>
      </w:r>
    </w:p>
    <w:p w14:paraId="71117D27" w14:textId="77777777" w:rsidR="00635AA2" w:rsidRPr="00566FFE" w:rsidRDefault="00635AA2" w:rsidP="00635AA2">
      <w:pPr>
        <w:numPr>
          <w:ilvl w:val="0"/>
          <w:numId w:val="9"/>
        </w:numPr>
        <w:spacing w:line="480" w:lineRule="auto"/>
      </w:pPr>
      <w:r w:rsidRPr="00566FFE">
        <w:t>Intrusion Detection/Prevention Systems:</w:t>
      </w:r>
      <w:r w:rsidRPr="00566FFE">
        <w:rPr>
          <w:rFonts w:eastAsiaTheme="majorEastAsia"/>
        </w:rPr>
        <w:t> </w:t>
      </w:r>
      <w:r w:rsidRPr="00566FFE">
        <w:t>IDS/IPS can detect and alert on suspicious activity, potentially providing early warning of security incidents.</w:t>
      </w:r>
    </w:p>
    <w:p w14:paraId="46FB26FF" w14:textId="77777777" w:rsidR="00635AA2" w:rsidRPr="00566FFE" w:rsidRDefault="00635AA2" w:rsidP="00635AA2">
      <w:pPr>
        <w:numPr>
          <w:ilvl w:val="0"/>
          <w:numId w:val="9"/>
        </w:numPr>
        <w:spacing w:line="480" w:lineRule="auto"/>
      </w:pPr>
      <w:r w:rsidRPr="00566FFE">
        <w:t>Data Loss Prevention (DLP) Systems:</w:t>
      </w:r>
      <w:r w:rsidRPr="00566FFE">
        <w:rPr>
          <w:rFonts w:eastAsiaTheme="majorEastAsia"/>
        </w:rPr>
        <w:t> </w:t>
      </w:r>
      <w:r w:rsidRPr="00566FFE">
        <w:t>DLP tools can prevent sensitive data from leaving the organization's control, protecting against data breaches.</w:t>
      </w:r>
    </w:p>
    <w:p w14:paraId="2C13D8C8" w14:textId="77777777" w:rsidR="00635AA2" w:rsidRPr="00566FFE" w:rsidRDefault="00635AA2" w:rsidP="00635AA2">
      <w:pPr>
        <w:numPr>
          <w:ilvl w:val="0"/>
          <w:numId w:val="9"/>
        </w:numPr>
        <w:spacing w:line="480" w:lineRule="auto"/>
      </w:pPr>
      <w:r w:rsidRPr="00566FFE">
        <w:t>Security Information and Event Management (SIEM) Systems:</w:t>
      </w:r>
      <w:r w:rsidRPr="00566FFE">
        <w:rPr>
          <w:rFonts w:eastAsiaTheme="majorEastAsia"/>
        </w:rPr>
        <w:t> </w:t>
      </w:r>
      <w:r w:rsidRPr="00566FFE">
        <w:t>SIEM systems collect and analyze security logs from various sources, providing a centralized view of security events and facilitating incident response.</w:t>
      </w:r>
    </w:p>
    <w:p w14:paraId="107049D3" w14:textId="77777777" w:rsidR="00635AA2" w:rsidRPr="00566FFE" w:rsidRDefault="00635AA2" w:rsidP="00635AA2">
      <w:pPr>
        <w:numPr>
          <w:ilvl w:val="0"/>
          <w:numId w:val="9"/>
        </w:numPr>
        <w:spacing w:line="480" w:lineRule="auto"/>
      </w:pPr>
      <w:r w:rsidRPr="00566FFE">
        <w:t>Incident Response Procedures:</w:t>
      </w:r>
      <w:r w:rsidRPr="00566FFE">
        <w:rPr>
          <w:rFonts w:eastAsiaTheme="majorEastAsia"/>
        </w:rPr>
        <w:t> </w:t>
      </w:r>
      <w:r w:rsidRPr="00566FFE">
        <w:t>Documented incident response procedures provide a structured approach to handling security incidents, ensuring that evidence is properly collected and preserved.</w:t>
      </w:r>
    </w:p>
    <w:p w14:paraId="0873546A" w14:textId="77777777" w:rsidR="00635AA2" w:rsidRPr="00635AA2" w:rsidRDefault="00635AA2" w:rsidP="00635AA2">
      <w:pPr>
        <w:spacing w:line="480" w:lineRule="auto"/>
        <w:jc w:val="center"/>
      </w:pPr>
    </w:p>
    <w:p w14:paraId="469BD7BC" w14:textId="77777777" w:rsidR="0068298C" w:rsidRDefault="0068298C" w:rsidP="00635AA2">
      <w:pPr>
        <w:spacing w:line="480" w:lineRule="auto"/>
        <w:jc w:val="center"/>
        <w:rPr>
          <w:b/>
          <w:bCs/>
        </w:rPr>
      </w:pPr>
    </w:p>
    <w:p w14:paraId="76A0B122" w14:textId="77777777" w:rsidR="0068298C" w:rsidRDefault="0068298C" w:rsidP="00635AA2">
      <w:pPr>
        <w:spacing w:line="480" w:lineRule="auto"/>
        <w:jc w:val="center"/>
        <w:rPr>
          <w:b/>
          <w:bCs/>
        </w:rPr>
      </w:pPr>
    </w:p>
    <w:p w14:paraId="76B52367" w14:textId="77777777" w:rsidR="0068298C" w:rsidRDefault="0068298C" w:rsidP="00635AA2">
      <w:pPr>
        <w:spacing w:line="480" w:lineRule="auto"/>
        <w:jc w:val="center"/>
        <w:rPr>
          <w:b/>
          <w:bCs/>
        </w:rPr>
      </w:pPr>
    </w:p>
    <w:p w14:paraId="31E3E8C2" w14:textId="0DB86987" w:rsidR="00571E0B" w:rsidRPr="0068298C" w:rsidRDefault="00F22384" w:rsidP="00635AA2">
      <w:pPr>
        <w:spacing w:line="480" w:lineRule="auto"/>
        <w:jc w:val="center"/>
        <w:rPr>
          <w:b/>
          <w:bCs/>
        </w:rPr>
      </w:pPr>
      <w:r w:rsidRPr="0068298C">
        <w:rPr>
          <w:b/>
          <w:bCs/>
        </w:rPr>
        <w:lastRenderedPageBreak/>
        <w:t>Options</w:t>
      </w:r>
    </w:p>
    <w:p w14:paraId="67025EF9" w14:textId="77777777" w:rsidR="00635AA2" w:rsidRPr="00566FFE" w:rsidRDefault="00635AA2" w:rsidP="00635AA2">
      <w:pPr>
        <w:spacing w:line="480" w:lineRule="auto"/>
      </w:pPr>
      <w:r w:rsidRPr="00566FFE">
        <w:t>Information security professionals face an ethical dilemma when executives decide not to report potential criminal activity. While loyalty to the organization is important, the ethical and legal obligations to report suspected crimes often outweigh such concerns. Options include:</w:t>
      </w:r>
    </w:p>
    <w:p w14:paraId="6102650D" w14:textId="77777777" w:rsidR="00635AA2" w:rsidRPr="00566FFE" w:rsidRDefault="00635AA2" w:rsidP="00635AA2">
      <w:pPr>
        <w:numPr>
          <w:ilvl w:val="0"/>
          <w:numId w:val="6"/>
        </w:numPr>
        <w:spacing w:line="480" w:lineRule="auto"/>
      </w:pPr>
      <w:r w:rsidRPr="00566FFE">
        <w:t>Escalating Internally:</w:t>
      </w:r>
      <w:r w:rsidRPr="00566FFE">
        <w:rPr>
          <w:rFonts w:eastAsiaTheme="majorEastAsia"/>
        </w:rPr>
        <w:t> </w:t>
      </w:r>
      <w:r w:rsidRPr="00566FFE">
        <w:t>The security professional can attempt to escalate the issue within the organization, bringing it to the attention of higher-level executives or the board of directors.</w:t>
      </w:r>
    </w:p>
    <w:p w14:paraId="33EB8176" w14:textId="77777777" w:rsidR="00635AA2" w:rsidRPr="00566FFE" w:rsidRDefault="00635AA2" w:rsidP="00635AA2">
      <w:pPr>
        <w:numPr>
          <w:ilvl w:val="0"/>
          <w:numId w:val="6"/>
        </w:numPr>
        <w:spacing w:line="480" w:lineRule="auto"/>
      </w:pPr>
      <w:r w:rsidRPr="00566FFE">
        <w:t>Consulting Legal Counsel:</w:t>
      </w:r>
      <w:r w:rsidRPr="00566FFE">
        <w:rPr>
          <w:rFonts w:eastAsiaTheme="majorEastAsia"/>
        </w:rPr>
        <w:t> </w:t>
      </w:r>
      <w:r w:rsidRPr="00566FFE">
        <w:t>Seeking advice from independent legal counsel can help the security professional understand their legal obligations and potential liabilities.</w:t>
      </w:r>
    </w:p>
    <w:p w14:paraId="6CD24842" w14:textId="77777777" w:rsidR="00635AA2" w:rsidRPr="00566FFE" w:rsidRDefault="00635AA2" w:rsidP="00635AA2">
      <w:pPr>
        <w:numPr>
          <w:ilvl w:val="0"/>
          <w:numId w:val="6"/>
        </w:numPr>
        <w:spacing w:line="480" w:lineRule="auto"/>
      </w:pPr>
      <w:r w:rsidRPr="00566FFE">
        <w:t>Reporting to Law Enforcement:</w:t>
      </w:r>
      <w:r w:rsidRPr="00566FFE">
        <w:rPr>
          <w:rFonts w:eastAsiaTheme="majorEastAsia"/>
        </w:rPr>
        <w:t> </w:t>
      </w:r>
      <w:r w:rsidRPr="00566FFE">
        <w:t>If internal escalation fails, the security professional may choose to report the suspected criminal activity directly to law enforcement. Whistleblower protection laws can offer some protection against retaliation.</w:t>
      </w:r>
    </w:p>
    <w:p w14:paraId="5A2AF540" w14:textId="77777777" w:rsidR="00635AA2" w:rsidRPr="00566FFE" w:rsidRDefault="00635AA2" w:rsidP="00635AA2">
      <w:pPr>
        <w:numPr>
          <w:ilvl w:val="0"/>
          <w:numId w:val="6"/>
        </w:numPr>
        <w:spacing w:line="480" w:lineRule="auto"/>
      </w:pPr>
      <w:r w:rsidRPr="00566FFE">
        <w:t>Resigning from the Position:</w:t>
      </w:r>
      <w:r w:rsidRPr="00566FFE">
        <w:rPr>
          <w:rFonts w:eastAsiaTheme="majorEastAsia"/>
        </w:rPr>
        <w:t> </w:t>
      </w:r>
      <w:r w:rsidRPr="00566FFE">
        <w:t>In extreme cases, where the organization refuses to address the criminal activity, the security professional may feel compelled to resign from their position to avoid complicity.</w:t>
      </w:r>
    </w:p>
    <w:p w14:paraId="01322319" w14:textId="34060BE0" w:rsidR="00F22384" w:rsidRPr="00635AA2" w:rsidRDefault="00F22384" w:rsidP="00635AA2">
      <w:pPr>
        <w:spacing w:line="480" w:lineRule="auto"/>
      </w:pPr>
    </w:p>
    <w:p w14:paraId="1682C6F5" w14:textId="6CF135A0" w:rsidR="003B5779" w:rsidRPr="00635AA2" w:rsidRDefault="00E51BEE" w:rsidP="00635AA2">
      <w:pPr>
        <w:spacing w:line="480" w:lineRule="auto"/>
        <w:jc w:val="center"/>
        <w:rPr>
          <w:b/>
          <w:bCs/>
        </w:rPr>
      </w:pPr>
      <w:r w:rsidRPr="00635AA2">
        <w:rPr>
          <w:b/>
          <w:bCs/>
        </w:rPr>
        <w:t>Skills</w:t>
      </w:r>
    </w:p>
    <w:p w14:paraId="2F850C56" w14:textId="77777777" w:rsidR="00635AA2" w:rsidRPr="00566FFE" w:rsidRDefault="00635AA2" w:rsidP="00635AA2">
      <w:pPr>
        <w:spacing w:line="480" w:lineRule="auto"/>
      </w:pPr>
      <w:r w:rsidRPr="00566FFE">
        <w:t>Expert forensic witnesses must possess a unique combination of technical expertise, investigative skills, and communication abilities. Desirable qualifications include:</w:t>
      </w:r>
    </w:p>
    <w:p w14:paraId="1E371364" w14:textId="77777777" w:rsidR="00635AA2" w:rsidRPr="00566FFE" w:rsidRDefault="00635AA2" w:rsidP="00635AA2">
      <w:pPr>
        <w:numPr>
          <w:ilvl w:val="0"/>
          <w:numId w:val="7"/>
        </w:numPr>
        <w:spacing w:line="480" w:lineRule="auto"/>
      </w:pPr>
      <w:r w:rsidRPr="00566FFE">
        <w:t>Deep Technical Knowledge:</w:t>
      </w:r>
      <w:r w:rsidRPr="00566FFE">
        <w:rPr>
          <w:rFonts w:eastAsiaTheme="majorEastAsia"/>
        </w:rPr>
        <w:t> </w:t>
      </w:r>
      <w:r w:rsidRPr="00566FFE">
        <w:t>A strong understanding of computer systems, networks, operating systems, and forensic tools is essential.</w:t>
      </w:r>
    </w:p>
    <w:p w14:paraId="41EF9621" w14:textId="77777777" w:rsidR="00635AA2" w:rsidRPr="00566FFE" w:rsidRDefault="00635AA2" w:rsidP="00635AA2">
      <w:pPr>
        <w:numPr>
          <w:ilvl w:val="0"/>
          <w:numId w:val="7"/>
        </w:numPr>
        <w:spacing w:line="480" w:lineRule="auto"/>
      </w:pPr>
      <w:r w:rsidRPr="00566FFE">
        <w:t>Experience in Digital Forensics:</w:t>
      </w:r>
      <w:r w:rsidRPr="00566FFE">
        <w:rPr>
          <w:rFonts w:eastAsiaTheme="majorEastAsia"/>
        </w:rPr>
        <w:t> </w:t>
      </w:r>
      <w:r w:rsidRPr="00566FFE">
        <w:t>Practical experience conducting forensic investigations, including evidence acquisition, analysis, and reporting, is crucial.</w:t>
      </w:r>
    </w:p>
    <w:p w14:paraId="1F5F4FAD" w14:textId="77777777" w:rsidR="00635AA2" w:rsidRPr="00566FFE" w:rsidRDefault="00635AA2" w:rsidP="00635AA2">
      <w:pPr>
        <w:numPr>
          <w:ilvl w:val="0"/>
          <w:numId w:val="7"/>
        </w:numPr>
        <w:spacing w:line="480" w:lineRule="auto"/>
      </w:pPr>
      <w:r w:rsidRPr="00566FFE">
        <w:lastRenderedPageBreak/>
        <w:t>Industry Certifications:</w:t>
      </w:r>
      <w:r w:rsidRPr="00566FFE">
        <w:rPr>
          <w:rFonts w:eastAsiaTheme="majorEastAsia"/>
        </w:rPr>
        <w:t> </w:t>
      </w:r>
      <w:r w:rsidRPr="00566FFE">
        <w:t>Relevant certifications, such as Certified Computer Examiner (CCE), EnCase Certified Examiner (</w:t>
      </w:r>
      <w:proofErr w:type="spellStart"/>
      <w:r w:rsidRPr="00566FFE">
        <w:t>EnCE</w:t>
      </w:r>
      <w:proofErr w:type="spellEnd"/>
      <w:r w:rsidRPr="00566FFE">
        <w:t>), or Certified Information Systems Security Professional (CISSP), can enhance credibility.</w:t>
      </w:r>
    </w:p>
    <w:p w14:paraId="2680519A" w14:textId="77777777" w:rsidR="00635AA2" w:rsidRPr="00566FFE" w:rsidRDefault="00635AA2" w:rsidP="00635AA2">
      <w:pPr>
        <w:numPr>
          <w:ilvl w:val="0"/>
          <w:numId w:val="7"/>
        </w:numPr>
        <w:spacing w:line="480" w:lineRule="auto"/>
      </w:pPr>
      <w:r w:rsidRPr="00566FFE">
        <w:t>Excellent Communication Skills:</w:t>
      </w:r>
      <w:r w:rsidRPr="00566FFE">
        <w:rPr>
          <w:rFonts w:eastAsiaTheme="majorEastAsia"/>
        </w:rPr>
        <w:t> </w:t>
      </w:r>
      <w:r w:rsidRPr="00566FFE">
        <w:t>The ability to clearly and concisely explain complex technical concepts to a judge and jury is critical.</w:t>
      </w:r>
    </w:p>
    <w:p w14:paraId="23C74BCD" w14:textId="77777777" w:rsidR="00635AA2" w:rsidRPr="00566FFE" w:rsidRDefault="00635AA2" w:rsidP="00635AA2">
      <w:pPr>
        <w:numPr>
          <w:ilvl w:val="0"/>
          <w:numId w:val="7"/>
        </w:numPr>
        <w:spacing w:line="480" w:lineRule="auto"/>
      </w:pPr>
      <w:r w:rsidRPr="00566FFE">
        <w:t>Strong Analytical and Critical Thinking Skills:</w:t>
      </w:r>
      <w:r w:rsidRPr="00566FFE">
        <w:rPr>
          <w:rFonts w:eastAsiaTheme="majorEastAsia"/>
        </w:rPr>
        <w:t> </w:t>
      </w:r>
      <w:r w:rsidRPr="00566FFE">
        <w:t>Expert witnesses must be able to analyze evidence, draw logical conclusions, and defend their opinions under cross-examination.</w:t>
      </w:r>
    </w:p>
    <w:p w14:paraId="2FB3BC8F" w14:textId="77777777" w:rsidR="00635AA2" w:rsidRPr="00566FFE" w:rsidRDefault="00635AA2" w:rsidP="00635AA2">
      <w:pPr>
        <w:numPr>
          <w:ilvl w:val="0"/>
          <w:numId w:val="7"/>
        </w:numPr>
        <w:spacing w:line="480" w:lineRule="auto"/>
      </w:pPr>
      <w:r w:rsidRPr="00566FFE">
        <w:t>Impeccable Ethical Conduct:</w:t>
      </w:r>
      <w:r w:rsidRPr="00566FFE">
        <w:rPr>
          <w:rFonts w:eastAsiaTheme="majorEastAsia"/>
        </w:rPr>
        <w:t> </w:t>
      </w:r>
      <w:r w:rsidRPr="00566FFE">
        <w:t>Maintaining high ethical standards and objectivity is essential for maintaining credibility and ensuring the integrity of the investigation.</w:t>
      </w:r>
    </w:p>
    <w:p w14:paraId="71A70559" w14:textId="77777777" w:rsidR="00635AA2" w:rsidRPr="00635AA2" w:rsidRDefault="00635AA2" w:rsidP="00635AA2">
      <w:pPr>
        <w:spacing w:line="480" w:lineRule="auto"/>
        <w:jc w:val="center"/>
      </w:pPr>
    </w:p>
    <w:p w14:paraId="63502242" w14:textId="0A56FDE6" w:rsidR="00D10DE4" w:rsidRPr="00635AA2" w:rsidRDefault="00D41767" w:rsidP="00635AA2">
      <w:pPr>
        <w:spacing w:line="480" w:lineRule="auto"/>
        <w:jc w:val="center"/>
        <w:rPr>
          <w:b/>
          <w:bCs/>
        </w:rPr>
      </w:pPr>
      <w:r w:rsidRPr="00635AA2">
        <w:rPr>
          <w:b/>
          <w:bCs/>
        </w:rPr>
        <w:t>Strategies</w:t>
      </w:r>
    </w:p>
    <w:p w14:paraId="1864CBDF" w14:textId="77777777" w:rsidR="00635AA2" w:rsidRPr="00566FFE" w:rsidRDefault="00635AA2" w:rsidP="00635AA2">
      <w:pPr>
        <w:spacing w:line="480" w:lineRule="auto"/>
      </w:pPr>
      <w:r w:rsidRPr="00566FFE">
        <w:t>Encrypted information presents a significant challenge in forensic investigations. Strategies for accessing encrypted data include:</w:t>
      </w:r>
    </w:p>
    <w:p w14:paraId="6DEDEAF9" w14:textId="45250422" w:rsidR="00635AA2" w:rsidRPr="00566FFE" w:rsidRDefault="00635AA2" w:rsidP="00635AA2">
      <w:pPr>
        <w:numPr>
          <w:ilvl w:val="0"/>
          <w:numId w:val="8"/>
        </w:numPr>
        <w:spacing w:line="480" w:lineRule="auto"/>
      </w:pPr>
      <w:r w:rsidRPr="00566FFE">
        <w:t>Exploiting Weaknesses in Encryption Algorithms:</w:t>
      </w:r>
      <w:r w:rsidRPr="00566FFE">
        <w:rPr>
          <w:rFonts w:eastAsiaTheme="majorEastAsia"/>
        </w:rPr>
        <w:t> </w:t>
      </w:r>
      <w:r w:rsidRPr="00566FFE">
        <w:t>Identifying and exploiting vulnerabilities in encryption algorithms can sometimes allow access to encrypted data without the decryption key</w:t>
      </w:r>
      <w:r w:rsidR="001B08B0" w:rsidRPr="001B08B0">
        <w:t xml:space="preserve"> </w:t>
      </w:r>
      <w:r w:rsidR="001B08B0">
        <w:t>(</w:t>
      </w:r>
      <w:r w:rsidR="001B08B0">
        <w:t>Electronic Frontier Foundation</w:t>
      </w:r>
      <w:r w:rsidR="001B08B0">
        <w:t xml:space="preserve">, </w:t>
      </w:r>
      <w:r w:rsidR="001B08B0">
        <w:t>1998</w:t>
      </w:r>
      <w:r w:rsidR="001B08B0">
        <w:t>)</w:t>
      </w:r>
      <w:r w:rsidRPr="00566FFE">
        <w:t>.</w:t>
      </w:r>
    </w:p>
    <w:p w14:paraId="5B5C3ECD" w14:textId="77777777" w:rsidR="00635AA2" w:rsidRPr="00566FFE" w:rsidRDefault="00635AA2" w:rsidP="00635AA2">
      <w:pPr>
        <w:numPr>
          <w:ilvl w:val="0"/>
          <w:numId w:val="8"/>
        </w:numPr>
        <w:spacing w:line="480" w:lineRule="auto"/>
      </w:pPr>
      <w:r w:rsidRPr="00566FFE">
        <w:t>Brute-Force Attacks:</w:t>
      </w:r>
      <w:r w:rsidRPr="00566FFE">
        <w:rPr>
          <w:rFonts w:eastAsiaTheme="majorEastAsia"/>
        </w:rPr>
        <w:t> </w:t>
      </w:r>
      <w:r w:rsidRPr="00566FFE">
        <w:t>Using powerful computers to try all possible decryption keys can sometimes break weak encryption, but this can be time-consuming and resource-intensive.</w:t>
      </w:r>
    </w:p>
    <w:p w14:paraId="7CE23156" w14:textId="77777777" w:rsidR="00635AA2" w:rsidRPr="00566FFE" w:rsidRDefault="00635AA2" w:rsidP="00635AA2">
      <w:pPr>
        <w:numPr>
          <w:ilvl w:val="0"/>
          <w:numId w:val="8"/>
        </w:numPr>
        <w:spacing w:line="480" w:lineRule="auto"/>
      </w:pPr>
      <w:r w:rsidRPr="00566FFE">
        <w:t>Dictionary Attacks:</w:t>
      </w:r>
      <w:r w:rsidRPr="00566FFE">
        <w:rPr>
          <w:rFonts w:eastAsiaTheme="majorEastAsia"/>
        </w:rPr>
        <w:t> </w:t>
      </w:r>
      <w:r w:rsidRPr="00566FFE">
        <w:t>Trying common passwords or passphrases can sometimes decrypt data if the encryption key was based on a weak password.</w:t>
      </w:r>
    </w:p>
    <w:p w14:paraId="0C8B9B8B" w14:textId="77777777" w:rsidR="00635AA2" w:rsidRPr="00566FFE" w:rsidRDefault="00635AA2" w:rsidP="00635AA2">
      <w:pPr>
        <w:numPr>
          <w:ilvl w:val="0"/>
          <w:numId w:val="8"/>
        </w:numPr>
        <w:spacing w:line="480" w:lineRule="auto"/>
      </w:pPr>
      <w:r w:rsidRPr="00566FFE">
        <w:lastRenderedPageBreak/>
        <w:t>Side-Channel Attacks:</w:t>
      </w:r>
      <w:r w:rsidRPr="00566FFE">
        <w:rPr>
          <w:rFonts w:eastAsiaTheme="majorEastAsia"/>
        </w:rPr>
        <w:t> </w:t>
      </w:r>
      <w:r w:rsidRPr="00566FFE">
        <w:t>Exploiting weaknesses in the implementation of encryption algorithms, such as power consumption or electromagnetic emissions, can sometimes reveal information about the decryption key.</w:t>
      </w:r>
    </w:p>
    <w:p w14:paraId="62DADB2B" w14:textId="77777777" w:rsidR="00635AA2" w:rsidRPr="00566FFE" w:rsidRDefault="00635AA2" w:rsidP="00635AA2">
      <w:pPr>
        <w:numPr>
          <w:ilvl w:val="0"/>
          <w:numId w:val="8"/>
        </w:numPr>
        <w:spacing w:line="480" w:lineRule="auto"/>
      </w:pPr>
      <w:r w:rsidRPr="00566FFE">
        <w:t>Social Engineering:</w:t>
      </w:r>
      <w:r w:rsidRPr="00566FFE">
        <w:rPr>
          <w:rFonts w:eastAsiaTheme="majorEastAsia"/>
        </w:rPr>
        <w:t> </w:t>
      </w:r>
      <w:r w:rsidRPr="00566FFE">
        <w:t>Attempting to trick the suspect or someone with knowledge of the decryption key into revealing it.</w:t>
      </w:r>
    </w:p>
    <w:p w14:paraId="0116D8E4" w14:textId="77777777" w:rsidR="00635AA2" w:rsidRPr="00566FFE" w:rsidRDefault="00635AA2" w:rsidP="00635AA2">
      <w:pPr>
        <w:numPr>
          <w:ilvl w:val="0"/>
          <w:numId w:val="8"/>
        </w:numPr>
        <w:spacing w:line="480" w:lineRule="auto"/>
      </w:pPr>
      <w:r w:rsidRPr="00566FFE">
        <w:t>Seeking Legal Compulsion:</w:t>
      </w:r>
      <w:r w:rsidRPr="00566FFE">
        <w:rPr>
          <w:rFonts w:eastAsiaTheme="majorEastAsia"/>
        </w:rPr>
        <w:t> </w:t>
      </w:r>
      <w:r w:rsidRPr="00566FFE">
        <w:t>Obtaining a court order to compel the suspect to provide the decryption key.</w:t>
      </w:r>
    </w:p>
    <w:p w14:paraId="6DEECA17" w14:textId="77777777" w:rsidR="00D10DE4" w:rsidRPr="00635AA2" w:rsidRDefault="00D10DE4" w:rsidP="00635AA2">
      <w:pPr>
        <w:spacing w:line="480" w:lineRule="auto"/>
        <w:rPr>
          <w:b/>
          <w:bCs/>
        </w:rPr>
      </w:pPr>
    </w:p>
    <w:p w14:paraId="20337679" w14:textId="171C9243" w:rsidR="00635AA2" w:rsidRDefault="0068298C" w:rsidP="00635AA2">
      <w:pPr>
        <w:spacing w:line="480" w:lineRule="auto"/>
        <w:jc w:val="center"/>
        <w:rPr>
          <w:b/>
          <w:bCs/>
        </w:rPr>
      </w:pPr>
      <w:r>
        <w:rPr>
          <w:b/>
          <w:bCs/>
        </w:rPr>
        <w:t xml:space="preserve">Current </w:t>
      </w:r>
      <w:r w:rsidR="00635AA2" w:rsidRPr="00566FFE">
        <w:rPr>
          <w:b/>
          <w:bCs/>
        </w:rPr>
        <w:t xml:space="preserve">Evaluation </w:t>
      </w:r>
    </w:p>
    <w:p w14:paraId="45B877DE" w14:textId="77777777" w:rsidR="00635AA2" w:rsidRPr="00566FFE" w:rsidRDefault="00635AA2" w:rsidP="00635AA2">
      <w:pPr>
        <w:spacing w:line="480" w:lineRule="auto"/>
        <w:jc w:val="center"/>
        <w:rPr>
          <w:b/>
          <w:bCs/>
        </w:rPr>
      </w:pPr>
    </w:p>
    <w:p w14:paraId="7154CCD5" w14:textId="77777777" w:rsidR="00635AA2" w:rsidRPr="00566FFE" w:rsidRDefault="00635AA2" w:rsidP="00635AA2">
      <w:pPr>
        <w:spacing w:line="480" w:lineRule="auto"/>
      </w:pPr>
      <w:r w:rsidRPr="00566FFE">
        <w:t>Widget Factory's current security posture presents several weaknesses that hinder effective investigations:</w:t>
      </w:r>
    </w:p>
    <w:p w14:paraId="5D42EF27" w14:textId="77777777" w:rsidR="00635AA2" w:rsidRPr="00566FFE" w:rsidRDefault="00635AA2" w:rsidP="00635AA2">
      <w:pPr>
        <w:numPr>
          <w:ilvl w:val="0"/>
          <w:numId w:val="10"/>
        </w:numPr>
        <w:spacing w:line="480" w:lineRule="auto"/>
      </w:pPr>
      <w:r w:rsidRPr="00566FFE">
        <w:t>Lack of Formal Policies and Procedures:</w:t>
      </w:r>
      <w:r w:rsidRPr="00566FFE">
        <w:rPr>
          <w:rFonts w:eastAsiaTheme="majorEastAsia"/>
        </w:rPr>
        <w:t> </w:t>
      </w:r>
      <w:r w:rsidRPr="00566FFE">
        <w:t>The absence of documented security policies and procedures creates ambiguity and inconsistency in security practices, complicating investigations.</w:t>
      </w:r>
    </w:p>
    <w:p w14:paraId="6BDD9B09" w14:textId="77777777" w:rsidR="00635AA2" w:rsidRPr="00566FFE" w:rsidRDefault="00635AA2" w:rsidP="00635AA2">
      <w:pPr>
        <w:numPr>
          <w:ilvl w:val="0"/>
          <w:numId w:val="10"/>
        </w:numPr>
        <w:spacing w:line="480" w:lineRule="auto"/>
      </w:pPr>
      <w:r w:rsidRPr="00566FFE">
        <w:t>Inconsistent Security Controls:</w:t>
      </w:r>
      <w:r w:rsidRPr="00566FFE">
        <w:rPr>
          <w:rFonts w:eastAsiaTheme="majorEastAsia"/>
        </w:rPr>
        <w:t> </w:t>
      </w:r>
      <w:r w:rsidRPr="00566FFE">
        <w:t>Variations in security measures across different locations make it difficult to maintain a consistent security posture and complicate incident response.</w:t>
      </w:r>
    </w:p>
    <w:p w14:paraId="2F918961" w14:textId="5AD19E69" w:rsidR="00635AA2" w:rsidRPr="00566FFE" w:rsidRDefault="00635AA2" w:rsidP="00635AA2">
      <w:pPr>
        <w:numPr>
          <w:ilvl w:val="0"/>
          <w:numId w:val="10"/>
        </w:numPr>
        <w:spacing w:line="480" w:lineRule="auto"/>
      </w:pPr>
      <w:r w:rsidRPr="00566FFE">
        <w:t>Weak Password Policies:</w:t>
      </w:r>
      <w:r w:rsidRPr="00566FFE">
        <w:rPr>
          <w:rFonts w:eastAsiaTheme="majorEastAsia"/>
        </w:rPr>
        <w:t> </w:t>
      </w:r>
      <w:r w:rsidRPr="00566FFE">
        <w:t>Weak password policies increase the risk of unauthorized access and compromise the integrity of systems and data</w:t>
      </w:r>
      <w:r>
        <w:t xml:space="preserve"> (Solomon et. al., 2011)</w:t>
      </w:r>
      <w:r w:rsidRPr="00566FFE">
        <w:t>.</w:t>
      </w:r>
    </w:p>
    <w:p w14:paraId="7D50114C" w14:textId="77777777" w:rsidR="00635AA2" w:rsidRPr="00566FFE" w:rsidRDefault="00635AA2" w:rsidP="00635AA2">
      <w:pPr>
        <w:numPr>
          <w:ilvl w:val="0"/>
          <w:numId w:val="10"/>
        </w:numPr>
        <w:spacing w:line="480" w:lineRule="auto"/>
      </w:pPr>
      <w:r w:rsidRPr="00566FFE">
        <w:t>Limited Security Staffing and Expertise:</w:t>
      </w:r>
      <w:r w:rsidRPr="00566FFE">
        <w:rPr>
          <w:rFonts w:eastAsiaTheme="majorEastAsia"/>
        </w:rPr>
        <w:t> </w:t>
      </w:r>
      <w:r w:rsidRPr="00566FFE">
        <w:t xml:space="preserve">The lack of dedicated security personnel hinders effective incident response and forensic investigations. Reliance on general IT staff for </w:t>
      </w:r>
      <w:r w:rsidRPr="00566FFE">
        <w:lastRenderedPageBreak/>
        <w:t>security functions can lead to oversights and missed opportunities to gather crucial evidence.</w:t>
      </w:r>
    </w:p>
    <w:p w14:paraId="03B48042" w14:textId="77777777" w:rsidR="00635AA2" w:rsidRPr="00566FFE" w:rsidRDefault="00635AA2" w:rsidP="00635AA2">
      <w:pPr>
        <w:numPr>
          <w:ilvl w:val="0"/>
          <w:numId w:val="10"/>
        </w:numPr>
        <w:spacing w:line="480" w:lineRule="auto"/>
      </w:pPr>
      <w:r w:rsidRPr="00566FFE">
        <w:t>Inadequate Training:</w:t>
      </w:r>
      <w:r w:rsidRPr="00566FFE">
        <w:rPr>
          <w:rFonts w:eastAsiaTheme="majorEastAsia"/>
        </w:rPr>
        <w:t> </w:t>
      </w:r>
      <w:r w:rsidRPr="00566FFE">
        <w:t>Insufficient employee training on security awareness, incident reporting, and evidence handling can compromise the integrity of investigations.</w:t>
      </w:r>
    </w:p>
    <w:p w14:paraId="27468931" w14:textId="77777777" w:rsidR="00635AA2" w:rsidRDefault="00635AA2" w:rsidP="00635AA2">
      <w:pPr>
        <w:spacing w:line="480" w:lineRule="auto"/>
      </w:pPr>
    </w:p>
    <w:p w14:paraId="3EA909D1" w14:textId="36B70BA5" w:rsidR="00635AA2" w:rsidRPr="00566FFE" w:rsidRDefault="00635AA2" w:rsidP="00635AA2">
      <w:pPr>
        <w:spacing w:line="480" w:lineRule="auto"/>
        <w:ind w:firstLine="360"/>
      </w:pPr>
      <w:r w:rsidRPr="00566FFE">
        <w:t>These weaknesses significantly limit Widget Factory's ability to conduct effective investigations and pursue legal action against perpetrators. Addressing these shortcomings through the implementation of robust technical and procedural controls, along with dedicated security staffing and comprehensive training programs, is crucial for improving the organization's security posture and investigative capabilities.</w:t>
      </w:r>
    </w:p>
    <w:p w14:paraId="6A6B5ECF" w14:textId="77777777" w:rsidR="00635AA2" w:rsidRPr="00635AA2" w:rsidRDefault="00635AA2" w:rsidP="00635AA2">
      <w:pPr>
        <w:spacing w:line="480" w:lineRule="auto"/>
      </w:pPr>
    </w:p>
    <w:p w14:paraId="1B23B58B" w14:textId="77777777" w:rsidR="00635AA2" w:rsidRDefault="00635AA2" w:rsidP="005A0E44">
      <w:pPr>
        <w:spacing w:line="480" w:lineRule="auto"/>
      </w:pPr>
    </w:p>
    <w:p w14:paraId="40927F06" w14:textId="77777777" w:rsidR="005A0E44" w:rsidRDefault="005A0E44" w:rsidP="005A0E44">
      <w:pPr>
        <w:spacing w:line="480" w:lineRule="auto"/>
      </w:pPr>
    </w:p>
    <w:p w14:paraId="145DF2DF" w14:textId="77777777" w:rsidR="0068298C" w:rsidRDefault="0068298C" w:rsidP="005A0E44">
      <w:pPr>
        <w:spacing w:line="480" w:lineRule="auto"/>
      </w:pPr>
    </w:p>
    <w:p w14:paraId="3DEEF07C" w14:textId="77777777" w:rsidR="0068298C" w:rsidRDefault="0068298C" w:rsidP="005A0E44">
      <w:pPr>
        <w:spacing w:line="480" w:lineRule="auto"/>
      </w:pPr>
    </w:p>
    <w:p w14:paraId="355C974C" w14:textId="77777777" w:rsidR="0068298C" w:rsidRDefault="0068298C" w:rsidP="005A0E44">
      <w:pPr>
        <w:spacing w:line="480" w:lineRule="auto"/>
      </w:pPr>
    </w:p>
    <w:p w14:paraId="738CE373" w14:textId="77777777" w:rsidR="0068298C" w:rsidRDefault="0068298C" w:rsidP="005A0E44">
      <w:pPr>
        <w:spacing w:line="480" w:lineRule="auto"/>
      </w:pPr>
    </w:p>
    <w:p w14:paraId="0BA0DEE2" w14:textId="77777777" w:rsidR="0068298C" w:rsidRDefault="0068298C" w:rsidP="005A0E44">
      <w:pPr>
        <w:spacing w:line="480" w:lineRule="auto"/>
      </w:pPr>
    </w:p>
    <w:p w14:paraId="6C6EB2EF" w14:textId="77777777" w:rsidR="0068298C" w:rsidRDefault="0068298C" w:rsidP="005A0E44">
      <w:pPr>
        <w:spacing w:line="480" w:lineRule="auto"/>
      </w:pPr>
    </w:p>
    <w:p w14:paraId="63BF1D53" w14:textId="77777777" w:rsidR="0068298C" w:rsidRDefault="0068298C" w:rsidP="005A0E44">
      <w:pPr>
        <w:spacing w:line="480" w:lineRule="auto"/>
      </w:pPr>
    </w:p>
    <w:p w14:paraId="43838B5B" w14:textId="77777777" w:rsidR="0068298C" w:rsidRDefault="0068298C" w:rsidP="005A0E44">
      <w:pPr>
        <w:spacing w:line="480" w:lineRule="auto"/>
      </w:pPr>
    </w:p>
    <w:p w14:paraId="36A4BDA9" w14:textId="77777777" w:rsidR="0068298C" w:rsidRDefault="0068298C" w:rsidP="005A0E44">
      <w:pPr>
        <w:spacing w:line="480" w:lineRule="auto"/>
      </w:pPr>
    </w:p>
    <w:p w14:paraId="29A3AE94" w14:textId="77777777" w:rsidR="0068298C" w:rsidRDefault="0068298C" w:rsidP="005A0E44">
      <w:pPr>
        <w:spacing w:line="480" w:lineRule="auto"/>
      </w:pPr>
    </w:p>
    <w:p w14:paraId="7C0ACB6F" w14:textId="7AE76BE9" w:rsidR="00267993" w:rsidRPr="0068298C" w:rsidRDefault="00EE54D5" w:rsidP="00635AA2">
      <w:pPr>
        <w:spacing w:line="480" w:lineRule="auto"/>
        <w:jc w:val="center"/>
        <w:rPr>
          <w:b/>
          <w:bCs/>
        </w:rPr>
      </w:pPr>
      <w:r w:rsidRPr="0068298C">
        <w:rPr>
          <w:b/>
          <w:bCs/>
        </w:rPr>
        <w:lastRenderedPageBreak/>
        <w:t>Reference</w:t>
      </w:r>
      <w:r w:rsidR="008453F5" w:rsidRPr="0068298C">
        <w:rPr>
          <w:b/>
          <w:bCs/>
        </w:rPr>
        <w:t>s</w:t>
      </w:r>
    </w:p>
    <w:p w14:paraId="5B43AEFE" w14:textId="09EAE85C" w:rsidR="005A0E44" w:rsidRDefault="005A0E44" w:rsidP="005A0E44">
      <w:pPr>
        <w:spacing w:line="480" w:lineRule="auto"/>
        <w:ind w:left="720" w:hanging="720"/>
      </w:pPr>
      <w:r w:rsidRPr="005A0E44">
        <w:t>A. K. Khan and H. J. Mahanta</w:t>
      </w:r>
      <w:r>
        <w:t>.</w:t>
      </w:r>
      <w:r w:rsidRPr="005A0E44">
        <w:rPr>
          <w:i/>
          <w:iCs/>
        </w:rPr>
        <w:t xml:space="preserve"> </w:t>
      </w:r>
      <w:r>
        <w:rPr>
          <w:i/>
          <w:iCs/>
        </w:rPr>
        <w:t>(</w:t>
      </w:r>
      <w:r w:rsidRPr="005A0E44">
        <w:rPr>
          <w:i/>
          <w:iCs/>
        </w:rPr>
        <w:t>2014</w:t>
      </w:r>
      <w:r w:rsidRPr="005A0E44">
        <w:t>). Side channel attacks and their mitigation techniques</w:t>
      </w:r>
      <w:r>
        <w:t>.</w:t>
      </w:r>
      <w:r w:rsidRPr="005A0E44">
        <w:t> </w:t>
      </w:r>
      <w:r w:rsidRPr="005A0E44">
        <w:rPr>
          <w:i/>
          <w:iCs/>
        </w:rPr>
        <w:t xml:space="preserve"> First International Conference on Automation, Control, Energy and Systems (ACES)</w:t>
      </w:r>
      <w:r w:rsidRPr="005A0E44">
        <w:t xml:space="preserve">, </w:t>
      </w:r>
      <w:proofErr w:type="spellStart"/>
      <w:r w:rsidRPr="005A0E44">
        <w:t>Adisaptagram</w:t>
      </w:r>
      <w:proofErr w:type="spellEnd"/>
      <w:r w:rsidRPr="005A0E44">
        <w:t xml:space="preserve">, India, 2014, pp. 1-4, </w:t>
      </w:r>
      <w:hyperlink r:id="rId8" w:history="1">
        <w:r w:rsidRPr="00273C4B">
          <w:rPr>
            <w:rStyle w:val="Hyperlink"/>
          </w:rPr>
          <w:t>https://www.doi.org/10.1109/ACES.2014.6807983</w:t>
        </w:r>
      </w:hyperlink>
    </w:p>
    <w:p w14:paraId="4C731EDA" w14:textId="0377119A" w:rsidR="005A0E44" w:rsidRDefault="005A0E44" w:rsidP="005A0E44">
      <w:pPr>
        <w:spacing w:line="480" w:lineRule="auto"/>
        <w:ind w:left="720" w:hanging="720"/>
      </w:pPr>
      <w:r>
        <w:t>Electronic Frontier Foundation. (1998).</w:t>
      </w:r>
      <w:r w:rsidRPr="001B08B0">
        <w:rPr>
          <w:rFonts w:ascii="Merriweather Sans" w:hAnsi="Merriweather Sans"/>
          <w:b/>
          <w:bCs/>
          <w:i/>
          <w:iCs/>
          <w:color w:val="333333"/>
          <w:sz w:val="27"/>
          <w:szCs w:val="27"/>
          <w:shd w:val="clear" w:color="auto" w:fill="F0F0F0"/>
        </w:rPr>
        <w:t xml:space="preserve"> </w:t>
      </w:r>
      <w:r w:rsidRPr="001B08B0">
        <w:rPr>
          <w:i/>
          <w:iCs/>
        </w:rPr>
        <w:t>Cracking DES: Secrets of Encryption Research, Wiretap Politics and Chip Design</w:t>
      </w:r>
      <w:r>
        <w:t>.</w:t>
      </w:r>
      <w:r w:rsidRPr="001B08B0">
        <w:t xml:space="preserve"> O'Reilly &amp; Associates, Inc.</w:t>
      </w:r>
    </w:p>
    <w:p w14:paraId="123B87A9" w14:textId="73EDE5F1" w:rsidR="00635AA2" w:rsidRDefault="00635AA2" w:rsidP="005A0E44">
      <w:pPr>
        <w:spacing w:line="480" w:lineRule="auto"/>
        <w:ind w:left="720" w:hanging="720"/>
      </w:pPr>
      <w:r w:rsidRPr="00635AA2">
        <w:t xml:space="preserve">Solomon, M. G., Rudolph, K., Tittel, E., Broom, N., &amp; Barrett, D. (2011). </w:t>
      </w:r>
      <w:r w:rsidRPr="00635AA2">
        <w:rPr>
          <w:i/>
          <w:iCs/>
        </w:rPr>
        <w:t>Computer forensics jumpstart</w:t>
      </w:r>
      <w:r w:rsidRPr="00635AA2">
        <w:t>. John Wiley &amp; Sons, Incorporated.</w:t>
      </w:r>
    </w:p>
    <w:p w14:paraId="17F0933D" w14:textId="77777777" w:rsidR="001B08B0" w:rsidRPr="00635AA2" w:rsidRDefault="001B08B0" w:rsidP="00635AA2">
      <w:pPr>
        <w:spacing w:line="480" w:lineRule="auto"/>
        <w:jc w:val="center"/>
      </w:pPr>
    </w:p>
    <w:sdt>
      <w:sdtPr>
        <w:id w:val="-573587230"/>
        <w:bibliography/>
      </w:sdtPr>
      <w:sdtEndPr>
        <w:rPr>
          <w:highlight w:val="yellow"/>
        </w:rPr>
      </w:sdtEndPr>
      <w:sdtContent>
        <w:p w14:paraId="68CE1720" w14:textId="41C92ABB" w:rsidR="00B02167" w:rsidRPr="00635AA2" w:rsidRDefault="00B02167" w:rsidP="00635AA2">
          <w:pPr>
            <w:spacing w:line="480" w:lineRule="auto"/>
            <w:ind w:left="720" w:hanging="720"/>
          </w:pPr>
          <w:r w:rsidRPr="00635AA2">
            <w:rPr>
              <w:highlight w:val="yellow"/>
            </w:rPr>
            <w:fldChar w:fldCharType="begin"/>
          </w:r>
          <w:r w:rsidRPr="00635AA2">
            <w:rPr>
              <w:highlight w:val="yellow"/>
            </w:rPr>
            <w:instrText xml:space="preserve"> BIBLIOGRAPHY </w:instrText>
          </w:r>
          <w:r w:rsidRPr="00635AA2">
            <w:rPr>
              <w:highlight w:val="yellow"/>
            </w:rPr>
            <w:fldChar w:fldCharType="end"/>
          </w:r>
        </w:p>
      </w:sdtContent>
    </w:sdt>
    <w:p w14:paraId="7C6CAEE5" w14:textId="77777777" w:rsidR="00C91A2D" w:rsidRPr="00635AA2" w:rsidRDefault="00C91A2D" w:rsidP="00635AA2">
      <w:pPr>
        <w:spacing w:before="100" w:beforeAutospacing="1" w:after="100" w:afterAutospacing="1" w:line="480" w:lineRule="auto"/>
        <w:ind w:left="567" w:hanging="567"/>
      </w:pPr>
    </w:p>
    <w:p w14:paraId="62F82D55" w14:textId="77777777" w:rsidR="00C91A2D" w:rsidRPr="00635AA2" w:rsidRDefault="00C91A2D" w:rsidP="00635AA2">
      <w:pPr>
        <w:spacing w:line="480" w:lineRule="auto"/>
        <w:rPr>
          <w:rStyle w:val="retrieved-from"/>
          <w:color w:val="3C3C3C"/>
          <w:shd w:val="clear" w:color="auto" w:fill="FAFAFA"/>
        </w:rPr>
      </w:pPr>
    </w:p>
    <w:p w14:paraId="3D2136B4" w14:textId="77777777" w:rsidR="006D5B22" w:rsidRPr="00635AA2" w:rsidRDefault="006D5B22" w:rsidP="00635AA2">
      <w:pPr>
        <w:spacing w:before="100" w:beforeAutospacing="1" w:after="100" w:afterAutospacing="1" w:line="480" w:lineRule="auto"/>
        <w:ind w:left="567" w:hanging="567"/>
      </w:pPr>
    </w:p>
    <w:p w14:paraId="3C883BB5" w14:textId="77777777" w:rsidR="00FF1C21" w:rsidRPr="00635AA2" w:rsidRDefault="00FF1C21" w:rsidP="00635AA2">
      <w:pPr>
        <w:spacing w:before="100" w:beforeAutospacing="1" w:after="100" w:afterAutospacing="1" w:line="480" w:lineRule="auto"/>
        <w:ind w:left="567" w:hanging="567"/>
      </w:pPr>
    </w:p>
    <w:p w14:paraId="1AD30BDA" w14:textId="77777777" w:rsidR="00FF1C21" w:rsidRPr="00635AA2" w:rsidRDefault="00FF1C21" w:rsidP="00635AA2">
      <w:pPr>
        <w:spacing w:before="100" w:beforeAutospacing="1" w:after="100" w:afterAutospacing="1" w:line="480" w:lineRule="auto"/>
        <w:ind w:left="567" w:hanging="567"/>
      </w:pPr>
    </w:p>
    <w:p w14:paraId="1C1BAFA5" w14:textId="5154E00D" w:rsidR="00D83EA9" w:rsidRPr="00635AA2" w:rsidRDefault="00D83EA9" w:rsidP="00635AA2">
      <w:pPr>
        <w:spacing w:before="100" w:beforeAutospacing="1" w:after="100" w:afterAutospacing="1" w:line="480" w:lineRule="auto"/>
        <w:ind w:left="567" w:hanging="567"/>
      </w:pPr>
      <w:r w:rsidRPr="00635AA2">
        <w:br/>
      </w:r>
    </w:p>
    <w:p w14:paraId="18712C22" w14:textId="77777777" w:rsidR="00D83EA9" w:rsidRPr="00635AA2" w:rsidRDefault="00D83EA9" w:rsidP="00635AA2">
      <w:pPr>
        <w:spacing w:before="100" w:beforeAutospacing="1" w:after="100" w:afterAutospacing="1" w:line="480" w:lineRule="auto"/>
        <w:ind w:left="567" w:hanging="567"/>
      </w:pPr>
    </w:p>
    <w:p w14:paraId="142AF203" w14:textId="77777777" w:rsidR="00EE54D5" w:rsidRPr="00635AA2" w:rsidRDefault="00EE54D5" w:rsidP="00635AA2">
      <w:pPr>
        <w:spacing w:before="100" w:beforeAutospacing="1" w:after="100" w:afterAutospacing="1" w:line="480" w:lineRule="auto"/>
        <w:ind w:left="567" w:hanging="567"/>
      </w:pPr>
    </w:p>
    <w:p w14:paraId="3C113808" w14:textId="77777777" w:rsidR="00EE54D5" w:rsidRPr="00635AA2" w:rsidRDefault="00EE54D5" w:rsidP="00635AA2">
      <w:pPr>
        <w:spacing w:line="480" w:lineRule="auto"/>
      </w:pPr>
    </w:p>
    <w:p w14:paraId="2B019889" w14:textId="53770B54" w:rsidR="00267993" w:rsidRPr="00635AA2" w:rsidRDefault="00267993" w:rsidP="00635AA2">
      <w:pPr>
        <w:spacing w:line="480" w:lineRule="auto"/>
        <w:jc w:val="center"/>
      </w:pPr>
    </w:p>
    <w:p w14:paraId="40C74E03" w14:textId="1D13A32A" w:rsidR="00267993" w:rsidRPr="00635AA2" w:rsidRDefault="00267993" w:rsidP="00635AA2">
      <w:pPr>
        <w:spacing w:line="480" w:lineRule="auto"/>
        <w:jc w:val="center"/>
      </w:pPr>
    </w:p>
    <w:p w14:paraId="5D7DE59A" w14:textId="41DE31AB" w:rsidR="00267993" w:rsidRPr="00635AA2" w:rsidRDefault="00267993" w:rsidP="00635AA2">
      <w:pPr>
        <w:spacing w:line="480" w:lineRule="auto"/>
        <w:jc w:val="center"/>
      </w:pPr>
    </w:p>
    <w:p w14:paraId="0424361B" w14:textId="62E1CAEB" w:rsidR="00267993" w:rsidRPr="00635AA2" w:rsidRDefault="00267993" w:rsidP="00635AA2">
      <w:pPr>
        <w:spacing w:line="480" w:lineRule="auto"/>
        <w:jc w:val="center"/>
      </w:pPr>
    </w:p>
    <w:p w14:paraId="0B3275C3" w14:textId="29DC6BE5" w:rsidR="004E4C3F" w:rsidRPr="00635AA2" w:rsidRDefault="004E4C3F" w:rsidP="00635AA2">
      <w:pPr>
        <w:spacing w:line="480" w:lineRule="auto"/>
        <w:jc w:val="center"/>
      </w:pPr>
    </w:p>
    <w:sectPr w:rsidR="004E4C3F" w:rsidRPr="00635A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1C6CA2" w14:textId="77777777" w:rsidR="00C433A1" w:rsidRDefault="00C433A1" w:rsidP="00717680">
      <w:r>
        <w:separator/>
      </w:r>
    </w:p>
  </w:endnote>
  <w:endnote w:type="continuationSeparator" w:id="0">
    <w:p w14:paraId="0159170C" w14:textId="77777777" w:rsidR="00C433A1" w:rsidRDefault="00C433A1" w:rsidP="007176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erriweather Sans">
    <w:panose1 w:val="00000000000000000000"/>
    <w:charset w:val="4D"/>
    <w:family w:val="auto"/>
    <w:pitch w:val="variable"/>
    <w:sig w:usb0="A00004FF" w:usb1="4000207B"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204A73" w14:textId="77777777" w:rsidR="00C433A1" w:rsidRDefault="00C433A1" w:rsidP="00717680">
      <w:r>
        <w:separator/>
      </w:r>
    </w:p>
  </w:footnote>
  <w:footnote w:type="continuationSeparator" w:id="0">
    <w:p w14:paraId="4DC77316" w14:textId="77777777" w:rsidR="00C433A1" w:rsidRDefault="00C433A1" w:rsidP="007176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46DC5"/>
    <w:multiLevelType w:val="multilevel"/>
    <w:tmpl w:val="E8385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6543F"/>
    <w:multiLevelType w:val="multilevel"/>
    <w:tmpl w:val="562C6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867D50"/>
    <w:multiLevelType w:val="multilevel"/>
    <w:tmpl w:val="77AA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4F3656"/>
    <w:multiLevelType w:val="multilevel"/>
    <w:tmpl w:val="5A58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EE4CB3"/>
    <w:multiLevelType w:val="multilevel"/>
    <w:tmpl w:val="8E4A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A3098C"/>
    <w:multiLevelType w:val="hybridMultilevel"/>
    <w:tmpl w:val="E876B3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0D1EB0"/>
    <w:multiLevelType w:val="multilevel"/>
    <w:tmpl w:val="09848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3657E"/>
    <w:multiLevelType w:val="hybridMultilevel"/>
    <w:tmpl w:val="CE146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C41A3A"/>
    <w:multiLevelType w:val="multilevel"/>
    <w:tmpl w:val="BC186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E7908"/>
    <w:multiLevelType w:val="multilevel"/>
    <w:tmpl w:val="D996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5262D5"/>
    <w:multiLevelType w:val="multilevel"/>
    <w:tmpl w:val="C22C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FB17C1"/>
    <w:multiLevelType w:val="multilevel"/>
    <w:tmpl w:val="FF5C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2521474">
    <w:abstractNumId w:val="7"/>
  </w:num>
  <w:num w:numId="2" w16cid:durableId="1972175975">
    <w:abstractNumId w:val="5"/>
  </w:num>
  <w:num w:numId="3" w16cid:durableId="585840558">
    <w:abstractNumId w:val="1"/>
  </w:num>
  <w:num w:numId="4" w16cid:durableId="533232308">
    <w:abstractNumId w:val="8"/>
  </w:num>
  <w:num w:numId="5" w16cid:durableId="1688436670">
    <w:abstractNumId w:val="2"/>
  </w:num>
  <w:num w:numId="6" w16cid:durableId="1398631869">
    <w:abstractNumId w:val="10"/>
  </w:num>
  <w:num w:numId="7" w16cid:durableId="1283340785">
    <w:abstractNumId w:val="6"/>
  </w:num>
  <w:num w:numId="8" w16cid:durableId="299656738">
    <w:abstractNumId w:val="0"/>
  </w:num>
  <w:num w:numId="9" w16cid:durableId="1163467261">
    <w:abstractNumId w:val="9"/>
  </w:num>
  <w:num w:numId="10" w16cid:durableId="1023945054">
    <w:abstractNumId w:val="4"/>
  </w:num>
  <w:num w:numId="11" w16cid:durableId="1966545575">
    <w:abstractNumId w:val="11"/>
  </w:num>
  <w:num w:numId="12" w16cid:durableId="2088376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680"/>
    <w:rsid w:val="00002FB9"/>
    <w:rsid w:val="00013089"/>
    <w:rsid w:val="00013867"/>
    <w:rsid w:val="00023967"/>
    <w:rsid w:val="00023B9D"/>
    <w:rsid w:val="00065659"/>
    <w:rsid w:val="00072311"/>
    <w:rsid w:val="000A4479"/>
    <w:rsid w:val="000A7584"/>
    <w:rsid w:val="000B2F28"/>
    <w:rsid w:val="000B55C3"/>
    <w:rsid w:val="000D2B2B"/>
    <w:rsid w:val="000D4C0E"/>
    <w:rsid w:val="000E3B06"/>
    <w:rsid w:val="000E6BED"/>
    <w:rsid w:val="000F4A0B"/>
    <w:rsid w:val="000F6DE7"/>
    <w:rsid w:val="001073DE"/>
    <w:rsid w:val="00111C45"/>
    <w:rsid w:val="001454A3"/>
    <w:rsid w:val="00146896"/>
    <w:rsid w:val="00147BF6"/>
    <w:rsid w:val="00174F64"/>
    <w:rsid w:val="00181152"/>
    <w:rsid w:val="001820A1"/>
    <w:rsid w:val="0018499D"/>
    <w:rsid w:val="00185C3E"/>
    <w:rsid w:val="0018798A"/>
    <w:rsid w:val="00187D26"/>
    <w:rsid w:val="001A5E49"/>
    <w:rsid w:val="001B08B0"/>
    <w:rsid w:val="001D177F"/>
    <w:rsid w:val="00207F18"/>
    <w:rsid w:val="0021161E"/>
    <w:rsid w:val="00213BC0"/>
    <w:rsid w:val="00235B56"/>
    <w:rsid w:val="00260A3D"/>
    <w:rsid w:val="00261BDA"/>
    <w:rsid w:val="00266EA6"/>
    <w:rsid w:val="00267993"/>
    <w:rsid w:val="00270E8A"/>
    <w:rsid w:val="00281D9B"/>
    <w:rsid w:val="002902F3"/>
    <w:rsid w:val="00296989"/>
    <w:rsid w:val="002A26D5"/>
    <w:rsid w:val="002A6CB1"/>
    <w:rsid w:val="002B1356"/>
    <w:rsid w:val="002B60CE"/>
    <w:rsid w:val="002B6A19"/>
    <w:rsid w:val="002C5F0F"/>
    <w:rsid w:val="002D2E32"/>
    <w:rsid w:val="002D6738"/>
    <w:rsid w:val="002E3BA6"/>
    <w:rsid w:val="002F1622"/>
    <w:rsid w:val="002F302E"/>
    <w:rsid w:val="003049E7"/>
    <w:rsid w:val="00307AC3"/>
    <w:rsid w:val="0031263E"/>
    <w:rsid w:val="0032737D"/>
    <w:rsid w:val="00330D28"/>
    <w:rsid w:val="00344FE8"/>
    <w:rsid w:val="0035727A"/>
    <w:rsid w:val="00371004"/>
    <w:rsid w:val="003816C3"/>
    <w:rsid w:val="00384D01"/>
    <w:rsid w:val="003925C7"/>
    <w:rsid w:val="003A2151"/>
    <w:rsid w:val="003A342A"/>
    <w:rsid w:val="003B0311"/>
    <w:rsid w:val="003B5779"/>
    <w:rsid w:val="003B5BB8"/>
    <w:rsid w:val="003B6C8D"/>
    <w:rsid w:val="003C3D56"/>
    <w:rsid w:val="003C76C6"/>
    <w:rsid w:val="003E2C1F"/>
    <w:rsid w:val="00401CA9"/>
    <w:rsid w:val="00436E7F"/>
    <w:rsid w:val="004423B8"/>
    <w:rsid w:val="00444A5C"/>
    <w:rsid w:val="00456A95"/>
    <w:rsid w:val="00472775"/>
    <w:rsid w:val="00477FDC"/>
    <w:rsid w:val="00487BBC"/>
    <w:rsid w:val="00490BD3"/>
    <w:rsid w:val="00497059"/>
    <w:rsid w:val="00497924"/>
    <w:rsid w:val="004A0430"/>
    <w:rsid w:val="004A69C1"/>
    <w:rsid w:val="004B781F"/>
    <w:rsid w:val="004C6355"/>
    <w:rsid w:val="004D6A91"/>
    <w:rsid w:val="004E4C3F"/>
    <w:rsid w:val="004F599A"/>
    <w:rsid w:val="005176DE"/>
    <w:rsid w:val="00542901"/>
    <w:rsid w:val="00546C4C"/>
    <w:rsid w:val="0054787E"/>
    <w:rsid w:val="0055666C"/>
    <w:rsid w:val="0056347F"/>
    <w:rsid w:val="00571E0B"/>
    <w:rsid w:val="00583DC2"/>
    <w:rsid w:val="00584718"/>
    <w:rsid w:val="0058796F"/>
    <w:rsid w:val="00592BC9"/>
    <w:rsid w:val="005974A6"/>
    <w:rsid w:val="005A0E44"/>
    <w:rsid w:val="005A29D0"/>
    <w:rsid w:val="005A64E2"/>
    <w:rsid w:val="005A6AB7"/>
    <w:rsid w:val="005D55EE"/>
    <w:rsid w:val="005E2448"/>
    <w:rsid w:val="005F1267"/>
    <w:rsid w:val="006020BE"/>
    <w:rsid w:val="00607A68"/>
    <w:rsid w:val="00607D8E"/>
    <w:rsid w:val="0061401F"/>
    <w:rsid w:val="006140BF"/>
    <w:rsid w:val="0061420A"/>
    <w:rsid w:val="00622AC6"/>
    <w:rsid w:val="00635AA2"/>
    <w:rsid w:val="0064163D"/>
    <w:rsid w:val="00662552"/>
    <w:rsid w:val="00666507"/>
    <w:rsid w:val="00672F0C"/>
    <w:rsid w:val="0068298C"/>
    <w:rsid w:val="00693572"/>
    <w:rsid w:val="006C3A8B"/>
    <w:rsid w:val="006C78FC"/>
    <w:rsid w:val="006D40F1"/>
    <w:rsid w:val="006D5B22"/>
    <w:rsid w:val="006E0F7E"/>
    <w:rsid w:val="006F24BC"/>
    <w:rsid w:val="00702B33"/>
    <w:rsid w:val="007123E7"/>
    <w:rsid w:val="007144B5"/>
    <w:rsid w:val="00717680"/>
    <w:rsid w:val="00727692"/>
    <w:rsid w:val="0073029E"/>
    <w:rsid w:val="00733A15"/>
    <w:rsid w:val="00743089"/>
    <w:rsid w:val="00745FD2"/>
    <w:rsid w:val="00764645"/>
    <w:rsid w:val="007646FD"/>
    <w:rsid w:val="00770817"/>
    <w:rsid w:val="00773E73"/>
    <w:rsid w:val="00796AF6"/>
    <w:rsid w:val="007B428C"/>
    <w:rsid w:val="007B4E4F"/>
    <w:rsid w:val="007C023C"/>
    <w:rsid w:val="007C24C2"/>
    <w:rsid w:val="007C7DD5"/>
    <w:rsid w:val="007E01D8"/>
    <w:rsid w:val="007E0D06"/>
    <w:rsid w:val="007E4A8F"/>
    <w:rsid w:val="007E71A1"/>
    <w:rsid w:val="007F5304"/>
    <w:rsid w:val="00810D62"/>
    <w:rsid w:val="00813B55"/>
    <w:rsid w:val="00814F93"/>
    <w:rsid w:val="00830C65"/>
    <w:rsid w:val="0083330C"/>
    <w:rsid w:val="008453F5"/>
    <w:rsid w:val="008505EC"/>
    <w:rsid w:val="008522BB"/>
    <w:rsid w:val="00880A2B"/>
    <w:rsid w:val="00883AA4"/>
    <w:rsid w:val="00887712"/>
    <w:rsid w:val="0089643C"/>
    <w:rsid w:val="00896CF5"/>
    <w:rsid w:val="008A0881"/>
    <w:rsid w:val="008A6D26"/>
    <w:rsid w:val="008B33C6"/>
    <w:rsid w:val="008B42B5"/>
    <w:rsid w:val="008C0636"/>
    <w:rsid w:val="008E2975"/>
    <w:rsid w:val="008E50A6"/>
    <w:rsid w:val="008F7430"/>
    <w:rsid w:val="00904C98"/>
    <w:rsid w:val="00912BD6"/>
    <w:rsid w:val="00916530"/>
    <w:rsid w:val="00935A64"/>
    <w:rsid w:val="00936D27"/>
    <w:rsid w:val="00946049"/>
    <w:rsid w:val="00950ED9"/>
    <w:rsid w:val="00960F3B"/>
    <w:rsid w:val="00964EE3"/>
    <w:rsid w:val="00970544"/>
    <w:rsid w:val="00986F74"/>
    <w:rsid w:val="0099652A"/>
    <w:rsid w:val="009A168E"/>
    <w:rsid w:val="009A18D7"/>
    <w:rsid w:val="009A6005"/>
    <w:rsid w:val="009B6AF5"/>
    <w:rsid w:val="009D0222"/>
    <w:rsid w:val="009D33D1"/>
    <w:rsid w:val="009D7669"/>
    <w:rsid w:val="009E1C17"/>
    <w:rsid w:val="009E2C29"/>
    <w:rsid w:val="009E777B"/>
    <w:rsid w:val="009F2BFA"/>
    <w:rsid w:val="009F5C5B"/>
    <w:rsid w:val="00A0391F"/>
    <w:rsid w:val="00A1407C"/>
    <w:rsid w:val="00A1518A"/>
    <w:rsid w:val="00A16E3A"/>
    <w:rsid w:val="00A3472D"/>
    <w:rsid w:val="00A35F77"/>
    <w:rsid w:val="00A4057E"/>
    <w:rsid w:val="00A43BCC"/>
    <w:rsid w:val="00A54412"/>
    <w:rsid w:val="00A61CDD"/>
    <w:rsid w:val="00A8491F"/>
    <w:rsid w:val="00A926A9"/>
    <w:rsid w:val="00AA44EA"/>
    <w:rsid w:val="00AB0855"/>
    <w:rsid w:val="00AB7FC7"/>
    <w:rsid w:val="00AC31E6"/>
    <w:rsid w:val="00AD256B"/>
    <w:rsid w:val="00AD55CB"/>
    <w:rsid w:val="00AF7E35"/>
    <w:rsid w:val="00B02167"/>
    <w:rsid w:val="00B065CC"/>
    <w:rsid w:val="00B105B6"/>
    <w:rsid w:val="00B20D2A"/>
    <w:rsid w:val="00B227EE"/>
    <w:rsid w:val="00B25844"/>
    <w:rsid w:val="00B34340"/>
    <w:rsid w:val="00B34E66"/>
    <w:rsid w:val="00B60418"/>
    <w:rsid w:val="00B6195C"/>
    <w:rsid w:val="00B61E93"/>
    <w:rsid w:val="00B66417"/>
    <w:rsid w:val="00B7276F"/>
    <w:rsid w:val="00B730DF"/>
    <w:rsid w:val="00B8292F"/>
    <w:rsid w:val="00B85B07"/>
    <w:rsid w:val="00B95291"/>
    <w:rsid w:val="00B96E05"/>
    <w:rsid w:val="00BA01D3"/>
    <w:rsid w:val="00BC7F57"/>
    <w:rsid w:val="00BD2943"/>
    <w:rsid w:val="00BE5172"/>
    <w:rsid w:val="00BF1943"/>
    <w:rsid w:val="00C07D19"/>
    <w:rsid w:val="00C16A16"/>
    <w:rsid w:val="00C17DE9"/>
    <w:rsid w:val="00C32749"/>
    <w:rsid w:val="00C32A7E"/>
    <w:rsid w:val="00C4309A"/>
    <w:rsid w:val="00C433A1"/>
    <w:rsid w:val="00C528C7"/>
    <w:rsid w:val="00C532ED"/>
    <w:rsid w:val="00C55C36"/>
    <w:rsid w:val="00C611F8"/>
    <w:rsid w:val="00C70AAE"/>
    <w:rsid w:val="00C76B0A"/>
    <w:rsid w:val="00C823F6"/>
    <w:rsid w:val="00C87D9D"/>
    <w:rsid w:val="00C91A2D"/>
    <w:rsid w:val="00C967C3"/>
    <w:rsid w:val="00CC5B26"/>
    <w:rsid w:val="00CF69E6"/>
    <w:rsid w:val="00D10DE4"/>
    <w:rsid w:val="00D13664"/>
    <w:rsid w:val="00D24811"/>
    <w:rsid w:val="00D27308"/>
    <w:rsid w:val="00D3456B"/>
    <w:rsid w:val="00D37A44"/>
    <w:rsid w:val="00D41767"/>
    <w:rsid w:val="00D51866"/>
    <w:rsid w:val="00D66FD1"/>
    <w:rsid w:val="00D83EA9"/>
    <w:rsid w:val="00D906CE"/>
    <w:rsid w:val="00D942E1"/>
    <w:rsid w:val="00D9573A"/>
    <w:rsid w:val="00D97D3C"/>
    <w:rsid w:val="00DA1E6A"/>
    <w:rsid w:val="00DA5D2E"/>
    <w:rsid w:val="00DB03D7"/>
    <w:rsid w:val="00DB4164"/>
    <w:rsid w:val="00DE018C"/>
    <w:rsid w:val="00DE4AE2"/>
    <w:rsid w:val="00DE7A27"/>
    <w:rsid w:val="00E00D34"/>
    <w:rsid w:val="00E02371"/>
    <w:rsid w:val="00E16012"/>
    <w:rsid w:val="00E24980"/>
    <w:rsid w:val="00E32357"/>
    <w:rsid w:val="00E34412"/>
    <w:rsid w:val="00E36B75"/>
    <w:rsid w:val="00E51BEE"/>
    <w:rsid w:val="00E54F84"/>
    <w:rsid w:val="00E61D56"/>
    <w:rsid w:val="00E73907"/>
    <w:rsid w:val="00E76BF9"/>
    <w:rsid w:val="00E80D6A"/>
    <w:rsid w:val="00E81F2C"/>
    <w:rsid w:val="00E83CDF"/>
    <w:rsid w:val="00E903CC"/>
    <w:rsid w:val="00E90726"/>
    <w:rsid w:val="00EB3ED8"/>
    <w:rsid w:val="00EE54D5"/>
    <w:rsid w:val="00EF22AF"/>
    <w:rsid w:val="00EF5269"/>
    <w:rsid w:val="00F045B6"/>
    <w:rsid w:val="00F126BD"/>
    <w:rsid w:val="00F21575"/>
    <w:rsid w:val="00F22384"/>
    <w:rsid w:val="00F36EB4"/>
    <w:rsid w:val="00F40E70"/>
    <w:rsid w:val="00F42DCC"/>
    <w:rsid w:val="00F44096"/>
    <w:rsid w:val="00F56BB3"/>
    <w:rsid w:val="00F672C9"/>
    <w:rsid w:val="00F76CC6"/>
    <w:rsid w:val="00F87AB5"/>
    <w:rsid w:val="00F93AC4"/>
    <w:rsid w:val="00F95796"/>
    <w:rsid w:val="00FA4F74"/>
    <w:rsid w:val="00FB4FB1"/>
    <w:rsid w:val="00FB701B"/>
    <w:rsid w:val="00FC38E5"/>
    <w:rsid w:val="00FC3A43"/>
    <w:rsid w:val="00FC78F6"/>
    <w:rsid w:val="00FE2D5D"/>
    <w:rsid w:val="00FF1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610B5F"/>
  <w15:chartTrackingRefBased/>
  <w15:docId w15:val="{2A99DAF6-90F4-48BE-89DF-CC9D0CDF6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8B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144B5"/>
    <w:pPr>
      <w:keepNext/>
      <w:keepLines/>
      <w:spacing w:before="400" w:after="40"/>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7144B5"/>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44B5"/>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44B5"/>
    <w:pPr>
      <w:keepNext/>
      <w:keepLines/>
      <w:spacing w:before="40"/>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144B5"/>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7144B5"/>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7144B5"/>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7144B5"/>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7144B5"/>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7680"/>
    <w:pPr>
      <w:tabs>
        <w:tab w:val="center" w:pos="4680"/>
        <w:tab w:val="right" w:pos="9360"/>
      </w:tabs>
    </w:pPr>
  </w:style>
  <w:style w:type="character" w:customStyle="1" w:styleId="HeaderChar">
    <w:name w:val="Header Char"/>
    <w:basedOn w:val="DefaultParagraphFont"/>
    <w:link w:val="Header"/>
    <w:uiPriority w:val="99"/>
    <w:rsid w:val="00717680"/>
  </w:style>
  <w:style w:type="paragraph" w:styleId="Footer">
    <w:name w:val="footer"/>
    <w:basedOn w:val="Normal"/>
    <w:link w:val="FooterChar"/>
    <w:uiPriority w:val="99"/>
    <w:unhideWhenUsed/>
    <w:rsid w:val="00717680"/>
    <w:pPr>
      <w:tabs>
        <w:tab w:val="center" w:pos="4680"/>
        <w:tab w:val="right" w:pos="9360"/>
      </w:tabs>
    </w:pPr>
  </w:style>
  <w:style w:type="character" w:customStyle="1" w:styleId="FooterChar">
    <w:name w:val="Footer Char"/>
    <w:basedOn w:val="DefaultParagraphFont"/>
    <w:link w:val="Footer"/>
    <w:uiPriority w:val="99"/>
    <w:rsid w:val="00717680"/>
  </w:style>
  <w:style w:type="character" w:customStyle="1" w:styleId="Heading1Char">
    <w:name w:val="Heading 1 Char"/>
    <w:basedOn w:val="DefaultParagraphFont"/>
    <w:link w:val="Heading1"/>
    <w:uiPriority w:val="9"/>
    <w:rsid w:val="007144B5"/>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7144B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44B5"/>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44B5"/>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7144B5"/>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7144B5"/>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7144B5"/>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7144B5"/>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7144B5"/>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7144B5"/>
    <w:rPr>
      <w:b/>
      <w:bCs/>
      <w:smallCaps/>
      <w:color w:val="44546A" w:themeColor="text2"/>
    </w:rPr>
  </w:style>
  <w:style w:type="paragraph" w:styleId="Title">
    <w:name w:val="Title"/>
    <w:basedOn w:val="Normal"/>
    <w:next w:val="Normal"/>
    <w:link w:val="TitleChar"/>
    <w:uiPriority w:val="10"/>
    <w:qFormat/>
    <w:rsid w:val="007144B5"/>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144B5"/>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144B5"/>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144B5"/>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7144B5"/>
    <w:rPr>
      <w:b/>
      <w:bCs/>
    </w:rPr>
  </w:style>
  <w:style w:type="character" w:styleId="Emphasis">
    <w:name w:val="Emphasis"/>
    <w:basedOn w:val="DefaultParagraphFont"/>
    <w:uiPriority w:val="20"/>
    <w:qFormat/>
    <w:rsid w:val="007144B5"/>
    <w:rPr>
      <w:i/>
      <w:iCs/>
    </w:rPr>
  </w:style>
  <w:style w:type="paragraph" w:styleId="NoSpacing">
    <w:name w:val="No Spacing"/>
    <w:uiPriority w:val="1"/>
    <w:qFormat/>
    <w:rsid w:val="007144B5"/>
    <w:pPr>
      <w:spacing w:after="0" w:line="240" w:lineRule="auto"/>
    </w:pPr>
  </w:style>
  <w:style w:type="paragraph" w:styleId="Quote">
    <w:name w:val="Quote"/>
    <w:basedOn w:val="Normal"/>
    <w:next w:val="Normal"/>
    <w:link w:val="QuoteChar"/>
    <w:uiPriority w:val="29"/>
    <w:qFormat/>
    <w:rsid w:val="007144B5"/>
    <w:pPr>
      <w:spacing w:before="120" w:after="120"/>
      <w:ind w:left="720"/>
    </w:pPr>
    <w:rPr>
      <w:color w:val="44546A" w:themeColor="text2"/>
    </w:rPr>
  </w:style>
  <w:style w:type="character" w:customStyle="1" w:styleId="QuoteChar">
    <w:name w:val="Quote Char"/>
    <w:basedOn w:val="DefaultParagraphFont"/>
    <w:link w:val="Quote"/>
    <w:uiPriority w:val="29"/>
    <w:rsid w:val="007144B5"/>
    <w:rPr>
      <w:color w:val="44546A" w:themeColor="text2"/>
      <w:sz w:val="24"/>
      <w:szCs w:val="24"/>
    </w:rPr>
  </w:style>
  <w:style w:type="paragraph" w:styleId="IntenseQuote">
    <w:name w:val="Intense Quote"/>
    <w:basedOn w:val="Normal"/>
    <w:next w:val="Normal"/>
    <w:link w:val="IntenseQuoteChar"/>
    <w:uiPriority w:val="30"/>
    <w:qFormat/>
    <w:rsid w:val="007144B5"/>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144B5"/>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144B5"/>
    <w:rPr>
      <w:i/>
      <w:iCs/>
      <w:color w:val="595959" w:themeColor="text1" w:themeTint="A6"/>
    </w:rPr>
  </w:style>
  <w:style w:type="character" w:styleId="IntenseEmphasis">
    <w:name w:val="Intense Emphasis"/>
    <w:basedOn w:val="DefaultParagraphFont"/>
    <w:uiPriority w:val="21"/>
    <w:qFormat/>
    <w:rsid w:val="007144B5"/>
    <w:rPr>
      <w:b/>
      <w:bCs/>
      <w:i/>
      <w:iCs/>
    </w:rPr>
  </w:style>
  <w:style w:type="character" w:styleId="SubtleReference">
    <w:name w:val="Subtle Reference"/>
    <w:basedOn w:val="DefaultParagraphFont"/>
    <w:uiPriority w:val="31"/>
    <w:qFormat/>
    <w:rsid w:val="007144B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144B5"/>
    <w:rPr>
      <w:b/>
      <w:bCs/>
      <w:smallCaps/>
      <w:color w:val="44546A" w:themeColor="text2"/>
      <w:u w:val="single"/>
    </w:rPr>
  </w:style>
  <w:style w:type="character" w:styleId="BookTitle">
    <w:name w:val="Book Title"/>
    <w:basedOn w:val="DefaultParagraphFont"/>
    <w:uiPriority w:val="33"/>
    <w:qFormat/>
    <w:rsid w:val="007144B5"/>
    <w:rPr>
      <w:b/>
      <w:bCs/>
      <w:smallCaps/>
      <w:spacing w:val="10"/>
    </w:rPr>
  </w:style>
  <w:style w:type="paragraph" w:styleId="TOCHeading">
    <w:name w:val="TOC Heading"/>
    <w:basedOn w:val="Heading1"/>
    <w:next w:val="Normal"/>
    <w:uiPriority w:val="39"/>
    <w:semiHidden/>
    <w:unhideWhenUsed/>
    <w:qFormat/>
    <w:rsid w:val="007144B5"/>
    <w:pPr>
      <w:outlineLvl w:val="9"/>
    </w:pPr>
  </w:style>
  <w:style w:type="paragraph" w:styleId="NormalWeb">
    <w:name w:val="Normal (Web)"/>
    <w:basedOn w:val="Normal"/>
    <w:uiPriority w:val="99"/>
    <w:semiHidden/>
    <w:unhideWhenUsed/>
    <w:rsid w:val="00C532ED"/>
    <w:pPr>
      <w:spacing w:before="100" w:beforeAutospacing="1" w:after="100" w:afterAutospacing="1"/>
    </w:pPr>
  </w:style>
  <w:style w:type="character" w:styleId="Hyperlink">
    <w:name w:val="Hyperlink"/>
    <w:basedOn w:val="DefaultParagraphFont"/>
    <w:uiPriority w:val="99"/>
    <w:unhideWhenUsed/>
    <w:rsid w:val="00C532ED"/>
    <w:rPr>
      <w:color w:val="0563C1" w:themeColor="hyperlink"/>
      <w:u w:val="single"/>
    </w:rPr>
  </w:style>
  <w:style w:type="character" w:styleId="UnresolvedMention">
    <w:name w:val="Unresolved Mention"/>
    <w:basedOn w:val="DefaultParagraphFont"/>
    <w:uiPriority w:val="99"/>
    <w:semiHidden/>
    <w:unhideWhenUsed/>
    <w:rsid w:val="00C532ED"/>
    <w:rPr>
      <w:color w:val="605E5C"/>
      <w:shd w:val="clear" w:color="auto" w:fill="E1DFDD"/>
    </w:rPr>
  </w:style>
  <w:style w:type="paragraph" w:styleId="ListParagraph">
    <w:name w:val="List Paragraph"/>
    <w:basedOn w:val="Normal"/>
    <w:uiPriority w:val="34"/>
    <w:qFormat/>
    <w:rsid w:val="00887712"/>
    <w:pPr>
      <w:ind w:left="720"/>
      <w:contextualSpacing/>
    </w:pPr>
  </w:style>
  <w:style w:type="character" w:customStyle="1" w:styleId="retrieved-from">
    <w:name w:val="retrieved-from"/>
    <w:basedOn w:val="DefaultParagraphFont"/>
    <w:rsid w:val="002F302E"/>
  </w:style>
  <w:style w:type="table" w:styleId="TableGrid">
    <w:name w:val="Table Grid"/>
    <w:basedOn w:val="TableNormal"/>
    <w:uiPriority w:val="39"/>
    <w:rsid w:val="00F56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D5B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45656">
      <w:bodyDiv w:val="1"/>
      <w:marLeft w:val="0"/>
      <w:marRight w:val="0"/>
      <w:marTop w:val="0"/>
      <w:marBottom w:val="0"/>
      <w:divBdr>
        <w:top w:val="none" w:sz="0" w:space="0" w:color="auto"/>
        <w:left w:val="none" w:sz="0" w:space="0" w:color="auto"/>
        <w:bottom w:val="none" w:sz="0" w:space="0" w:color="auto"/>
        <w:right w:val="none" w:sz="0" w:space="0" w:color="auto"/>
      </w:divBdr>
    </w:div>
    <w:div w:id="33316562">
      <w:bodyDiv w:val="1"/>
      <w:marLeft w:val="0"/>
      <w:marRight w:val="0"/>
      <w:marTop w:val="0"/>
      <w:marBottom w:val="0"/>
      <w:divBdr>
        <w:top w:val="none" w:sz="0" w:space="0" w:color="auto"/>
        <w:left w:val="none" w:sz="0" w:space="0" w:color="auto"/>
        <w:bottom w:val="none" w:sz="0" w:space="0" w:color="auto"/>
        <w:right w:val="none" w:sz="0" w:space="0" w:color="auto"/>
      </w:divBdr>
    </w:div>
    <w:div w:id="39208382">
      <w:bodyDiv w:val="1"/>
      <w:marLeft w:val="0"/>
      <w:marRight w:val="0"/>
      <w:marTop w:val="0"/>
      <w:marBottom w:val="0"/>
      <w:divBdr>
        <w:top w:val="none" w:sz="0" w:space="0" w:color="auto"/>
        <w:left w:val="none" w:sz="0" w:space="0" w:color="auto"/>
        <w:bottom w:val="none" w:sz="0" w:space="0" w:color="auto"/>
        <w:right w:val="none" w:sz="0" w:space="0" w:color="auto"/>
      </w:divBdr>
    </w:div>
    <w:div w:id="109083332">
      <w:bodyDiv w:val="1"/>
      <w:marLeft w:val="0"/>
      <w:marRight w:val="0"/>
      <w:marTop w:val="0"/>
      <w:marBottom w:val="0"/>
      <w:divBdr>
        <w:top w:val="none" w:sz="0" w:space="0" w:color="auto"/>
        <w:left w:val="none" w:sz="0" w:space="0" w:color="auto"/>
        <w:bottom w:val="none" w:sz="0" w:space="0" w:color="auto"/>
        <w:right w:val="none" w:sz="0" w:space="0" w:color="auto"/>
      </w:divBdr>
    </w:div>
    <w:div w:id="109131855">
      <w:bodyDiv w:val="1"/>
      <w:marLeft w:val="0"/>
      <w:marRight w:val="0"/>
      <w:marTop w:val="0"/>
      <w:marBottom w:val="0"/>
      <w:divBdr>
        <w:top w:val="none" w:sz="0" w:space="0" w:color="auto"/>
        <w:left w:val="none" w:sz="0" w:space="0" w:color="auto"/>
        <w:bottom w:val="none" w:sz="0" w:space="0" w:color="auto"/>
        <w:right w:val="none" w:sz="0" w:space="0" w:color="auto"/>
      </w:divBdr>
      <w:divsChild>
        <w:div w:id="539975171">
          <w:marLeft w:val="0"/>
          <w:marRight w:val="0"/>
          <w:marTop w:val="0"/>
          <w:marBottom w:val="0"/>
          <w:divBdr>
            <w:top w:val="none" w:sz="0" w:space="0" w:color="auto"/>
            <w:left w:val="none" w:sz="0" w:space="0" w:color="auto"/>
            <w:bottom w:val="none" w:sz="0" w:space="0" w:color="auto"/>
            <w:right w:val="none" w:sz="0" w:space="0" w:color="auto"/>
          </w:divBdr>
        </w:div>
        <w:div w:id="1161702295">
          <w:marLeft w:val="0"/>
          <w:marRight w:val="0"/>
          <w:marTop w:val="0"/>
          <w:marBottom w:val="0"/>
          <w:divBdr>
            <w:top w:val="none" w:sz="0" w:space="0" w:color="auto"/>
            <w:left w:val="none" w:sz="0" w:space="0" w:color="auto"/>
            <w:bottom w:val="none" w:sz="0" w:space="0" w:color="auto"/>
            <w:right w:val="none" w:sz="0" w:space="0" w:color="auto"/>
          </w:divBdr>
        </w:div>
        <w:div w:id="1321422567">
          <w:marLeft w:val="0"/>
          <w:marRight w:val="0"/>
          <w:marTop w:val="0"/>
          <w:marBottom w:val="0"/>
          <w:divBdr>
            <w:top w:val="none" w:sz="0" w:space="0" w:color="auto"/>
            <w:left w:val="none" w:sz="0" w:space="0" w:color="auto"/>
            <w:bottom w:val="none" w:sz="0" w:space="0" w:color="auto"/>
            <w:right w:val="none" w:sz="0" w:space="0" w:color="auto"/>
          </w:divBdr>
          <w:divsChild>
            <w:div w:id="681277247">
              <w:marLeft w:val="0"/>
              <w:marRight w:val="0"/>
              <w:marTop w:val="0"/>
              <w:marBottom w:val="240"/>
              <w:divBdr>
                <w:top w:val="none" w:sz="0" w:space="0" w:color="auto"/>
                <w:left w:val="none" w:sz="0" w:space="0" w:color="auto"/>
                <w:bottom w:val="none" w:sz="0" w:space="0" w:color="auto"/>
                <w:right w:val="none" w:sz="0" w:space="0" w:color="auto"/>
              </w:divBdr>
              <w:divsChild>
                <w:div w:id="71246471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 w:id="156458282">
      <w:bodyDiv w:val="1"/>
      <w:marLeft w:val="0"/>
      <w:marRight w:val="0"/>
      <w:marTop w:val="0"/>
      <w:marBottom w:val="0"/>
      <w:divBdr>
        <w:top w:val="none" w:sz="0" w:space="0" w:color="auto"/>
        <w:left w:val="none" w:sz="0" w:space="0" w:color="auto"/>
        <w:bottom w:val="none" w:sz="0" w:space="0" w:color="auto"/>
        <w:right w:val="none" w:sz="0" w:space="0" w:color="auto"/>
      </w:divBdr>
    </w:div>
    <w:div w:id="163862003">
      <w:bodyDiv w:val="1"/>
      <w:marLeft w:val="0"/>
      <w:marRight w:val="0"/>
      <w:marTop w:val="0"/>
      <w:marBottom w:val="0"/>
      <w:divBdr>
        <w:top w:val="none" w:sz="0" w:space="0" w:color="auto"/>
        <w:left w:val="none" w:sz="0" w:space="0" w:color="auto"/>
        <w:bottom w:val="none" w:sz="0" w:space="0" w:color="auto"/>
        <w:right w:val="none" w:sz="0" w:space="0" w:color="auto"/>
      </w:divBdr>
    </w:div>
    <w:div w:id="206376084">
      <w:bodyDiv w:val="1"/>
      <w:marLeft w:val="0"/>
      <w:marRight w:val="0"/>
      <w:marTop w:val="0"/>
      <w:marBottom w:val="0"/>
      <w:divBdr>
        <w:top w:val="none" w:sz="0" w:space="0" w:color="auto"/>
        <w:left w:val="none" w:sz="0" w:space="0" w:color="auto"/>
        <w:bottom w:val="none" w:sz="0" w:space="0" w:color="auto"/>
        <w:right w:val="none" w:sz="0" w:space="0" w:color="auto"/>
      </w:divBdr>
    </w:div>
    <w:div w:id="423454839">
      <w:bodyDiv w:val="1"/>
      <w:marLeft w:val="0"/>
      <w:marRight w:val="0"/>
      <w:marTop w:val="0"/>
      <w:marBottom w:val="0"/>
      <w:divBdr>
        <w:top w:val="none" w:sz="0" w:space="0" w:color="auto"/>
        <w:left w:val="none" w:sz="0" w:space="0" w:color="auto"/>
        <w:bottom w:val="none" w:sz="0" w:space="0" w:color="auto"/>
        <w:right w:val="none" w:sz="0" w:space="0" w:color="auto"/>
      </w:divBdr>
    </w:div>
    <w:div w:id="463699380">
      <w:bodyDiv w:val="1"/>
      <w:marLeft w:val="0"/>
      <w:marRight w:val="0"/>
      <w:marTop w:val="0"/>
      <w:marBottom w:val="0"/>
      <w:divBdr>
        <w:top w:val="none" w:sz="0" w:space="0" w:color="auto"/>
        <w:left w:val="none" w:sz="0" w:space="0" w:color="auto"/>
        <w:bottom w:val="none" w:sz="0" w:space="0" w:color="auto"/>
        <w:right w:val="none" w:sz="0" w:space="0" w:color="auto"/>
      </w:divBdr>
    </w:div>
    <w:div w:id="496195511">
      <w:bodyDiv w:val="1"/>
      <w:marLeft w:val="0"/>
      <w:marRight w:val="0"/>
      <w:marTop w:val="0"/>
      <w:marBottom w:val="0"/>
      <w:divBdr>
        <w:top w:val="none" w:sz="0" w:space="0" w:color="auto"/>
        <w:left w:val="none" w:sz="0" w:space="0" w:color="auto"/>
        <w:bottom w:val="none" w:sz="0" w:space="0" w:color="auto"/>
        <w:right w:val="none" w:sz="0" w:space="0" w:color="auto"/>
      </w:divBdr>
    </w:div>
    <w:div w:id="518739019">
      <w:bodyDiv w:val="1"/>
      <w:marLeft w:val="0"/>
      <w:marRight w:val="0"/>
      <w:marTop w:val="0"/>
      <w:marBottom w:val="0"/>
      <w:divBdr>
        <w:top w:val="none" w:sz="0" w:space="0" w:color="auto"/>
        <w:left w:val="none" w:sz="0" w:space="0" w:color="auto"/>
        <w:bottom w:val="none" w:sz="0" w:space="0" w:color="auto"/>
        <w:right w:val="none" w:sz="0" w:space="0" w:color="auto"/>
      </w:divBdr>
    </w:div>
    <w:div w:id="732317851">
      <w:bodyDiv w:val="1"/>
      <w:marLeft w:val="0"/>
      <w:marRight w:val="0"/>
      <w:marTop w:val="0"/>
      <w:marBottom w:val="0"/>
      <w:divBdr>
        <w:top w:val="none" w:sz="0" w:space="0" w:color="auto"/>
        <w:left w:val="none" w:sz="0" w:space="0" w:color="auto"/>
        <w:bottom w:val="none" w:sz="0" w:space="0" w:color="auto"/>
        <w:right w:val="none" w:sz="0" w:space="0" w:color="auto"/>
      </w:divBdr>
    </w:div>
    <w:div w:id="810370696">
      <w:bodyDiv w:val="1"/>
      <w:marLeft w:val="0"/>
      <w:marRight w:val="0"/>
      <w:marTop w:val="0"/>
      <w:marBottom w:val="0"/>
      <w:divBdr>
        <w:top w:val="none" w:sz="0" w:space="0" w:color="auto"/>
        <w:left w:val="none" w:sz="0" w:space="0" w:color="auto"/>
        <w:bottom w:val="none" w:sz="0" w:space="0" w:color="auto"/>
        <w:right w:val="none" w:sz="0" w:space="0" w:color="auto"/>
      </w:divBdr>
    </w:div>
    <w:div w:id="833951439">
      <w:bodyDiv w:val="1"/>
      <w:marLeft w:val="0"/>
      <w:marRight w:val="0"/>
      <w:marTop w:val="0"/>
      <w:marBottom w:val="0"/>
      <w:divBdr>
        <w:top w:val="none" w:sz="0" w:space="0" w:color="auto"/>
        <w:left w:val="none" w:sz="0" w:space="0" w:color="auto"/>
        <w:bottom w:val="none" w:sz="0" w:space="0" w:color="auto"/>
        <w:right w:val="none" w:sz="0" w:space="0" w:color="auto"/>
      </w:divBdr>
    </w:div>
    <w:div w:id="939097013">
      <w:bodyDiv w:val="1"/>
      <w:marLeft w:val="0"/>
      <w:marRight w:val="0"/>
      <w:marTop w:val="0"/>
      <w:marBottom w:val="0"/>
      <w:divBdr>
        <w:top w:val="none" w:sz="0" w:space="0" w:color="auto"/>
        <w:left w:val="none" w:sz="0" w:space="0" w:color="auto"/>
        <w:bottom w:val="none" w:sz="0" w:space="0" w:color="auto"/>
        <w:right w:val="none" w:sz="0" w:space="0" w:color="auto"/>
      </w:divBdr>
    </w:div>
    <w:div w:id="943534137">
      <w:bodyDiv w:val="1"/>
      <w:marLeft w:val="0"/>
      <w:marRight w:val="0"/>
      <w:marTop w:val="0"/>
      <w:marBottom w:val="0"/>
      <w:divBdr>
        <w:top w:val="none" w:sz="0" w:space="0" w:color="auto"/>
        <w:left w:val="none" w:sz="0" w:space="0" w:color="auto"/>
        <w:bottom w:val="none" w:sz="0" w:space="0" w:color="auto"/>
        <w:right w:val="none" w:sz="0" w:space="0" w:color="auto"/>
      </w:divBdr>
    </w:div>
    <w:div w:id="1052272165">
      <w:bodyDiv w:val="1"/>
      <w:marLeft w:val="0"/>
      <w:marRight w:val="0"/>
      <w:marTop w:val="0"/>
      <w:marBottom w:val="0"/>
      <w:divBdr>
        <w:top w:val="none" w:sz="0" w:space="0" w:color="auto"/>
        <w:left w:val="none" w:sz="0" w:space="0" w:color="auto"/>
        <w:bottom w:val="none" w:sz="0" w:space="0" w:color="auto"/>
        <w:right w:val="none" w:sz="0" w:space="0" w:color="auto"/>
      </w:divBdr>
    </w:div>
    <w:div w:id="1117335079">
      <w:bodyDiv w:val="1"/>
      <w:marLeft w:val="0"/>
      <w:marRight w:val="0"/>
      <w:marTop w:val="0"/>
      <w:marBottom w:val="0"/>
      <w:divBdr>
        <w:top w:val="none" w:sz="0" w:space="0" w:color="auto"/>
        <w:left w:val="none" w:sz="0" w:space="0" w:color="auto"/>
        <w:bottom w:val="none" w:sz="0" w:space="0" w:color="auto"/>
        <w:right w:val="none" w:sz="0" w:space="0" w:color="auto"/>
      </w:divBdr>
    </w:div>
    <w:div w:id="1286623423">
      <w:bodyDiv w:val="1"/>
      <w:marLeft w:val="0"/>
      <w:marRight w:val="0"/>
      <w:marTop w:val="0"/>
      <w:marBottom w:val="0"/>
      <w:divBdr>
        <w:top w:val="none" w:sz="0" w:space="0" w:color="auto"/>
        <w:left w:val="none" w:sz="0" w:space="0" w:color="auto"/>
        <w:bottom w:val="none" w:sz="0" w:space="0" w:color="auto"/>
        <w:right w:val="none" w:sz="0" w:space="0" w:color="auto"/>
      </w:divBdr>
    </w:div>
    <w:div w:id="1304966430">
      <w:bodyDiv w:val="1"/>
      <w:marLeft w:val="0"/>
      <w:marRight w:val="0"/>
      <w:marTop w:val="0"/>
      <w:marBottom w:val="0"/>
      <w:divBdr>
        <w:top w:val="none" w:sz="0" w:space="0" w:color="auto"/>
        <w:left w:val="none" w:sz="0" w:space="0" w:color="auto"/>
        <w:bottom w:val="none" w:sz="0" w:space="0" w:color="auto"/>
        <w:right w:val="none" w:sz="0" w:space="0" w:color="auto"/>
      </w:divBdr>
    </w:div>
    <w:div w:id="1537426438">
      <w:bodyDiv w:val="1"/>
      <w:marLeft w:val="0"/>
      <w:marRight w:val="0"/>
      <w:marTop w:val="0"/>
      <w:marBottom w:val="0"/>
      <w:divBdr>
        <w:top w:val="none" w:sz="0" w:space="0" w:color="auto"/>
        <w:left w:val="none" w:sz="0" w:space="0" w:color="auto"/>
        <w:bottom w:val="none" w:sz="0" w:space="0" w:color="auto"/>
        <w:right w:val="none" w:sz="0" w:space="0" w:color="auto"/>
      </w:divBdr>
    </w:div>
    <w:div w:id="1546987468">
      <w:bodyDiv w:val="1"/>
      <w:marLeft w:val="0"/>
      <w:marRight w:val="0"/>
      <w:marTop w:val="0"/>
      <w:marBottom w:val="0"/>
      <w:divBdr>
        <w:top w:val="none" w:sz="0" w:space="0" w:color="auto"/>
        <w:left w:val="none" w:sz="0" w:space="0" w:color="auto"/>
        <w:bottom w:val="none" w:sz="0" w:space="0" w:color="auto"/>
        <w:right w:val="none" w:sz="0" w:space="0" w:color="auto"/>
      </w:divBdr>
    </w:div>
    <w:div w:id="1622688968">
      <w:bodyDiv w:val="1"/>
      <w:marLeft w:val="0"/>
      <w:marRight w:val="0"/>
      <w:marTop w:val="0"/>
      <w:marBottom w:val="0"/>
      <w:divBdr>
        <w:top w:val="none" w:sz="0" w:space="0" w:color="auto"/>
        <w:left w:val="none" w:sz="0" w:space="0" w:color="auto"/>
        <w:bottom w:val="none" w:sz="0" w:space="0" w:color="auto"/>
        <w:right w:val="none" w:sz="0" w:space="0" w:color="auto"/>
      </w:divBdr>
    </w:div>
    <w:div w:id="1636369597">
      <w:bodyDiv w:val="1"/>
      <w:marLeft w:val="0"/>
      <w:marRight w:val="0"/>
      <w:marTop w:val="0"/>
      <w:marBottom w:val="0"/>
      <w:divBdr>
        <w:top w:val="none" w:sz="0" w:space="0" w:color="auto"/>
        <w:left w:val="none" w:sz="0" w:space="0" w:color="auto"/>
        <w:bottom w:val="none" w:sz="0" w:space="0" w:color="auto"/>
        <w:right w:val="none" w:sz="0" w:space="0" w:color="auto"/>
      </w:divBdr>
    </w:div>
    <w:div w:id="1754935955">
      <w:bodyDiv w:val="1"/>
      <w:marLeft w:val="0"/>
      <w:marRight w:val="0"/>
      <w:marTop w:val="0"/>
      <w:marBottom w:val="0"/>
      <w:divBdr>
        <w:top w:val="none" w:sz="0" w:space="0" w:color="auto"/>
        <w:left w:val="none" w:sz="0" w:space="0" w:color="auto"/>
        <w:bottom w:val="none" w:sz="0" w:space="0" w:color="auto"/>
        <w:right w:val="none" w:sz="0" w:space="0" w:color="auto"/>
      </w:divBdr>
    </w:div>
    <w:div w:id="1791974734">
      <w:bodyDiv w:val="1"/>
      <w:marLeft w:val="0"/>
      <w:marRight w:val="0"/>
      <w:marTop w:val="0"/>
      <w:marBottom w:val="0"/>
      <w:divBdr>
        <w:top w:val="none" w:sz="0" w:space="0" w:color="auto"/>
        <w:left w:val="none" w:sz="0" w:space="0" w:color="auto"/>
        <w:bottom w:val="none" w:sz="0" w:space="0" w:color="auto"/>
        <w:right w:val="none" w:sz="0" w:space="0" w:color="auto"/>
      </w:divBdr>
    </w:div>
    <w:div w:id="1946114302">
      <w:bodyDiv w:val="1"/>
      <w:marLeft w:val="0"/>
      <w:marRight w:val="0"/>
      <w:marTop w:val="0"/>
      <w:marBottom w:val="0"/>
      <w:divBdr>
        <w:top w:val="none" w:sz="0" w:space="0" w:color="auto"/>
        <w:left w:val="none" w:sz="0" w:space="0" w:color="auto"/>
        <w:bottom w:val="none" w:sz="0" w:space="0" w:color="auto"/>
        <w:right w:val="none" w:sz="0" w:space="0" w:color="auto"/>
      </w:divBdr>
    </w:div>
    <w:div w:id="1967881426">
      <w:bodyDiv w:val="1"/>
      <w:marLeft w:val="0"/>
      <w:marRight w:val="0"/>
      <w:marTop w:val="0"/>
      <w:marBottom w:val="0"/>
      <w:divBdr>
        <w:top w:val="none" w:sz="0" w:space="0" w:color="auto"/>
        <w:left w:val="none" w:sz="0" w:space="0" w:color="auto"/>
        <w:bottom w:val="none" w:sz="0" w:space="0" w:color="auto"/>
        <w:right w:val="none" w:sz="0" w:space="0" w:color="auto"/>
      </w:divBdr>
    </w:div>
    <w:div w:id="2028098986">
      <w:bodyDiv w:val="1"/>
      <w:marLeft w:val="0"/>
      <w:marRight w:val="0"/>
      <w:marTop w:val="0"/>
      <w:marBottom w:val="0"/>
      <w:divBdr>
        <w:top w:val="none" w:sz="0" w:space="0" w:color="auto"/>
        <w:left w:val="none" w:sz="0" w:space="0" w:color="auto"/>
        <w:bottom w:val="none" w:sz="0" w:space="0" w:color="auto"/>
        <w:right w:val="none" w:sz="0" w:space="0" w:color="auto"/>
      </w:divBdr>
    </w:div>
    <w:div w:id="2090343791">
      <w:bodyDiv w:val="1"/>
      <w:marLeft w:val="0"/>
      <w:marRight w:val="0"/>
      <w:marTop w:val="0"/>
      <w:marBottom w:val="0"/>
      <w:divBdr>
        <w:top w:val="none" w:sz="0" w:space="0" w:color="auto"/>
        <w:left w:val="none" w:sz="0" w:space="0" w:color="auto"/>
        <w:bottom w:val="none" w:sz="0" w:space="0" w:color="auto"/>
        <w:right w:val="none" w:sz="0" w:space="0" w:color="auto"/>
      </w:divBdr>
    </w:div>
    <w:div w:id="209952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oi.org/10.1109/ACES.2014.6807983"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E22C8-2BF4-4219-A3AD-D77E128C4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1609</Words>
  <Characters>9175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Medellin</dc:creator>
  <cp:keywords/>
  <dc:description/>
  <cp:lastModifiedBy>Newton, Leo (BSTE4)</cp:lastModifiedBy>
  <cp:revision>2</cp:revision>
  <dcterms:created xsi:type="dcterms:W3CDTF">2024-11-25T13:09:00Z</dcterms:created>
  <dcterms:modified xsi:type="dcterms:W3CDTF">2024-11-25T13:09:00Z</dcterms:modified>
</cp:coreProperties>
</file>