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14340" w14:textId="77777777" w:rsidR="00821A1C" w:rsidRPr="00821A1C" w:rsidRDefault="00821A1C" w:rsidP="00821A1C">
      <w:pPr>
        <w:spacing w:line="480" w:lineRule="auto"/>
        <w:rPr>
          <w:rFonts w:ascii="Times New Roman" w:hAnsi="Times New Roman" w:cs="Times New Roman"/>
        </w:rPr>
      </w:pPr>
    </w:p>
    <w:p w14:paraId="59FD2F72" w14:textId="77777777" w:rsidR="00821A1C" w:rsidRPr="00821A1C" w:rsidRDefault="00821A1C" w:rsidP="00821A1C">
      <w:pPr>
        <w:spacing w:line="480" w:lineRule="auto"/>
        <w:rPr>
          <w:rFonts w:ascii="Times New Roman" w:hAnsi="Times New Roman" w:cs="Times New Roman"/>
        </w:rPr>
      </w:pPr>
    </w:p>
    <w:p w14:paraId="0C5A58DD" w14:textId="77777777" w:rsidR="00821A1C" w:rsidRPr="00821A1C" w:rsidRDefault="00821A1C" w:rsidP="00821A1C">
      <w:pPr>
        <w:spacing w:line="480" w:lineRule="auto"/>
        <w:rPr>
          <w:rFonts w:ascii="Times New Roman" w:hAnsi="Times New Roman" w:cs="Times New Roman"/>
        </w:rPr>
      </w:pPr>
    </w:p>
    <w:p w14:paraId="57B8D89F" w14:textId="77777777" w:rsidR="00821A1C" w:rsidRPr="00821A1C" w:rsidRDefault="00821A1C" w:rsidP="00821A1C">
      <w:pPr>
        <w:spacing w:line="480" w:lineRule="auto"/>
        <w:rPr>
          <w:rFonts w:ascii="Times New Roman" w:hAnsi="Times New Roman" w:cs="Times New Roman"/>
        </w:rPr>
      </w:pPr>
    </w:p>
    <w:p w14:paraId="689903C3" w14:textId="77777777" w:rsidR="00821A1C" w:rsidRPr="00821A1C" w:rsidRDefault="00821A1C" w:rsidP="00821A1C">
      <w:pPr>
        <w:spacing w:line="480" w:lineRule="auto"/>
        <w:rPr>
          <w:rFonts w:ascii="Times New Roman" w:hAnsi="Times New Roman" w:cs="Times New Roman"/>
        </w:rPr>
      </w:pPr>
    </w:p>
    <w:p w14:paraId="0D787E3F" w14:textId="77777777" w:rsidR="00821A1C" w:rsidRPr="00821A1C" w:rsidRDefault="00821A1C" w:rsidP="00821A1C">
      <w:pPr>
        <w:spacing w:line="480" w:lineRule="auto"/>
        <w:rPr>
          <w:rFonts w:ascii="Times New Roman" w:hAnsi="Times New Roman" w:cs="Times New Roman"/>
        </w:rPr>
      </w:pPr>
    </w:p>
    <w:p w14:paraId="47F62E3F" w14:textId="77777777" w:rsidR="00821A1C" w:rsidRPr="00821A1C" w:rsidRDefault="00821A1C" w:rsidP="00821A1C">
      <w:pPr>
        <w:spacing w:line="480" w:lineRule="auto"/>
        <w:rPr>
          <w:rFonts w:ascii="Times New Roman" w:hAnsi="Times New Roman" w:cs="Times New Roman"/>
        </w:rPr>
      </w:pPr>
    </w:p>
    <w:p w14:paraId="559FD8AB" w14:textId="77777777" w:rsidR="00821A1C" w:rsidRPr="00821A1C" w:rsidRDefault="00821A1C" w:rsidP="00821A1C">
      <w:pPr>
        <w:spacing w:line="480" w:lineRule="auto"/>
        <w:rPr>
          <w:rFonts w:ascii="Times New Roman" w:hAnsi="Times New Roman" w:cs="Times New Roman"/>
        </w:rPr>
      </w:pPr>
    </w:p>
    <w:p w14:paraId="166D15C3" w14:textId="77777777" w:rsidR="00821A1C" w:rsidRPr="00821A1C" w:rsidRDefault="00821A1C" w:rsidP="00821A1C">
      <w:pPr>
        <w:spacing w:line="480" w:lineRule="auto"/>
        <w:rPr>
          <w:rFonts w:ascii="Times New Roman" w:hAnsi="Times New Roman" w:cs="Times New Roman"/>
        </w:rPr>
      </w:pPr>
    </w:p>
    <w:p w14:paraId="2C435E6F" w14:textId="77777777"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A Comprehensive Security Emergency Plan for Hospital Environments</w:t>
      </w:r>
    </w:p>
    <w:p w14:paraId="029BE16E" w14:textId="74104B8F"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Leo Newton</w:t>
      </w:r>
    </w:p>
    <w:p w14:paraId="3004237D" w14:textId="4672F95D"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11/25/24</w:t>
      </w:r>
    </w:p>
    <w:p w14:paraId="4718FA0E" w14:textId="77777777" w:rsidR="00821A1C" w:rsidRPr="00821A1C" w:rsidRDefault="00821A1C" w:rsidP="00821A1C">
      <w:pPr>
        <w:spacing w:line="480" w:lineRule="auto"/>
        <w:rPr>
          <w:rFonts w:ascii="Times New Roman" w:hAnsi="Times New Roman" w:cs="Times New Roman"/>
        </w:rPr>
      </w:pPr>
    </w:p>
    <w:p w14:paraId="72145A1E" w14:textId="77777777" w:rsidR="00821A1C" w:rsidRPr="00821A1C" w:rsidRDefault="00821A1C" w:rsidP="00821A1C">
      <w:pPr>
        <w:spacing w:line="480" w:lineRule="auto"/>
        <w:rPr>
          <w:rFonts w:ascii="Times New Roman" w:hAnsi="Times New Roman" w:cs="Times New Roman"/>
        </w:rPr>
      </w:pPr>
    </w:p>
    <w:p w14:paraId="47A424C3" w14:textId="77777777" w:rsidR="00821A1C" w:rsidRPr="00821A1C" w:rsidRDefault="00821A1C" w:rsidP="00821A1C">
      <w:pPr>
        <w:spacing w:line="480" w:lineRule="auto"/>
        <w:rPr>
          <w:rFonts w:ascii="Times New Roman" w:hAnsi="Times New Roman" w:cs="Times New Roman"/>
        </w:rPr>
      </w:pPr>
    </w:p>
    <w:p w14:paraId="0594F019" w14:textId="77777777" w:rsidR="00821A1C" w:rsidRPr="00821A1C" w:rsidRDefault="00821A1C" w:rsidP="00821A1C">
      <w:pPr>
        <w:spacing w:line="480" w:lineRule="auto"/>
        <w:rPr>
          <w:rFonts w:ascii="Times New Roman" w:hAnsi="Times New Roman" w:cs="Times New Roman"/>
        </w:rPr>
      </w:pPr>
    </w:p>
    <w:p w14:paraId="48B2136A" w14:textId="77777777" w:rsidR="00821A1C" w:rsidRPr="00821A1C" w:rsidRDefault="00821A1C" w:rsidP="00821A1C">
      <w:pPr>
        <w:spacing w:line="480" w:lineRule="auto"/>
        <w:rPr>
          <w:rFonts w:ascii="Times New Roman" w:hAnsi="Times New Roman" w:cs="Times New Roman"/>
        </w:rPr>
      </w:pPr>
    </w:p>
    <w:p w14:paraId="70532A20" w14:textId="77777777" w:rsidR="00821A1C" w:rsidRPr="00821A1C" w:rsidRDefault="00821A1C" w:rsidP="00821A1C">
      <w:pPr>
        <w:spacing w:line="480" w:lineRule="auto"/>
        <w:rPr>
          <w:rFonts w:ascii="Times New Roman" w:hAnsi="Times New Roman" w:cs="Times New Roman"/>
        </w:rPr>
      </w:pPr>
    </w:p>
    <w:p w14:paraId="7DA102F9" w14:textId="77777777" w:rsidR="00821A1C" w:rsidRPr="00821A1C" w:rsidRDefault="00821A1C" w:rsidP="00821A1C">
      <w:pPr>
        <w:spacing w:line="480" w:lineRule="auto"/>
        <w:rPr>
          <w:rFonts w:ascii="Times New Roman" w:hAnsi="Times New Roman" w:cs="Times New Roman"/>
        </w:rPr>
      </w:pPr>
    </w:p>
    <w:p w14:paraId="72857A55" w14:textId="77777777" w:rsidR="00821A1C" w:rsidRPr="00821A1C" w:rsidRDefault="00821A1C" w:rsidP="00821A1C">
      <w:pPr>
        <w:spacing w:line="480" w:lineRule="auto"/>
        <w:rPr>
          <w:rFonts w:ascii="Times New Roman" w:hAnsi="Times New Roman" w:cs="Times New Roman"/>
        </w:rPr>
      </w:pPr>
    </w:p>
    <w:p w14:paraId="414DCAB0" w14:textId="77777777" w:rsidR="00821A1C" w:rsidRPr="00821A1C" w:rsidRDefault="00821A1C" w:rsidP="00821A1C">
      <w:pPr>
        <w:spacing w:line="480" w:lineRule="auto"/>
        <w:rPr>
          <w:rFonts w:ascii="Times New Roman" w:hAnsi="Times New Roman" w:cs="Times New Roman"/>
        </w:rPr>
      </w:pPr>
    </w:p>
    <w:p w14:paraId="36DEFE67" w14:textId="77777777" w:rsidR="00821A1C" w:rsidRPr="00821A1C" w:rsidRDefault="00821A1C" w:rsidP="00821A1C">
      <w:pPr>
        <w:spacing w:line="480" w:lineRule="auto"/>
        <w:rPr>
          <w:rFonts w:ascii="Times New Roman" w:hAnsi="Times New Roman" w:cs="Times New Roman"/>
        </w:rPr>
      </w:pPr>
    </w:p>
    <w:p w14:paraId="5F478EBA" w14:textId="77777777" w:rsidR="00821A1C" w:rsidRPr="00821A1C" w:rsidRDefault="00821A1C" w:rsidP="00821A1C">
      <w:pPr>
        <w:spacing w:line="480" w:lineRule="auto"/>
        <w:rPr>
          <w:rFonts w:ascii="Times New Roman" w:hAnsi="Times New Roman" w:cs="Times New Roman"/>
        </w:rPr>
      </w:pPr>
    </w:p>
    <w:p w14:paraId="1998DE5D" w14:textId="77777777" w:rsidR="00821A1C" w:rsidRPr="00821A1C" w:rsidRDefault="00821A1C" w:rsidP="00821A1C">
      <w:pPr>
        <w:spacing w:line="480" w:lineRule="auto"/>
        <w:rPr>
          <w:rFonts w:ascii="Times New Roman" w:hAnsi="Times New Roman" w:cs="Times New Roman"/>
        </w:rPr>
      </w:pPr>
    </w:p>
    <w:p w14:paraId="4CA991BA" w14:textId="77777777"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Abstract</w:t>
      </w:r>
    </w:p>
    <w:p w14:paraId="20485CAC" w14:textId="77777777" w:rsidR="00821A1C" w:rsidRPr="00821A1C" w:rsidRDefault="00821A1C" w:rsidP="00821A1C">
      <w:pPr>
        <w:spacing w:line="480" w:lineRule="auto"/>
        <w:ind w:firstLine="720"/>
        <w:rPr>
          <w:rFonts w:ascii="Times New Roman" w:hAnsi="Times New Roman" w:cs="Times New Roman"/>
        </w:rPr>
      </w:pPr>
      <w:r w:rsidRPr="00821A1C">
        <w:rPr>
          <w:rFonts w:ascii="Times New Roman" w:hAnsi="Times New Roman" w:cs="Times New Roman"/>
        </w:rPr>
        <w:t>Hospitals are increasingly vulnerable to cybersecurity incidents, impacting patient care, operational efficiency, and legal compliance. This paper proposes a comprehensive security emergency plan integrating risk assessment, information security policy, and incident response. It details steps in effective incident response, defines the incident response team (IRT) membership and communication strategies, outlines ancillary roles and responsibilities, recommends skill development for IRT members, and describes individual responsibilities and post-incident evaluation processes. The plan emphasizes proactive measures, clear communication, and continuous improvement to mitigate risks and ensure business continuity.</w:t>
      </w:r>
    </w:p>
    <w:p w14:paraId="1C2FA3A0" w14:textId="77777777" w:rsidR="00821A1C" w:rsidRDefault="00821A1C" w:rsidP="00821A1C">
      <w:pPr>
        <w:spacing w:line="480" w:lineRule="auto"/>
        <w:jc w:val="center"/>
        <w:rPr>
          <w:rFonts w:ascii="Times New Roman" w:hAnsi="Times New Roman" w:cs="Times New Roman"/>
        </w:rPr>
      </w:pPr>
    </w:p>
    <w:p w14:paraId="1317ECA2" w14:textId="3893E11B"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Introduction</w:t>
      </w:r>
    </w:p>
    <w:p w14:paraId="2F1BBF78" w14:textId="77777777" w:rsidR="00821A1C" w:rsidRPr="00821A1C" w:rsidRDefault="00821A1C" w:rsidP="00821A1C">
      <w:pPr>
        <w:spacing w:line="480" w:lineRule="auto"/>
        <w:ind w:firstLine="720"/>
        <w:rPr>
          <w:rFonts w:ascii="Times New Roman" w:hAnsi="Times New Roman" w:cs="Times New Roman"/>
        </w:rPr>
      </w:pPr>
      <w:r w:rsidRPr="00821A1C">
        <w:rPr>
          <w:rFonts w:ascii="Times New Roman" w:hAnsi="Times New Roman" w:cs="Times New Roman"/>
        </w:rPr>
        <w:t xml:space="preserve">The healthcare industry is undergoing a digital transformation, increasing its reliance on interconnected systems and electronic health records (EHRs). This interconnectedness, while offering significant advantages in patient care and operational efficiency, simultaneously expands the attack surface and elevates the risk of cybersecurity incidents. Hospitals, as custodians of sensitive patient data and critical infrastructure, face a unique and significant challenge in protecting their systems and information from increasingly sophisticated cyber threats. A data breach not only compromises patient privacy but can also disrupt operations, leading to financial losses, reputational damage, and potentially, legal repercussions. The consequences of a successful cyberattack on a hospital can be far-reaching, impacting patient safety, clinical workflows, and public trust. Therefore, a proactive and comprehensive security emergency plan is not merely a best practice; it is a critical necessity for ensuring the safety and well-being of </w:t>
      </w:r>
      <w:r w:rsidRPr="00821A1C">
        <w:rPr>
          <w:rFonts w:ascii="Times New Roman" w:hAnsi="Times New Roman" w:cs="Times New Roman"/>
        </w:rPr>
        <w:lastRenderedPageBreak/>
        <w:t>patients and the continued operational stability of the healthcare institution. This plan outlines a robust framework for mitigating risks, responding effectively to security incidents, and learning from past experiences to enhance future resilience. It integrates risk assessment methodologies, a well-defined information security policy, and a structured incident response process to provide a holistic and adaptable approach to managing cybersecurity challenges within the dynamic healthcare environment.</w:t>
      </w:r>
    </w:p>
    <w:p w14:paraId="2010AA09" w14:textId="77777777" w:rsidR="00821A1C" w:rsidRDefault="00821A1C" w:rsidP="00821A1C">
      <w:pPr>
        <w:spacing w:line="480" w:lineRule="auto"/>
        <w:jc w:val="center"/>
        <w:rPr>
          <w:rFonts w:ascii="Times New Roman" w:hAnsi="Times New Roman" w:cs="Times New Roman"/>
        </w:rPr>
      </w:pPr>
    </w:p>
    <w:p w14:paraId="2F63894B" w14:textId="70A5B4A9"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Incident Response Process</w:t>
      </w:r>
    </w:p>
    <w:p w14:paraId="1896CB74" w14:textId="77777777" w:rsidR="00821A1C" w:rsidRDefault="00821A1C" w:rsidP="00821A1C">
      <w:pPr>
        <w:spacing w:line="480" w:lineRule="auto"/>
        <w:ind w:firstLine="720"/>
        <w:rPr>
          <w:rFonts w:ascii="Times New Roman" w:hAnsi="Times New Roman" w:cs="Times New Roman"/>
        </w:rPr>
      </w:pPr>
      <w:r w:rsidRPr="00821A1C">
        <w:rPr>
          <w:rFonts w:ascii="Times New Roman" w:hAnsi="Times New Roman" w:cs="Times New Roman"/>
        </w:rPr>
        <w:t>Effective incident response follows a structured process. The NIST Cybersecurity Framework (NIST, 2018) provides a useful model, which we adapt here:</w:t>
      </w:r>
    </w:p>
    <w:p w14:paraId="5ADECACB" w14:textId="77777777" w:rsidR="00821A1C" w:rsidRPr="00821A1C" w:rsidRDefault="00821A1C" w:rsidP="00821A1C">
      <w:pPr>
        <w:spacing w:line="480" w:lineRule="auto"/>
        <w:ind w:firstLine="720"/>
        <w:rPr>
          <w:rFonts w:ascii="Times New Roman" w:hAnsi="Times New Roman" w:cs="Times New Roman"/>
        </w:rPr>
      </w:pPr>
    </w:p>
    <w:p w14:paraId="6C07E65F"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1. Preparation: This phase involves proactive measures like establishing the IRT, developing incident response procedures, conducting regular security awareness training, and implementing security controls. A well-defined information security policy forms the foundation of this preparation, outlining acceptable use, access controls, and incident reporting procedures.</w:t>
      </w:r>
    </w:p>
    <w:p w14:paraId="061DC46D"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2. Identification: This stage focuses on detecting potential security incidents. This may involve monitoring security logs, receiving alerts from security systems, or receiving reports from employees. Early detection is crucial for minimizing the impact of an incident.</w:t>
      </w:r>
    </w:p>
    <w:p w14:paraId="3F052B17"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3. Containment: Once an incident is identified, the IRT must immediately contain the threat to prevent further damage. This may involve isolating affected systems, blocking malicious traffic, or disabling compromised accounts. Swift action limits the scope and severity of the incident.</w:t>
      </w:r>
    </w:p>
    <w:p w14:paraId="4452F29D"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lastRenderedPageBreak/>
        <w:t>4. Eradication: This phase involves removing the threat completely. This may involve malware removal, patching vulnerabilities, or restoring systems from backups. Thorough eradication is essential to prevent recurrence.</w:t>
      </w:r>
    </w:p>
    <w:p w14:paraId="3D324208"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5. Recovery: This stage focuses on restoring systems and data to their operational state. This may involve reinstalling software, restoring data from backups, and verifying system functionality. Effective recovery minimizes disruption to hospital operations.</w:t>
      </w:r>
    </w:p>
    <w:p w14:paraId="4C1C144F"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6. Lessons Learned: A post-incident review (discussed in detail below) is essential to analyze the incident, identify weaknesses in the security posture, and implement improvements to prevent similar incidents in the future. This crucial step fosters continuous improvement and enhances organizational resilience.</w:t>
      </w:r>
    </w:p>
    <w:p w14:paraId="3EAA240A" w14:textId="77777777" w:rsidR="00821A1C" w:rsidRDefault="00821A1C" w:rsidP="00821A1C">
      <w:pPr>
        <w:spacing w:line="480" w:lineRule="auto"/>
        <w:jc w:val="center"/>
        <w:rPr>
          <w:rFonts w:ascii="Times New Roman" w:hAnsi="Times New Roman" w:cs="Times New Roman"/>
        </w:rPr>
      </w:pPr>
    </w:p>
    <w:p w14:paraId="43404421" w14:textId="0A9CDBD5"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Incident Response Team (IRT) Membership and Communication</w:t>
      </w:r>
    </w:p>
    <w:p w14:paraId="041ABA0D" w14:textId="6E2669F3" w:rsidR="00821A1C" w:rsidRDefault="00821A1C" w:rsidP="00717CBC">
      <w:pPr>
        <w:spacing w:line="480" w:lineRule="auto"/>
        <w:ind w:firstLine="720"/>
        <w:rPr>
          <w:rFonts w:ascii="Times New Roman" w:hAnsi="Times New Roman" w:cs="Times New Roman"/>
        </w:rPr>
      </w:pPr>
      <w:r w:rsidRPr="00821A1C">
        <w:rPr>
          <w:rFonts w:ascii="Times New Roman" w:hAnsi="Times New Roman" w:cs="Times New Roman"/>
        </w:rPr>
        <w:t>The IRT should consist of diverse members with complementary skills. This multidisciplinary approach ensures comprehensive incident handling</w:t>
      </w:r>
      <w:r w:rsidR="00717CBC">
        <w:rPr>
          <w:rFonts w:ascii="Times New Roman" w:hAnsi="Times New Roman" w:cs="Times New Roman"/>
        </w:rPr>
        <w:t xml:space="preserve">. A Central </w:t>
      </w:r>
      <w:r w:rsidR="00132E67">
        <w:rPr>
          <w:rFonts w:ascii="Times New Roman" w:hAnsi="Times New Roman" w:cs="Times New Roman"/>
        </w:rPr>
        <w:t>Incident</w:t>
      </w:r>
      <w:r w:rsidR="00717CBC">
        <w:rPr>
          <w:rFonts w:ascii="Times New Roman" w:hAnsi="Times New Roman" w:cs="Times New Roman"/>
        </w:rPr>
        <w:t xml:space="preserve"> Response Team would be a perfect fit for this </w:t>
      </w:r>
      <w:r w:rsidR="00132E67">
        <w:rPr>
          <w:rFonts w:ascii="Times New Roman" w:hAnsi="Times New Roman" w:cs="Times New Roman"/>
        </w:rPr>
        <w:t>origination</w:t>
      </w:r>
      <w:r w:rsidR="00717CBC">
        <w:rPr>
          <w:rFonts w:ascii="Times New Roman" w:hAnsi="Times New Roman" w:cs="Times New Roman"/>
        </w:rPr>
        <w:t>, as it’s a single</w:t>
      </w:r>
      <w:r w:rsidR="00132E67">
        <w:rPr>
          <w:rFonts w:ascii="Times New Roman" w:hAnsi="Times New Roman" w:cs="Times New Roman"/>
        </w:rPr>
        <w:t>,</w:t>
      </w:r>
      <w:r w:rsidR="00717CBC">
        <w:rPr>
          <w:rFonts w:ascii="Times New Roman" w:hAnsi="Times New Roman" w:cs="Times New Roman"/>
        </w:rPr>
        <w:t xml:space="preserve"> </w:t>
      </w:r>
      <w:r w:rsidR="00132E67">
        <w:rPr>
          <w:rFonts w:ascii="Times New Roman" w:hAnsi="Times New Roman" w:cs="Times New Roman"/>
        </w:rPr>
        <w:t xml:space="preserve">relatively </w:t>
      </w:r>
      <w:r w:rsidR="00717CBC">
        <w:rPr>
          <w:rFonts w:ascii="Times New Roman" w:hAnsi="Times New Roman" w:cs="Times New Roman"/>
        </w:rPr>
        <w:t>small location</w:t>
      </w:r>
      <w:r w:rsidR="00132E67">
        <w:rPr>
          <w:rFonts w:ascii="Times New Roman" w:hAnsi="Times New Roman" w:cs="Times New Roman"/>
        </w:rPr>
        <w:t xml:space="preserve"> (</w:t>
      </w:r>
      <w:r w:rsidR="00132E67" w:rsidRPr="00627B41">
        <w:rPr>
          <w:rFonts w:ascii="Times New Roman" w:hAnsi="Times New Roman" w:cs="Times New Roman"/>
        </w:rPr>
        <w:t>Borrelli</w:t>
      </w:r>
      <w:r w:rsidR="00132E67">
        <w:rPr>
          <w:rFonts w:ascii="Times New Roman" w:hAnsi="Times New Roman" w:cs="Times New Roman"/>
        </w:rPr>
        <w:t xml:space="preserve">, 2012). </w:t>
      </w:r>
    </w:p>
    <w:p w14:paraId="6018DA31" w14:textId="77777777" w:rsidR="00717CBC" w:rsidRPr="00821A1C" w:rsidRDefault="00717CBC" w:rsidP="00821A1C">
      <w:pPr>
        <w:spacing w:line="480" w:lineRule="auto"/>
        <w:rPr>
          <w:rFonts w:ascii="Times New Roman" w:hAnsi="Times New Roman" w:cs="Times New Roman"/>
        </w:rPr>
      </w:pPr>
    </w:p>
    <w:p w14:paraId="10604A09"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Incident Commander: Overall leader, responsible for coordinating the response.</w:t>
      </w:r>
    </w:p>
    <w:p w14:paraId="5904EF6B"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Technical Lead: Manages the technical aspects of the response, such as system recovery and malware removal.</w:t>
      </w:r>
    </w:p>
    <w:p w14:paraId="2D61C5E5"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Communications Lead: Handles external and internal communications, including media relations and patient notification.</w:t>
      </w:r>
    </w:p>
    <w:p w14:paraId="1AF1BCDB"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Legal Counsel: Provides legal guidance and ensures compliance with regulations.</w:t>
      </w:r>
    </w:p>
    <w:p w14:paraId="46E6EF28" w14:textId="56CD37F5"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lastRenderedPageBreak/>
        <w:t>Public Relations: Manages the hospital</w:t>
      </w:r>
      <w:r>
        <w:rPr>
          <w:rFonts w:ascii="Times New Roman" w:hAnsi="Times New Roman" w:cs="Times New Roman"/>
        </w:rPr>
        <w:t>’</w:t>
      </w:r>
      <w:r w:rsidRPr="00821A1C">
        <w:rPr>
          <w:rFonts w:ascii="Times New Roman" w:hAnsi="Times New Roman" w:cs="Times New Roman"/>
        </w:rPr>
        <w:t>s public image and reputation during and after an incident.</w:t>
      </w:r>
    </w:p>
    <w:p w14:paraId="2471A3F4"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Communication within the IRT is critical. Clear communication channels and protocols should be established beforehand, including a dedicated communication platform (e.g., secure messaging system) and regular briefings. This ensures coordinated efforts and minimizes confusion during a crisis.</w:t>
      </w:r>
    </w:p>
    <w:p w14:paraId="3CAA0D26" w14:textId="77777777" w:rsidR="00821A1C" w:rsidRDefault="00821A1C" w:rsidP="00821A1C">
      <w:pPr>
        <w:spacing w:line="480" w:lineRule="auto"/>
        <w:jc w:val="center"/>
        <w:rPr>
          <w:rFonts w:ascii="Times New Roman" w:hAnsi="Times New Roman" w:cs="Times New Roman"/>
        </w:rPr>
      </w:pPr>
    </w:p>
    <w:p w14:paraId="36AB99FD" w14:textId="20356D2D"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Ancillary Roles and Responsibilities</w:t>
      </w:r>
    </w:p>
    <w:p w14:paraId="703F4A49" w14:textId="77777777" w:rsidR="00821A1C" w:rsidRPr="00821A1C" w:rsidRDefault="00821A1C" w:rsidP="00627B41">
      <w:pPr>
        <w:spacing w:line="480" w:lineRule="auto"/>
        <w:ind w:firstLine="720"/>
        <w:rPr>
          <w:rFonts w:ascii="Times New Roman" w:hAnsi="Times New Roman" w:cs="Times New Roman"/>
        </w:rPr>
      </w:pPr>
      <w:r w:rsidRPr="00821A1C">
        <w:rPr>
          <w:rFonts w:ascii="Times New Roman" w:hAnsi="Times New Roman" w:cs="Times New Roman"/>
        </w:rPr>
        <w:t>Beyond the core IRT, several ancillary roles support the response:</w:t>
      </w:r>
    </w:p>
    <w:p w14:paraId="4711C862"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IT Support Staff: Provide technical assistance and support to the IRT.</w:t>
      </w:r>
    </w:p>
    <w:p w14:paraId="104126CE"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Clinical Staff: May be involved in addressing direct impacts on patient care.</w:t>
      </w:r>
    </w:p>
    <w:p w14:paraId="2E7A6017"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Security Guards: May be involved in physical security aspects, like access control.</w:t>
      </w:r>
    </w:p>
    <w:p w14:paraId="27C50F20"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Human Resources: May be involved in addressing employee concerns and disciplinary action, if necessary.</w:t>
      </w:r>
    </w:p>
    <w:p w14:paraId="12EFBCDA" w14:textId="77777777" w:rsidR="00821A1C" w:rsidRDefault="00821A1C" w:rsidP="00821A1C">
      <w:pPr>
        <w:spacing w:line="480" w:lineRule="auto"/>
        <w:jc w:val="center"/>
        <w:rPr>
          <w:rFonts w:ascii="Times New Roman" w:hAnsi="Times New Roman" w:cs="Times New Roman"/>
        </w:rPr>
      </w:pPr>
    </w:p>
    <w:p w14:paraId="4DE1FE04" w14:textId="1382908A"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Skill Development for IRT Members</w:t>
      </w:r>
    </w:p>
    <w:p w14:paraId="71DAAC8D" w14:textId="77777777" w:rsidR="00821A1C" w:rsidRPr="00821A1C" w:rsidRDefault="00821A1C" w:rsidP="00627B41">
      <w:pPr>
        <w:spacing w:line="480" w:lineRule="auto"/>
        <w:ind w:firstLine="720"/>
        <w:rPr>
          <w:rFonts w:ascii="Times New Roman" w:hAnsi="Times New Roman" w:cs="Times New Roman"/>
        </w:rPr>
      </w:pPr>
      <w:r w:rsidRPr="00821A1C">
        <w:rPr>
          <w:rFonts w:ascii="Times New Roman" w:hAnsi="Times New Roman" w:cs="Times New Roman"/>
        </w:rPr>
        <w:t>IRT members require specific skills to effectively manage security incidents:</w:t>
      </w:r>
    </w:p>
    <w:p w14:paraId="6D1A99E7"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Technical Skills: Network security, system administration, malware analysis, incident response methodologies.</w:t>
      </w:r>
    </w:p>
    <w:p w14:paraId="308F1659"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Communication Skills: Clear, concise, and effective communication, both written and verbal, to convey information to diverse audiences (technical and non-technical).</w:t>
      </w:r>
    </w:p>
    <w:p w14:paraId="7C592FAB"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Problem-Solving Skills: Ability to analyze complex situations, make quick decisions under pressure, and develop effective solutions.</w:t>
      </w:r>
    </w:p>
    <w:p w14:paraId="04869D13"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lastRenderedPageBreak/>
        <w:t>Leadership Skills: Ability to lead and motivate a team during a stressful event.</w:t>
      </w:r>
    </w:p>
    <w:p w14:paraId="3B448F3C" w14:textId="287E01A8"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 xml:space="preserve">Legal and Regulatory Knowledge: Understanding of relevant laws and regulations </w:t>
      </w:r>
      <w:r w:rsidR="00132E67">
        <w:rPr>
          <w:rFonts w:ascii="Times New Roman" w:hAnsi="Times New Roman" w:cs="Times New Roman"/>
        </w:rPr>
        <w:t xml:space="preserve">such as </w:t>
      </w:r>
      <w:r w:rsidRPr="00821A1C">
        <w:rPr>
          <w:rFonts w:ascii="Times New Roman" w:hAnsi="Times New Roman" w:cs="Times New Roman"/>
        </w:rPr>
        <w:t>HIPAA</w:t>
      </w:r>
      <w:r w:rsidR="00132E67">
        <w:rPr>
          <w:rFonts w:ascii="Times New Roman" w:hAnsi="Times New Roman" w:cs="Times New Roman"/>
        </w:rPr>
        <w:t xml:space="preserve"> (HHS, 1996)</w:t>
      </w:r>
      <w:r w:rsidRPr="00821A1C">
        <w:rPr>
          <w:rFonts w:ascii="Times New Roman" w:hAnsi="Times New Roman" w:cs="Times New Roman"/>
        </w:rPr>
        <w:t>.</w:t>
      </w:r>
    </w:p>
    <w:p w14:paraId="0E48A628" w14:textId="77777777" w:rsidR="00821A1C" w:rsidRDefault="00821A1C" w:rsidP="00821A1C">
      <w:pPr>
        <w:spacing w:line="480" w:lineRule="auto"/>
        <w:jc w:val="center"/>
        <w:rPr>
          <w:rFonts w:ascii="Times New Roman" w:hAnsi="Times New Roman" w:cs="Times New Roman"/>
        </w:rPr>
      </w:pPr>
    </w:p>
    <w:p w14:paraId="5037C684" w14:textId="62C72E50"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Individual Responsibilities within the IRT</w:t>
      </w:r>
    </w:p>
    <w:p w14:paraId="06C78801"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Incident Commander: Oversees the entire response, making critical decisions, coordinating team efforts, and keeping stakeholders informed.</w:t>
      </w:r>
    </w:p>
    <w:p w14:paraId="2FB93DDF"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Technical Lead: Leads technical investigations, implements containment and eradication strategies, and restores affected systems.</w:t>
      </w:r>
    </w:p>
    <w:p w14:paraId="70874DA1"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Communications Lead: Manages all communications related to the incident, ensuring transparency and accuracy of information to internal and external stakeholders.</w:t>
      </w:r>
    </w:p>
    <w:p w14:paraId="11BA0D7B"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Legal Counsel: Advises on legal and regulatory aspects of the incident, ensuring compliance and minimizing legal risk.</w:t>
      </w:r>
    </w:p>
    <w:p w14:paraId="29A3E20E" w14:textId="6C5BCBB6"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Public Relations: Manages the hospital</w:t>
      </w:r>
      <w:r>
        <w:rPr>
          <w:rFonts w:ascii="Times New Roman" w:hAnsi="Times New Roman" w:cs="Times New Roman"/>
        </w:rPr>
        <w:t>’</w:t>
      </w:r>
      <w:r w:rsidRPr="00821A1C">
        <w:rPr>
          <w:rFonts w:ascii="Times New Roman" w:hAnsi="Times New Roman" w:cs="Times New Roman"/>
        </w:rPr>
        <w:t>s public image and communication with the media, mitigating reputational damage.</w:t>
      </w:r>
    </w:p>
    <w:p w14:paraId="6ADC1E65" w14:textId="77777777" w:rsidR="00821A1C" w:rsidRDefault="00821A1C" w:rsidP="00821A1C">
      <w:pPr>
        <w:spacing w:line="480" w:lineRule="auto"/>
        <w:jc w:val="center"/>
        <w:rPr>
          <w:rFonts w:ascii="Times New Roman" w:hAnsi="Times New Roman" w:cs="Times New Roman"/>
        </w:rPr>
      </w:pPr>
    </w:p>
    <w:p w14:paraId="0F23F9AC" w14:textId="141B0003"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Post-Incident Evaluation (Post-Mortem)</w:t>
      </w:r>
    </w:p>
    <w:p w14:paraId="722DF301" w14:textId="77777777" w:rsidR="00821A1C" w:rsidRPr="00821A1C" w:rsidRDefault="00821A1C" w:rsidP="00627B41">
      <w:pPr>
        <w:spacing w:line="480" w:lineRule="auto"/>
        <w:ind w:firstLine="720"/>
        <w:rPr>
          <w:rFonts w:ascii="Times New Roman" w:hAnsi="Times New Roman" w:cs="Times New Roman"/>
        </w:rPr>
      </w:pPr>
      <w:r w:rsidRPr="00821A1C">
        <w:rPr>
          <w:rFonts w:ascii="Times New Roman" w:hAnsi="Times New Roman" w:cs="Times New Roman"/>
        </w:rPr>
        <w:t>A thorough post-incident evaluation is crucial for learning from mistakes and improving future responses. This process should include:</w:t>
      </w:r>
    </w:p>
    <w:p w14:paraId="67D05E0E"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Timeline Reconstruction: Creating a detailed timeline of events, from initial detection to resolution.</w:t>
      </w:r>
    </w:p>
    <w:p w14:paraId="3FB5201E"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Root Cause Analysis: Identifying the underlying causes of the incident, addressing vulnerabilities in the system and processes.</w:t>
      </w:r>
    </w:p>
    <w:p w14:paraId="229E015B"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lastRenderedPageBreak/>
        <w:t>Impact Assessment: Determining the impact of the incident on systems, data, and operations.</w:t>
      </w:r>
    </w:p>
    <w:p w14:paraId="22A6CD76"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Effectiveness Evaluation: Assessing the effectiveness of the IRT's response, including communication, coordination, and technical actions.</w:t>
      </w:r>
    </w:p>
    <w:p w14:paraId="7424F3B1" w14:textId="77777777" w:rsidR="00821A1C" w:rsidRPr="00821A1C" w:rsidRDefault="00821A1C" w:rsidP="00821A1C">
      <w:pPr>
        <w:spacing w:line="480" w:lineRule="auto"/>
        <w:rPr>
          <w:rFonts w:ascii="Times New Roman" w:hAnsi="Times New Roman" w:cs="Times New Roman"/>
        </w:rPr>
      </w:pPr>
      <w:r w:rsidRPr="00821A1C">
        <w:rPr>
          <w:rFonts w:ascii="Times New Roman" w:hAnsi="Times New Roman" w:cs="Times New Roman"/>
        </w:rPr>
        <w:t>Recommendation Development: Developing recommendations for improvements to the security posture, incident response procedures, and training programs. These recommendations should be implemented promptly to enhance resilience and prevent future incidents.</w:t>
      </w:r>
    </w:p>
    <w:p w14:paraId="6FC07BD1" w14:textId="77777777" w:rsidR="00821A1C" w:rsidRDefault="00821A1C" w:rsidP="00821A1C">
      <w:pPr>
        <w:spacing w:line="480" w:lineRule="auto"/>
        <w:rPr>
          <w:rFonts w:ascii="Times New Roman" w:hAnsi="Times New Roman" w:cs="Times New Roman"/>
        </w:rPr>
      </w:pPr>
    </w:p>
    <w:p w14:paraId="2B726A4F" w14:textId="77777777" w:rsidR="00821A1C" w:rsidRDefault="00821A1C" w:rsidP="00821A1C">
      <w:pPr>
        <w:spacing w:line="480" w:lineRule="auto"/>
        <w:rPr>
          <w:rFonts w:ascii="Times New Roman" w:hAnsi="Times New Roman" w:cs="Times New Roman"/>
        </w:rPr>
      </w:pPr>
    </w:p>
    <w:p w14:paraId="48A5C69C" w14:textId="465AFB95" w:rsidR="00821A1C" w:rsidRPr="00821A1C" w:rsidRDefault="00821A1C" w:rsidP="00821A1C">
      <w:pPr>
        <w:spacing w:line="480" w:lineRule="auto"/>
        <w:jc w:val="center"/>
        <w:rPr>
          <w:rFonts w:ascii="Times New Roman" w:hAnsi="Times New Roman" w:cs="Times New Roman"/>
        </w:rPr>
      </w:pPr>
      <w:r w:rsidRPr="00821A1C">
        <w:rPr>
          <w:rFonts w:ascii="Times New Roman" w:hAnsi="Times New Roman" w:cs="Times New Roman"/>
        </w:rPr>
        <w:t>Conclusion</w:t>
      </w:r>
    </w:p>
    <w:p w14:paraId="79BEB7A5" w14:textId="249835AC" w:rsidR="00821A1C" w:rsidRDefault="00821A1C" w:rsidP="00821A1C">
      <w:pPr>
        <w:spacing w:line="480" w:lineRule="auto"/>
        <w:ind w:firstLine="720"/>
        <w:rPr>
          <w:rFonts w:ascii="Times New Roman" w:hAnsi="Times New Roman" w:cs="Times New Roman"/>
        </w:rPr>
      </w:pPr>
      <w:r w:rsidRPr="00821A1C">
        <w:rPr>
          <w:rFonts w:ascii="Times New Roman" w:hAnsi="Times New Roman" w:cs="Times New Roman"/>
        </w:rPr>
        <w:t xml:space="preserve">In conclusion, the implementation of a comprehensive security emergency plan is not just a reactive measure but a fundamental aspect of proactive risk management for hospitals. This plan, integrating risk assessment, a robust information security policy, and a structured incident response process, provides a strong foundation for mitigating the impact of cybersecurity incidents. The establishment of a skilled and well-trained Incident Response Team (IRT) is paramount; their ability to swiftly and effectively contain, eradicate, and recover from security breaches will directly influence the hospital's ability to maintain operational integrity and protect patient data. Regular training, continuous improvement of response protocols based on post-incident evaluations, and fostering a culture of security awareness across all levels of the hospital are vital for long-term success. By adhering to this plan, hospitals can significantly reduce their vulnerability to cyberattacks, safeguard sensitive patient information, protect their reputation, ensure business continuity, and, most importantly, maintain the highest standards of patient care in an increasingly complex digital landscape. The plan’s adaptability allows for modification based on emerging threats and technological advancements, ensuring its continued relevance and </w:t>
      </w:r>
      <w:r w:rsidRPr="00821A1C">
        <w:rPr>
          <w:rFonts w:ascii="Times New Roman" w:hAnsi="Times New Roman" w:cs="Times New Roman"/>
        </w:rPr>
        <w:lastRenderedPageBreak/>
        <w:t>effectiveness in mitigating future risks. Ultimately, this plan represents a commitment to proactive security, bolstering the hospital's ability to withstand and recover from cybersecurity challenges and maintain a secure environment for patients and staff alike.</w:t>
      </w:r>
    </w:p>
    <w:p w14:paraId="3FFED8BF" w14:textId="77777777" w:rsidR="00821A1C" w:rsidRDefault="00821A1C" w:rsidP="00821A1C">
      <w:pPr>
        <w:spacing w:line="480" w:lineRule="auto"/>
        <w:ind w:firstLine="720"/>
        <w:jc w:val="center"/>
        <w:rPr>
          <w:rFonts w:ascii="Times New Roman" w:hAnsi="Times New Roman" w:cs="Times New Roman"/>
        </w:rPr>
      </w:pPr>
    </w:p>
    <w:p w14:paraId="2EC8A2F1" w14:textId="77777777" w:rsidR="00821A1C" w:rsidRDefault="00821A1C" w:rsidP="00821A1C">
      <w:pPr>
        <w:spacing w:line="480" w:lineRule="auto"/>
        <w:ind w:firstLine="720"/>
        <w:jc w:val="center"/>
        <w:rPr>
          <w:rFonts w:ascii="Times New Roman" w:hAnsi="Times New Roman" w:cs="Times New Roman"/>
        </w:rPr>
      </w:pPr>
    </w:p>
    <w:p w14:paraId="75F945CE" w14:textId="77777777" w:rsidR="00821A1C" w:rsidRDefault="00821A1C" w:rsidP="00821A1C">
      <w:pPr>
        <w:spacing w:line="480" w:lineRule="auto"/>
        <w:ind w:firstLine="720"/>
        <w:jc w:val="center"/>
        <w:rPr>
          <w:rFonts w:ascii="Times New Roman" w:hAnsi="Times New Roman" w:cs="Times New Roman"/>
        </w:rPr>
      </w:pPr>
    </w:p>
    <w:p w14:paraId="1E22BF71" w14:textId="77777777" w:rsidR="00821A1C" w:rsidRDefault="00821A1C" w:rsidP="00821A1C">
      <w:pPr>
        <w:spacing w:line="480" w:lineRule="auto"/>
        <w:ind w:firstLine="720"/>
        <w:jc w:val="center"/>
        <w:rPr>
          <w:rFonts w:ascii="Times New Roman" w:hAnsi="Times New Roman" w:cs="Times New Roman"/>
        </w:rPr>
      </w:pPr>
    </w:p>
    <w:p w14:paraId="2C589C6C" w14:textId="77777777" w:rsidR="00821A1C" w:rsidRDefault="00821A1C" w:rsidP="00821A1C">
      <w:pPr>
        <w:spacing w:line="480" w:lineRule="auto"/>
        <w:ind w:firstLine="720"/>
        <w:jc w:val="center"/>
        <w:rPr>
          <w:rFonts w:ascii="Times New Roman" w:hAnsi="Times New Roman" w:cs="Times New Roman"/>
        </w:rPr>
      </w:pPr>
    </w:p>
    <w:p w14:paraId="6431F143" w14:textId="77777777" w:rsidR="00821A1C" w:rsidRDefault="00821A1C" w:rsidP="00821A1C">
      <w:pPr>
        <w:spacing w:line="480" w:lineRule="auto"/>
        <w:ind w:firstLine="720"/>
        <w:jc w:val="center"/>
        <w:rPr>
          <w:rFonts w:ascii="Times New Roman" w:hAnsi="Times New Roman" w:cs="Times New Roman"/>
        </w:rPr>
      </w:pPr>
    </w:p>
    <w:p w14:paraId="357BD40D" w14:textId="77777777" w:rsidR="00821A1C" w:rsidRDefault="00821A1C" w:rsidP="00821A1C">
      <w:pPr>
        <w:spacing w:line="480" w:lineRule="auto"/>
        <w:ind w:firstLine="720"/>
        <w:jc w:val="center"/>
        <w:rPr>
          <w:rFonts w:ascii="Times New Roman" w:hAnsi="Times New Roman" w:cs="Times New Roman"/>
        </w:rPr>
      </w:pPr>
    </w:p>
    <w:p w14:paraId="35A50BB6" w14:textId="77777777" w:rsidR="00821A1C" w:rsidRDefault="00821A1C" w:rsidP="00821A1C">
      <w:pPr>
        <w:spacing w:line="480" w:lineRule="auto"/>
        <w:ind w:firstLine="720"/>
        <w:jc w:val="center"/>
        <w:rPr>
          <w:rFonts w:ascii="Times New Roman" w:hAnsi="Times New Roman" w:cs="Times New Roman"/>
        </w:rPr>
      </w:pPr>
    </w:p>
    <w:p w14:paraId="1A472C5A" w14:textId="77777777" w:rsidR="00821A1C" w:rsidRDefault="00821A1C" w:rsidP="00821A1C">
      <w:pPr>
        <w:spacing w:line="480" w:lineRule="auto"/>
        <w:ind w:firstLine="720"/>
        <w:jc w:val="center"/>
        <w:rPr>
          <w:rFonts w:ascii="Times New Roman" w:hAnsi="Times New Roman" w:cs="Times New Roman"/>
        </w:rPr>
      </w:pPr>
    </w:p>
    <w:p w14:paraId="5864E209" w14:textId="77777777" w:rsidR="00821A1C" w:rsidRDefault="00821A1C" w:rsidP="00821A1C">
      <w:pPr>
        <w:spacing w:line="480" w:lineRule="auto"/>
        <w:ind w:firstLine="720"/>
        <w:jc w:val="center"/>
        <w:rPr>
          <w:rFonts w:ascii="Times New Roman" w:hAnsi="Times New Roman" w:cs="Times New Roman"/>
        </w:rPr>
      </w:pPr>
    </w:p>
    <w:p w14:paraId="0ABE3E24" w14:textId="77777777" w:rsidR="00821A1C" w:rsidRDefault="00821A1C" w:rsidP="00821A1C">
      <w:pPr>
        <w:spacing w:line="480" w:lineRule="auto"/>
        <w:ind w:firstLine="720"/>
        <w:jc w:val="center"/>
        <w:rPr>
          <w:rFonts w:ascii="Times New Roman" w:hAnsi="Times New Roman" w:cs="Times New Roman"/>
        </w:rPr>
      </w:pPr>
    </w:p>
    <w:p w14:paraId="45C57B1F" w14:textId="77777777" w:rsidR="00821A1C" w:rsidRDefault="00821A1C" w:rsidP="00821A1C">
      <w:pPr>
        <w:spacing w:line="480" w:lineRule="auto"/>
        <w:ind w:firstLine="720"/>
        <w:jc w:val="center"/>
        <w:rPr>
          <w:rFonts w:ascii="Times New Roman" w:hAnsi="Times New Roman" w:cs="Times New Roman"/>
        </w:rPr>
      </w:pPr>
    </w:p>
    <w:p w14:paraId="5F8D4ADC" w14:textId="77777777" w:rsidR="00821A1C" w:rsidRDefault="00821A1C" w:rsidP="00821A1C">
      <w:pPr>
        <w:spacing w:line="480" w:lineRule="auto"/>
        <w:ind w:firstLine="720"/>
        <w:jc w:val="center"/>
        <w:rPr>
          <w:rFonts w:ascii="Times New Roman" w:hAnsi="Times New Roman" w:cs="Times New Roman"/>
        </w:rPr>
      </w:pPr>
    </w:p>
    <w:p w14:paraId="57656378" w14:textId="77777777" w:rsidR="00821A1C" w:rsidRDefault="00821A1C" w:rsidP="00821A1C">
      <w:pPr>
        <w:spacing w:line="480" w:lineRule="auto"/>
        <w:ind w:firstLine="720"/>
        <w:jc w:val="center"/>
        <w:rPr>
          <w:rFonts w:ascii="Times New Roman" w:hAnsi="Times New Roman" w:cs="Times New Roman"/>
        </w:rPr>
      </w:pPr>
    </w:p>
    <w:p w14:paraId="62EA9E97" w14:textId="77777777" w:rsidR="00821A1C" w:rsidRDefault="00821A1C" w:rsidP="00821A1C">
      <w:pPr>
        <w:spacing w:line="480" w:lineRule="auto"/>
        <w:ind w:firstLine="720"/>
        <w:jc w:val="center"/>
        <w:rPr>
          <w:rFonts w:ascii="Times New Roman" w:hAnsi="Times New Roman" w:cs="Times New Roman"/>
        </w:rPr>
      </w:pPr>
    </w:p>
    <w:p w14:paraId="037D9F3B" w14:textId="77777777" w:rsidR="00821A1C" w:rsidRDefault="00821A1C" w:rsidP="00821A1C">
      <w:pPr>
        <w:spacing w:line="480" w:lineRule="auto"/>
        <w:ind w:firstLine="720"/>
        <w:jc w:val="center"/>
        <w:rPr>
          <w:rFonts w:ascii="Times New Roman" w:hAnsi="Times New Roman" w:cs="Times New Roman"/>
        </w:rPr>
      </w:pPr>
    </w:p>
    <w:p w14:paraId="3F059207" w14:textId="77777777" w:rsidR="00821A1C" w:rsidRDefault="00821A1C" w:rsidP="00821A1C">
      <w:pPr>
        <w:spacing w:line="480" w:lineRule="auto"/>
        <w:ind w:firstLine="720"/>
        <w:jc w:val="center"/>
        <w:rPr>
          <w:rFonts w:ascii="Times New Roman" w:hAnsi="Times New Roman" w:cs="Times New Roman"/>
        </w:rPr>
      </w:pPr>
    </w:p>
    <w:p w14:paraId="04843C24" w14:textId="77777777" w:rsidR="00821A1C" w:rsidRDefault="00821A1C" w:rsidP="00821A1C">
      <w:pPr>
        <w:spacing w:line="480" w:lineRule="auto"/>
        <w:ind w:firstLine="720"/>
        <w:jc w:val="center"/>
        <w:rPr>
          <w:rFonts w:ascii="Times New Roman" w:hAnsi="Times New Roman" w:cs="Times New Roman"/>
        </w:rPr>
      </w:pPr>
    </w:p>
    <w:p w14:paraId="10752C7C" w14:textId="77777777" w:rsidR="00821A1C" w:rsidRDefault="00821A1C" w:rsidP="00821A1C">
      <w:pPr>
        <w:spacing w:line="480" w:lineRule="auto"/>
        <w:ind w:firstLine="720"/>
        <w:jc w:val="center"/>
        <w:rPr>
          <w:rFonts w:ascii="Times New Roman" w:hAnsi="Times New Roman" w:cs="Times New Roman"/>
        </w:rPr>
      </w:pPr>
    </w:p>
    <w:p w14:paraId="5DA38397" w14:textId="77777777" w:rsidR="00821A1C" w:rsidRDefault="00821A1C" w:rsidP="00821A1C">
      <w:pPr>
        <w:spacing w:line="480" w:lineRule="auto"/>
        <w:ind w:firstLine="720"/>
        <w:jc w:val="center"/>
        <w:rPr>
          <w:rFonts w:ascii="Times New Roman" w:hAnsi="Times New Roman" w:cs="Times New Roman"/>
        </w:rPr>
      </w:pPr>
    </w:p>
    <w:p w14:paraId="35B865E8" w14:textId="77777777" w:rsidR="00821A1C" w:rsidRDefault="00821A1C" w:rsidP="00821A1C">
      <w:pPr>
        <w:spacing w:line="480" w:lineRule="auto"/>
        <w:ind w:firstLine="720"/>
        <w:jc w:val="center"/>
        <w:rPr>
          <w:rFonts w:ascii="Times New Roman" w:hAnsi="Times New Roman" w:cs="Times New Roman"/>
        </w:rPr>
      </w:pPr>
    </w:p>
    <w:p w14:paraId="541A7D29" w14:textId="64FC14D7" w:rsidR="00821A1C" w:rsidRDefault="00821A1C" w:rsidP="00821A1C">
      <w:pPr>
        <w:spacing w:line="480" w:lineRule="auto"/>
        <w:ind w:firstLine="720"/>
        <w:jc w:val="center"/>
        <w:rPr>
          <w:rFonts w:ascii="Times New Roman" w:hAnsi="Times New Roman" w:cs="Times New Roman"/>
        </w:rPr>
      </w:pPr>
      <w:r>
        <w:rPr>
          <w:rFonts w:ascii="Times New Roman" w:hAnsi="Times New Roman" w:cs="Times New Roman"/>
        </w:rPr>
        <w:t>References</w:t>
      </w:r>
    </w:p>
    <w:p w14:paraId="46641472" w14:textId="4603BC87" w:rsidR="00627B41" w:rsidRDefault="00627B41" w:rsidP="00821A1C">
      <w:pPr>
        <w:spacing w:line="480" w:lineRule="auto"/>
        <w:ind w:firstLine="720"/>
        <w:jc w:val="center"/>
        <w:rPr>
          <w:rFonts w:ascii="Times New Roman" w:hAnsi="Times New Roman" w:cs="Times New Roman"/>
        </w:rPr>
      </w:pPr>
      <w:r w:rsidRPr="00627B41">
        <w:rPr>
          <w:rFonts w:ascii="Times New Roman" w:hAnsi="Times New Roman" w:cs="Times New Roman"/>
        </w:rPr>
        <w:t>NIST. (2018). </w:t>
      </w:r>
      <w:r w:rsidRPr="00627B41">
        <w:rPr>
          <w:rFonts w:ascii="Times New Roman" w:hAnsi="Times New Roman" w:cs="Times New Roman"/>
          <w:i/>
          <w:iCs/>
        </w:rPr>
        <w:t>Framework for improving critical infrastructure cybersecurity</w:t>
      </w:r>
      <w:r w:rsidRPr="00627B41">
        <w:rPr>
          <w:rFonts w:ascii="Times New Roman" w:hAnsi="Times New Roman" w:cs="Times New Roman"/>
        </w:rPr>
        <w:t>. National Institute of Standards and Technology.</w:t>
      </w:r>
      <w:r>
        <w:rPr>
          <w:rFonts w:ascii="Times New Roman" w:hAnsi="Times New Roman" w:cs="Times New Roman"/>
        </w:rPr>
        <w:t xml:space="preserve"> </w:t>
      </w:r>
      <w:hyperlink r:id="rId5" w:history="1">
        <w:r w:rsidRPr="00273C4B">
          <w:rPr>
            <w:rStyle w:val="Hyperlink"/>
            <w:rFonts w:ascii="Times New Roman" w:hAnsi="Times New Roman" w:cs="Times New Roman"/>
          </w:rPr>
          <w:t>https://doi.org/10.6028/NIST.CSWP.04162018</w:t>
        </w:r>
      </w:hyperlink>
      <w:r>
        <w:rPr>
          <w:rFonts w:ascii="Times New Roman" w:hAnsi="Times New Roman" w:cs="Times New Roman"/>
        </w:rPr>
        <w:t xml:space="preserve">. </w:t>
      </w:r>
    </w:p>
    <w:p w14:paraId="05088721" w14:textId="0529F30D" w:rsidR="00627B41" w:rsidRDefault="00627B41" w:rsidP="00821A1C">
      <w:pPr>
        <w:spacing w:line="480" w:lineRule="auto"/>
        <w:ind w:firstLine="720"/>
        <w:jc w:val="center"/>
        <w:rPr>
          <w:rFonts w:ascii="Times New Roman" w:hAnsi="Times New Roman" w:cs="Times New Roman"/>
        </w:rPr>
      </w:pPr>
      <w:r w:rsidRPr="00627B41">
        <w:rPr>
          <w:rFonts w:ascii="Times New Roman" w:hAnsi="Times New Roman" w:cs="Times New Roman"/>
        </w:rPr>
        <w:t>Borrelli, M. (Ed.). (2012). </w:t>
      </w:r>
      <w:r w:rsidRPr="00627B41">
        <w:rPr>
          <w:rFonts w:ascii="Times New Roman" w:hAnsi="Times New Roman" w:cs="Times New Roman"/>
          <w:i/>
          <w:iCs/>
        </w:rPr>
        <w:t xml:space="preserve">Malware and computer security </w:t>
      </w:r>
      <w:r w:rsidRPr="00627B41">
        <w:rPr>
          <w:rFonts w:ascii="Times New Roman" w:hAnsi="Times New Roman" w:cs="Times New Roman"/>
          <w:i/>
          <w:iCs/>
        </w:rPr>
        <w:t>incidents:</w:t>
      </w:r>
      <w:r w:rsidRPr="00627B41">
        <w:rPr>
          <w:rFonts w:ascii="Times New Roman" w:hAnsi="Times New Roman" w:cs="Times New Roman"/>
          <w:i/>
          <w:iCs/>
        </w:rPr>
        <w:t xml:space="preserve"> Handling </w:t>
      </w:r>
      <w:proofErr w:type="gramStart"/>
      <w:r w:rsidRPr="00627B41">
        <w:rPr>
          <w:rFonts w:ascii="Times New Roman" w:hAnsi="Times New Roman" w:cs="Times New Roman"/>
          <w:i/>
          <w:iCs/>
        </w:rPr>
        <w:t>guides :</w:t>
      </w:r>
      <w:proofErr w:type="gramEnd"/>
      <w:r w:rsidRPr="00627B41">
        <w:rPr>
          <w:rFonts w:ascii="Times New Roman" w:hAnsi="Times New Roman" w:cs="Times New Roman"/>
          <w:i/>
          <w:iCs/>
        </w:rPr>
        <w:t xml:space="preserve"> handling guides</w:t>
      </w:r>
      <w:r w:rsidRPr="00627B41">
        <w:rPr>
          <w:rFonts w:ascii="Times New Roman" w:hAnsi="Times New Roman" w:cs="Times New Roman"/>
        </w:rPr>
        <w:t>. Nova Science Publishers, Incorporated.</w:t>
      </w:r>
    </w:p>
    <w:p w14:paraId="5F78C1F8" w14:textId="1C82FE76" w:rsidR="00132E67" w:rsidRPr="00132E67" w:rsidRDefault="00132E67" w:rsidP="00132E67">
      <w:pPr>
        <w:spacing w:line="480" w:lineRule="auto"/>
        <w:jc w:val="center"/>
        <w:rPr>
          <w:rFonts w:ascii="Times New Roman" w:hAnsi="Times New Roman" w:cs="Times New Roman"/>
        </w:rPr>
      </w:pPr>
      <w:r w:rsidRPr="00132E67">
        <w:rPr>
          <w:rFonts w:ascii="Times New Roman" w:hAnsi="Times New Roman" w:cs="Times New Roman"/>
        </w:rPr>
        <w:t xml:space="preserve">HHS. (1996). </w:t>
      </w:r>
      <w:r w:rsidRPr="00132E67">
        <w:rPr>
          <w:rFonts w:ascii="Times New Roman" w:hAnsi="Times New Roman" w:cs="Times New Roman"/>
        </w:rPr>
        <w:t>Summary of the HIPAA Privacy Rule</w:t>
      </w:r>
      <w:r w:rsidRPr="00132E67">
        <w:rPr>
          <w:rFonts w:ascii="Times New Roman" w:hAnsi="Times New Roman" w:cs="Times New Roman"/>
        </w:rPr>
        <w:t>.</w:t>
      </w:r>
      <w:r>
        <w:rPr>
          <w:rFonts w:ascii="Times New Roman" w:hAnsi="Times New Roman" w:cs="Times New Roman"/>
        </w:rPr>
        <w:t xml:space="preserve"> </w:t>
      </w:r>
      <w:hyperlink r:id="rId6" w:history="1">
        <w:r w:rsidRPr="00273C4B">
          <w:rPr>
            <w:rStyle w:val="Hyperlink"/>
            <w:rFonts w:ascii="Times New Roman" w:hAnsi="Times New Roman" w:cs="Times New Roman"/>
          </w:rPr>
          <w:t>https://www.hhs.gov/hipaa/for-professionals/privacy/laws-regulations/index.html</w:t>
        </w:r>
      </w:hyperlink>
      <w:r>
        <w:rPr>
          <w:rFonts w:ascii="Times New Roman" w:hAnsi="Times New Roman" w:cs="Times New Roman"/>
        </w:rPr>
        <w:t xml:space="preserve">. </w:t>
      </w:r>
    </w:p>
    <w:p w14:paraId="166068AC" w14:textId="77777777" w:rsidR="00627B41" w:rsidRPr="00821A1C" w:rsidRDefault="00627B41" w:rsidP="00821A1C">
      <w:pPr>
        <w:spacing w:line="480" w:lineRule="auto"/>
        <w:ind w:firstLine="720"/>
        <w:jc w:val="center"/>
        <w:rPr>
          <w:rFonts w:ascii="Times New Roman" w:hAnsi="Times New Roman" w:cs="Times New Roman"/>
        </w:rPr>
      </w:pPr>
    </w:p>
    <w:sectPr w:rsidR="00627B41" w:rsidRPr="0082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95E4D"/>
    <w:multiLevelType w:val="multilevel"/>
    <w:tmpl w:val="E58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214F5"/>
    <w:multiLevelType w:val="multilevel"/>
    <w:tmpl w:val="6E5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42BF"/>
    <w:multiLevelType w:val="multilevel"/>
    <w:tmpl w:val="B01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F0A4A"/>
    <w:multiLevelType w:val="multilevel"/>
    <w:tmpl w:val="E85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B6EAC"/>
    <w:multiLevelType w:val="multilevel"/>
    <w:tmpl w:val="FFA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920181">
    <w:abstractNumId w:val="2"/>
  </w:num>
  <w:num w:numId="2" w16cid:durableId="2141917073">
    <w:abstractNumId w:val="0"/>
  </w:num>
  <w:num w:numId="3" w16cid:durableId="2009559236">
    <w:abstractNumId w:val="4"/>
  </w:num>
  <w:num w:numId="4" w16cid:durableId="1466966794">
    <w:abstractNumId w:val="1"/>
  </w:num>
  <w:num w:numId="5" w16cid:durableId="1553926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1C"/>
    <w:rsid w:val="00002FB9"/>
    <w:rsid w:val="00132E67"/>
    <w:rsid w:val="002312D6"/>
    <w:rsid w:val="004229CB"/>
    <w:rsid w:val="00627B41"/>
    <w:rsid w:val="00717CBC"/>
    <w:rsid w:val="00821A1C"/>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D9A6D"/>
  <w15:chartTrackingRefBased/>
  <w15:docId w15:val="{0F9E178D-A0F5-B945-A739-963B025A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A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A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A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A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A1C"/>
    <w:rPr>
      <w:rFonts w:eastAsiaTheme="majorEastAsia" w:cstheme="majorBidi"/>
      <w:color w:val="272727" w:themeColor="text1" w:themeTint="D8"/>
    </w:rPr>
  </w:style>
  <w:style w:type="paragraph" w:styleId="Title">
    <w:name w:val="Title"/>
    <w:basedOn w:val="Normal"/>
    <w:next w:val="Normal"/>
    <w:link w:val="TitleChar"/>
    <w:uiPriority w:val="10"/>
    <w:qFormat/>
    <w:rsid w:val="00821A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A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A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1A1C"/>
    <w:rPr>
      <w:i/>
      <w:iCs/>
      <w:color w:val="404040" w:themeColor="text1" w:themeTint="BF"/>
    </w:rPr>
  </w:style>
  <w:style w:type="paragraph" w:styleId="ListParagraph">
    <w:name w:val="List Paragraph"/>
    <w:basedOn w:val="Normal"/>
    <w:uiPriority w:val="34"/>
    <w:qFormat/>
    <w:rsid w:val="00821A1C"/>
    <w:pPr>
      <w:ind w:left="720"/>
      <w:contextualSpacing/>
    </w:pPr>
  </w:style>
  <w:style w:type="character" w:styleId="IntenseEmphasis">
    <w:name w:val="Intense Emphasis"/>
    <w:basedOn w:val="DefaultParagraphFont"/>
    <w:uiPriority w:val="21"/>
    <w:qFormat/>
    <w:rsid w:val="00821A1C"/>
    <w:rPr>
      <w:i/>
      <w:iCs/>
      <w:color w:val="0F4761" w:themeColor="accent1" w:themeShade="BF"/>
    </w:rPr>
  </w:style>
  <w:style w:type="paragraph" w:styleId="IntenseQuote">
    <w:name w:val="Intense Quote"/>
    <w:basedOn w:val="Normal"/>
    <w:next w:val="Normal"/>
    <w:link w:val="IntenseQuoteChar"/>
    <w:uiPriority w:val="30"/>
    <w:qFormat/>
    <w:rsid w:val="00821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A1C"/>
    <w:rPr>
      <w:i/>
      <w:iCs/>
      <w:color w:val="0F4761" w:themeColor="accent1" w:themeShade="BF"/>
    </w:rPr>
  </w:style>
  <w:style w:type="character" w:styleId="IntenseReference">
    <w:name w:val="Intense Reference"/>
    <w:basedOn w:val="DefaultParagraphFont"/>
    <w:uiPriority w:val="32"/>
    <w:qFormat/>
    <w:rsid w:val="00821A1C"/>
    <w:rPr>
      <w:b/>
      <w:bCs/>
      <w:smallCaps/>
      <w:color w:val="0F4761" w:themeColor="accent1" w:themeShade="BF"/>
      <w:spacing w:val="5"/>
    </w:rPr>
  </w:style>
  <w:style w:type="character" w:styleId="Hyperlink">
    <w:name w:val="Hyperlink"/>
    <w:basedOn w:val="DefaultParagraphFont"/>
    <w:uiPriority w:val="99"/>
    <w:unhideWhenUsed/>
    <w:rsid w:val="00627B41"/>
    <w:rPr>
      <w:color w:val="467886" w:themeColor="hyperlink"/>
      <w:u w:val="single"/>
    </w:rPr>
  </w:style>
  <w:style w:type="character" w:styleId="UnresolvedMention">
    <w:name w:val="Unresolved Mention"/>
    <w:basedOn w:val="DefaultParagraphFont"/>
    <w:uiPriority w:val="99"/>
    <w:semiHidden/>
    <w:unhideWhenUsed/>
    <w:rsid w:val="00627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708358">
      <w:bodyDiv w:val="1"/>
      <w:marLeft w:val="0"/>
      <w:marRight w:val="0"/>
      <w:marTop w:val="0"/>
      <w:marBottom w:val="0"/>
      <w:divBdr>
        <w:top w:val="none" w:sz="0" w:space="0" w:color="auto"/>
        <w:left w:val="none" w:sz="0" w:space="0" w:color="auto"/>
        <w:bottom w:val="none" w:sz="0" w:space="0" w:color="auto"/>
        <w:right w:val="none" w:sz="0" w:space="0" w:color="auto"/>
      </w:divBdr>
    </w:div>
    <w:div w:id="1354065124">
      <w:bodyDiv w:val="1"/>
      <w:marLeft w:val="0"/>
      <w:marRight w:val="0"/>
      <w:marTop w:val="0"/>
      <w:marBottom w:val="0"/>
      <w:divBdr>
        <w:top w:val="none" w:sz="0" w:space="0" w:color="auto"/>
        <w:left w:val="none" w:sz="0" w:space="0" w:color="auto"/>
        <w:bottom w:val="none" w:sz="0" w:space="0" w:color="auto"/>
        <w:right w:val="none" w:sz="0" w:space="0" w:color="auto"/>
      </w:divBdr>
    </w:div>
    <w:div w:id="1857042317">
      <w:bodyDiv w:val="1"/>
      <w:marLeft w:val="0"/>
      <w:marRight w:val="0"/>
      <w:marTop w:val="0"/>
      <w:marBottom w:val="0"/>
      <w:divBdr>
        <w:top w:val="none" w:sz="0" w:space="0" w:color="auto"/>
        <w:left w:val="none" w:sz="0" w:space="0" w:color="auto"/>
        <w:bottom w:val="none" w:sz="0" w:space="0" w:color="auto"/>
        <w:right w:val="none" w:sz="0" w:space="0" w:color="auto"/>
      </w:divBdr>
    </w:div>
    <w:div w:id="20807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for-professionals/privacy/laws-regulations/index.html" TargetMode="External"/><Relationship Id="rId5" Type="http://schemas.openxmlformats.org/officeDocument/2006/relationships/hyperlink" Target="https://doi.org/10.6028/NIST.CSWP.0416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2024-11-25T11:12:00Z</dcterms:created>
  <dcterms:modified xsi:type="dcterms:W3CDTF">2024-11-25T12:00:00Z</dcterms:modified>
</cp:coreProperties>
</file>