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CF61A" w14:textId="77777777" w:rsidR="00370C79" w:rsidRDefault="00370C79" w:rsidP="005B7A8B">
      <w:pPr>
        <w:spacing w:line="480" w:lineRule="auto"/>
        <w:rPr>
          <w:rFonts w:eastAsiaTheme="majorEastAsia"/>
          <w:b/>
          <w:bCs/>
        </w:rPr>
      </w:pPr>
    </w:p>
    <w:p w14:paraId="14E69C40" w14:textId="77777777" w:rsidR="00370C79" w:rsidRDefault="00370C79" w:rsidP="005B7A8B">
      <w:pPr>
        <w:spacing w:line="480" w:lineRule="auto"/>
        <w:rPr>
          <w:rFonts w:eastAsiaTheme="majorEastAsia"/>
          <w:b/>
          <w:bCs/>
        </w:rPr>
      </w:pPr>
    </w:p>
    <w:p w14:paraId="4E633BC9" w14:textId="77777777" w:rsidR="00370C79" w:rsidRDefault="00370C79" w:rsidP="005B7A8B">
      <w:pPr>
        <w:spacing w:line="480" w:lineRule="auto"/>
        <w:rPr>
          <w:rFonts w:eastAsiaTheme="majorEastAsia"/>
          <w:b/>
          <w:bCs/>
        </w:rPr>
      </w:pPr>
    </w:p>
    <w:p w14:paraId="306DD970" w14:textId="77777777" w:rsidR="00370C79" w:rsidRDefault="00370C79" w:rsidP="005B7A8B">
      <w:pPr>
        <w:spacing w:line="480" w:lineRule="auto"/>
        <w:rPr>
          <w:rFonts w:eastAsiaTheme="majorEastAsia"/>
          <w:b/>
          <w:bCs/>
        </w:rPr>
      </w:pPr>
    </w:p>
    <w:p w14:paraId="5E1DED7A" w14:textId="77777777" w:rsidR="00370C79" w:rsidRDefault="00370C79" w:rsidP="005B7A8B">
      <w:pPr>
        <w:spacing w:line="480" w:lineRule="auto"/>
        <w:rPr>
          <w:rFonts w:eastAsiaTheme="majorEastAsia"/>
          <w:b/>
          <w:bCs/>
        </w:rPr>
      </w:pPr>
    </w:p>
    <w:p w14:paraId="66F1997E" w14:textId="77777777" w:rsidR="00370C79" w:rsidRDefault="00370C79" w:rsidP="005B7A8B">
      <w:pPr>
        <w:spacing w:line="480" w:lineRule="auto"/>
        <w:rPr>
          <w:rFonts w:eastAsiaTheme="majorEastAsia"/>
          <w:b/>
          <w:bCs/>
        </w:rPr>
      </w:pPr>
    </w:p>
    <w:p w14:paraId="0563B994" w14:textId="77777777" w:rsidR="00370C79" w:rsidRDefault="00370C79" w:rsidP="005B7A8B">
      <w:pPr>
        <w:spacing w:line="480" w:lineRule="auto"/>
        <w:rPr>
          <w:rFonts w:eastAsiaTheme="majorEastAsia"/>
          <w:b/>
          <w:bCs/>
        </w:rPr>
      </w:pPr>
    </w:p>
    <w:p w14:paraId="1FDD1F78" w14:textId="5D9A5961" w:rsidR="005B7A8B" w:rsidRDefault="005B7A8B" w:rsidP="00370C79">
      <w:pPr>
        <w:spacing w:line="480" w:lineRule="auto"/>
        <w:jc w:val="center"/>
        <w:rPr>
          <w:rFonts w:eastAsiaTheme="majorEastAsia"/>
        </w:rPr>
      </w:pPr>
      <w:r w:rsidRPr="005B7A8B">
        <w:rPr>
          <w:rFonts w:eastAsiaTheme="majorEastAsia"/>
        </w:rPr>
        <w:t>Cybersecurity Policy Analysis and Development for "Acme Corporation"</w:t>
      </w:r>
    </w:p>
    <w:p w14:paraId="08731E65" w14:textId="79D7126D" w:rsidR="00370C79" w:rsidRDefault="00370C79" w:rsidP="00370C79">
      <w:pPr>
        <w:spacing w:line="480" w:lineRule="auto"/>
        <w:jc w:val="center"/>
        <w:rPr>
          <w:rFonts w:eastAsiaTheme="majorEastAsia"/>
        </w:rPr>
      </w:pPr>
      <w:r>
        <w:rPr>
          <w:rFonts w:eastAsiaTheme="majorEastAsia"/>
        </w:rPr>
        <w:t>Leo Newton</w:t>
      </w:r>
    </w:p>
    <w:p w14:paraId="312AFB1D" w14:textId="08CF0C22" w:rsidR="00370C79" w:rsidRPr="005B7A8B" w:rsidRDefault="00370C79" w:rsidP="00370C79">
      <w:pPr>
        <w:spacing w:line="480" w:lineRule="auto"/>
        <w:jc w:val="center"/>
      </w:pPr>
      <w:r>
        <w:rPr>
          <w:rFonts w:eastAsiaTheme="majorEastAsia"/>
        </w:rPr>
        <w:t>11/11/24</w:t>
      </w:r>
    </w:p>
    <w:p w14:paraId="46A822BD" w14:textId="77777777" w:rsidR="005B7A8B" w:rsidRDefault="005B7A8B" w:rsidP="005B7A8B">
      <w:pPr>
        <w:spacing w:line="480" w:lineRule="auto"/>
        <w:rPr>
          <w:b/>
          <w:bCs/>
        </w:rPr>
      </w:pPr>
    </w:p>
    <w:p w14:paraId="0F40C819" w14:textId="77777777" w:rsidR="005B7A8B" w:rsidRDefault="005B7A8B" w:rsidP="005B7A8B">
      <w:pPr>
        <w:spacing w:line="480" w:lineRule="auto"/>
        <w:rPr>
          <w:b/>
          <w:bCs/>
        </w:rPr>
      </w:pPr>
    </w:p>
    <w:p w14:paraId="663395A1" w14:textId="77777777" w:rsidR="005B7A8B" w:rsidRDefault="005B7A8B" w:rsidP="005B7A8B">
      <w:pPr>
        <w:spacing w:line="480" w:lineRule="auto"/>
        <w:rPr>
          <w:b/>
          <w:bCs/>
        </w:rPr>
      </w:pPr>
    </w:p>
    <w:p w14:paraId="74F9C21B" w14:textId="77777777" w:rsidR="005B7A8B" w:rsidRDefault="005B7A8B" w:rsidP="005B7A8B">
      <w:pPr>
        <w:spacing w:line="480" w:lineRule="auto"/>
        <w:rPr>
          <w:b/>
          <w:bCs/>
        </w:rPr>
      </w:pPr>
    </w:p>
    <w:p w14:paraId="6F5A754A" w14:textId="77777777" w:rsidR="005B7A8B" w:rsidRDefault="005B7A8B" w:rsidP="005B7A8B">
      <w:pPr>
        <w:spacing w:line="480" w:lineRule="auto"/>
        <w:rPr>
          <w:b/>
          <w:bCs/>
        </w:rPr>
      </w:pPr>
    </w:p>
    <w:p w14:paraId="05BB8B86" w14:textId="77777777" w:rsidR="005B7A8B" w:rsidRDefault="005B7A8B" w:rsidP="005B7A8B">
      <w:pPr>
        <w:spacing w:line="480" w:lineRule="auto"/>
        <w:rPr>
          <w:b/>
          <w:bCs/>
        </w:rPr>
      </w:pPr>
    </w:p>
    <w:p w14:paraId="7F5F51A1" w14:textId="77777777" w:rsidR="005B7A8B" w:rsidRDefault="005B7A8B" w:rsidP="005B7A8B">
      <w:pPr>
        <w:spacing w:line="480" w:lineRule="auto"/>
        <w:rPr>
          <w:b/>
          <w:bCs/>
        </w:rPr>
      </w:pPr>
    </w:p>
    <w:p w14:paraId="4A410E76" w14:textId="77777777" w:rsidR="005B7A8B" w:rsidRDefault="005B7A8B" w:rsidP="005B7A8B">
      <w:pPr>
        <w:spacing w:line="480" w:lineRule="auto"/>
        <w:rPr>
          <w:b/>
          <w:bCs/>
        </w:rPr>
      </w:pPr>
    </w:p>
    <w:p w14:paraId="43F8F601" w14:textId="77777777" w:rsidR="005B7A8B" w:rsidRDefault="005B7A8B" w:rsidP="005B7A8B">
      <w:pPr>
        <w:spacing w:line="480" w:lineRule="auto"/>
        <w:rPr>
          <w:b/>
          <w:bCs/>
        </w:rPr>
      </w:pPr>
    </w:p>
    <w:p w14:paraId="11C82F5E" w14:textId="77777777" w:rsidR="005B7A8B" w:rsidRDefault="005B7A8B" w:rsidP="005B7A8B">
      <w:pPr>
        <w:spacing w:line="480" w:lineRule="auto"/>
        <w:rPr>
          <w:b/>
          <w:bCs/>
        </w:rPr>
      </w:pPr>
    </w:p>
    <w:p w14:paraId="432AAE8B" w14:textId="77777777" w:rsidR="005B7A8B" w:rsidRDefault="005B7A8B" w:rsidP="005B7A8B">
      <w:pPr>
        <w:spacing w:line="480" w:lineRule="auto"/>
        <w:rPr>
          <w:b/>
          <w:bCs/>
        </w:rPr>
      </w:pPr>
    </w:p>
    <w:p w14:paraId="2AD11862" w14:textId="77777777" w:rsidR="005B7A8B" w:rsidRDefault="005B7A8B" w:rsidP="005B7A8B">
      <w:pPr>
        <w:spacing w:line="480" w:lineRule="auto"/>
        <w:rPr>
          <w:b/>
          <w:bCs/>
        </w:rPr>
      </w:pPr>
    </w:p>
    <w:p w14:paraId="4EF84446" w14:textId="77777777" w:rsidR="00370C79" w:rsidRDefault="00370C79" w:rsidP="005B7A8B">
      <w:pPr>
        <w:spacing w:line="480" w:lineRule="auto"/>
        <w:rPr>
          <w:b/>
          <w:bCs/>
        </w:rPr>
      </w:pPr>
    </w:p>
    <w:p w14:paraId="010CFCF0" w14:textId="7D5F1742" w:rsidR="005B7A8B" w:rsidRPr="005B7A8B" w:rsidRDefault="005B7A8B" w:rsidP="005B7A8B">
      <w:pPr>
        <w:spacing w:line="480" w:lineRule="auto"/>
        <w:jc w:val="center"/>
      </w:pPr>
      <w:r w:rsidRPr="005B7A8B">
        <w:rPr>
          <w:rFonts w:eastAsiaTheme="majorEastAsia"/>
          <w:b/>
          <w:bCs/>
        </w:rPr>
        <w:lastRenderedPageBreak/>
        <w:t>Introduction</w:t>
      </w:r>
    </w:p>
    <w:p w14:paraId="6A503B75" w14:textId="77777777" w:rsidR="005B7A8B" w:rsidRDefault="005B7A8B" w:rsidP="00253A4E">
      <w:pPr>
        <w:spacing w:line="480" w:lineRule="auto"/>
        <w:ind w:firstLine="720"/>
      </w:pPr>
      <w:r w:rsidRPr="005B7A8B">
        <w:rPr>
          <w:rFonts w:eastAsiaTheme="majorEastAsia"/>
        </w:rPr>
        <w:t>This paper analyzes and critiques the cybersecurity posture of a hypothetical organization, "Acme Corporation," operating within the United States. Acme Corporation is a medium-sized technology company specializing in cloud-based software solutions, handling sensitive customer data. This analysis will develop comprehensive cybersecurity policies, aligning them with relevant legal and regulatory frameworks, incorporating ethical principles, and proposing enhancements to address emerging threats. The goal is to establish a robust cybersecurity framework that protects Acme Corporation's assets, reputation, and customer trust.</w:t>
      </w:r>
    </w:p>
    <w:p w14:paraId="437348CA" w14:textId="77777777" w:rsidR="00253A4E" w:rsidRPr="005B7A8B" w:rsidRDefault="00253A4E" w:rsidP="00253A4E">
      <w:pPr>
        <w:spacing w:line="480" w:lineRule="auto"/>
        <w:ind w:firstLine="720"/>
      </w:pPr>
    </w:p>
    <w:p w14:paraId="2305E128" w14:textId="38BC3EC1" w:rsidR="005B7A8B" w:rsidRPr="005B7A8B" w:rsidRDefault="005B7A8B" w:rsidP="00253A4E">
      <w:pPr>
        <w:spacing w:line="480" w:lineRule="auto"/>
        <w:jc w:val="center"/>
      </w:pPr>
      <w:r w:rsidRPr="005B7A8B">
        <w:rPr>
          <w:rFonts w:eastAsiaTheme="majorEastAsia"/>
          <w:b/>
          <w:bCs/>
        </w:rPr>
        <w:t>Cybersecurity Policies</w:t>
      </w:r>
    </w:p>
    <w:p w14:paraId="339B7ED1" w14:textId="53F05849" w:rsidR="005B7A8B" w:rsidRPr="005B7A8B" w:rsidRDefault="005B7A8B" w:rsidP="005B7A8B">
      <w:pPr>
        <w:numPr>
          <w:ilvl w:val="0"/>
          <w:numId w:val="1"/>
        </w:numPr>
        <w:spacing w:line="480" w:lineRule="auto"/>
      </w:pPr>
      <w:r w:rsidRPr="005B7A8B">
        <w:rPr>
          <w:rFonts w:eastAsiaTheme="majorEastAsia"/>
          <w:b/>
          <w:bCs/>
        </w:rPr>
        <w:t>Access Control Policy:</w:t>
      </w:r>
      <w:r w:rsidRPr="005B7A8B">
        <w:rPr>
          <w:rFonts w:eastAsiaTheme="majorEastAsia"/>
        </w:rPr>
        <w:t> This policy governs access to Acme Corporation's systems and data. It mandates strong passwords, multi-factor authentication (MFA) for all employees and contractors, least privilege access principles, and regular access reviews. Access will be provisioned based on roles and responsibilities, with immediate revocation upon termination or change of role. This policy aligns with NIST’s access control guidelines (NIST</w:t>
      </w:r>
      <w:r w:rsidR="00253A4E">
        <w:t>, 2020</w:t>
      </w:r>
      <w:r w:rsidRPr="005B7A8B">
        <w:rPr>
          <w:rFonts w:eastAsiaTheme="majorEastAsia"/>
        </w:rPr>
        <w:t>).</w:t>
      </w:r>
    </w:p>
    <w:p w14:paraId="6F5CF61C" w14:textId="77777777" w:rsidR="005B7A8B" w:rsidRPr="005B7A8B" w:rsidRDefault="005B7A8B" w:rsidP="005B7A8B">
      <w:pPr>
        <w:numPr>
          <w:ilvl w:val="0"/>
          <w:numId w:val="1"/>
        </w:numPr>
        <w:spacing w:line="480" w:lineRule="auto"/>
      </w:pPr>
      <w:r w:rsidRPr="005B7A8B">
        <w:rPr>
          <w:rFonts w:eastAsiaTheme="majorEastAsia"/>
          <w:b/>
          <w:bCs/>
        </w:rPr>
        <w:t>Data Protection Policy:</w:t>
      </w:r>
      <w:r w:rsidRPr="005B7A8B">
        <w:rPr>
          <w:rFonts w:eastAsiaTheme="majorEastAsia"/>
        </w:rPr>
        <w:t> This policy outlines procedures for protecting sensitive data, including customer information, intellectual property, and financial records. It mandates data encryption at rest and in transit, data loss prevention (DLP) measures, regular data backups, and secure data disposal practices. Compliance with GDPR, CCPA, and other applicable data privacy regulations is explicitly addressed.</w:t>
      </w:r>
    </w:p>
    <w:p w14:paraId="5C5A765F" w14:textId="5939F971" w:rsidR="005B7A8B" w:rsidRPr="005B7A8B" w:rsidRDefault="005B7A8B" w:rsidP="005B7A8B">
      <w:pPr>
        <w:numPr>
          <w:ilvl w:val="0"/>
          <w:numId w:val="1"/>
        </w:numPr>
        <w:spacing w:line="480" w:lineRule="auto"/>
      </w:pPr>
      <w:r w:rsidRPr="005B7A8B">
        <w:rPr>
          <w:rFonts w:eastAsiaTheme="majorEastAsia"/>
          <w:b/>
          <w:bCs/>
        </w:rPr>
        <w:t>Incident Response Policy:</w:t>
      </w:r>
      <w:r w:rsidRPr="005B7A8B">
        <w:rPr>
          <w:rFonts w:eastAsiaTheme="majorEastAsia"/>
        </w:rPr>
        <w:t xml:space="preserve"> This policy establishes a clear process for handling security incidents, including detection, containment, eradication, recovery, and post-incident </w:t>
      </w:r>
      <w:r w:rsidRPr="005B7A8B">
        <w:rPr>
          <w:rFonts w:eastAsiaTheme="majorEastAsia"/>
        </w:rPr>
        <w:lastRenderedPageBreak/>
        <w:t>analysis. A dedicated incident response team will be formed, with defined roles and responsibilities. Regular incident response drills will be conducted to ensure preparedness. This policy adheres to NIST’s incident response framework (NIST</w:t>
      </w:r>
      <w:r w:rsidR="00370C79">
        <w:t>, 2024</w:t>
      </w:r>
      <w:r w:rsidRPr="005B7A8B">
        <w:rPr>
          <w:rFonts w:eastAsiaTheme="majorEastAsia"/>
        </w:rPr>
        <w:t>).</w:t>
      </w:r>
    </w:p>
    <w:p w14:paraId="157C116D" w14:textId="77777777" w:rsidR="005B7A8B" w:rsidRPr="005B7A8B" w:rsidRDefault="005B7A8B" w:rsidP="005B7A8B">
      <w:pPr>
        <w:numPr>
          <w:ilvl w:val="0"/>
          <w:numId w:val="1"/>
        </w:numPr>
        <w:spacing w:line="480" w:lineRule="auto"/>
      </w:pPr>
      <w:r w:rsidRPr="005B7A8B">
        <w:rPr>
          <w:rFonts w:eastAsiaTheme="majorEastAsia"/>
          <w:b/>
          <w:bCs/>
        </w:rPr>
        <w:t>Employee Training and Awareness Policy:</w:t>
      </w:r>
      <w:r w:rsidRPr="005B7A8B">
        <w:rPr>
          <w:rFonts w:eastAsiaTheme="majorEastAsia"/>
        </w:rPr>
        <w:t> This policy mandates regular cybersecurity awareness training for all employees and contractors, covering topics such as phishing, social engineering, password security, and data protection best practices. Training will be delivered through various methods, including online modules, workshops, and simulated phishing attacks.</w:t>
      </w:r>
    </w:p>
    <w:p w14:paraId="53B54030" w14:textId="77777777" w:rsidR="005B7A8B" w:rsidRDefault="005B7A8B" w:rsidP="005B7A8B">
      <w:pPr>
        <w:numPr>
          <w:ilvl w:val="0"/>
          <w:numId w:val="1"/>
        </w:numPr>
        <w:spacing w:line="480" w:lineRule="auto"/>
      </w:pPr>
      <w:r w:rsidRPr="005B7A8B">
        <w:rPr>
          <w:rFonts w:eastAsiaTheme="majorEastAsia"/>
          <w:b/>
          <w:bCs/>
        </w:rPr>
        <w:t>Vendor Management Policy:</w:t>
      </w:r>
      <w:r w:rsidRPr="005B7A8B">
        <w:rPr>
          <w:rFonts w:eastAsiaTheme="majorEastAsia"/>
        </w:rPr>
        <w:t> This policy outlines procedures for managing third-party vendors with access to Acme Corporation’s systems or data. It requires thorough vendor risk assessments, security audits, contractual obligations for data protection, and regular performance monitoring.</w:t>
      </w:r>
    </w:p>
    <w:p w14:paraId="75AFCFFB" w14:textId="77777777" w:rsidR="00253A4E" w:rsidRPr="005B7A8B" w:rsidRDefault="00253A4E" w:rsidP="00253A4E">
      <w:pPr>
        <w:spacing w:line="480" w:lineRule="auto"/>
        <w:ind w:left="720"/>
      </w:pPr>
    </w:p>
    <w:p w14:paraId="6B6C571D" w14:textId="2D356DB8" w:rsidR="005B7A8B" w:rsidRPr="005B7A8B" w:rsidRDefault="005B7A8B" w:rsidP="00253A4E">
      <w:pPr>
        <w:spacing w:line="480" w:lineRule="auto"/>
        <w:jc w:val="center"/>
      </w:pPr>
      <w:r w:rsidRPr="005B7A8B">
        <w:rPr>
          <w:rFonts w:eastAsiaTheme="majorEastAsia"/>
          <w:b/>
          <w:bCs/>
        </w:rPr>
        <w:t>Legal and Regulatory Requirements</w:t>
      </w:r>
    </w:p>
    <w:p w14:paraId="3656E008" w14:textId="77777777" w:rsidR="005B7A8B" w:rsidRPr="005B7A8B" w:rsidRDefault="005B7A8B" w:rsidP="005B7A8B">
      <w:pPr>
        <w:spacing w:line="480" w:lineRule="auto"/>
      </w:pPr>
      <w:r w:rsidRPr="005B7A8B">
        <w:rPr>
          <w:rFonts w:eastAsiaTheme="majorEastAsia"/>
        </w:rPr>
        <w:t>Acme Corporation, operating in the US, must comply with several key legal and regulatory requirements:</w:t>
      </w:r>
    </w:p>
    <w:p w14:paraId="3DDD6D58" w14:textId="7ED6B4DC" w:rsidR="005B7A8B" w:rsidRPr="005B7A8B" w:rsidRDefault="005B7A8B" w:rsidP="005B7A8B">
      <w:pPr>
        <w:numPr>
          <w:ilvl w:val="0"/>
          <w:numId w:val="2"/>
        </w:numPr>
        <w:spacing w:line="480" w:lineRule="auto"/>
      </w:pPr>
      <w:r w:rsidRPr="005B7A8B">
        <w:rPr>
          <w:rFonts w:eastAsiaTheme="majorEastAsia"/>
          <w:b/>
          <w:bCs/>
        </w:rPr>
        <w:t>California Consumer Privacy Act (CCPA):</w:t>
      </w:r>
      <w:r w:rsidRPr="005B7A8B">
        <w:rPr>
          <w:rFonts w:eastAsiaTheme="majorEastAsia"/>
        </w:rPr>
        <w:t> Given Acme's handling of customer data, CCPA compliance is crucial, requiring transparency about data collection and usage, providing customers with control over their data, and implementing robust data security measures</w:t>
      </w:r>
      <w:r w:rsidR="00370C79">
        <w:rPr>
          <w:rFonts w:eastAsiaTheme="majorEastAsia"/>
        </w:rPr>
        <w:t xml:space="preserve"> (</w:t>
      </w:r>
      <w:r w:rsidR="00370C79">
        <w:rPr>
          <w:color w:val="000000"/>
        </w:rPr>
        <w:t>B</w:t>
      </w:r>
      <w:r w:rsidR="00370C79">
        <w:rPr>
          <w:color w:val="000000"/>
        </w:rPr>
        <w:t>ukaty, 2019)</w:t>
      </w:r>
      <w:r w:rsidRPr="005B7A8B">
        <w:rPr>
          <w:rFonts w:eastAsiaTheme="majorEastAsia"/>
        </w:rPr>
        <w:t>.</w:t>
      </w:r>
    </w:p>
    <w:p w14:paraId="72B8AC05" w14:textId="23EF7268" w:rsidR="005B7A8B" w:rsidRPr="005B7A8B" w:rsidRDefault="005B7A8B" w:rsidP="005B7A8B">
      <w:pPr>
        <w:numPr>
          <w:ilvl w:val="0"/>
          <w:numId w:val="2"/>
        </w:numPr>
        <w:spacing w:line="480" w:lineRule="auto"/>
      </w:pPr>
      <w:r w:rsidRPr="005B7A8B">
        <w:rPr>
          <w:rFonts w:eastAsiaTheme="majorEastAsia"/>
          <w:b/>
          <w:bCs/>
        </w:rPr>
        <w:t>General Data Protection Regulation (GDPR):</w:t>
      </w:r>
      <w:r w:rsidRPr="005B7A8B">
        <w:rPr>
          <w:rFonts w:eastAsiaTheme="majorEastAsia"/>
        </w:rPr>
        <w:t> If Acme Corporation processes data of EU citizens, GDPR compliance is mandatory, encompassing similar principles as CCPA but with broader scope and stricter penalties</w:t>
      </w:r>
      <w:r w:rsidR="00370C79">
        <w:t xml:space="preserve"> (GDPR, 2016)</w:t>
      </w:r>
      <w:r w:rsidRPr="005B7A8B">
        <w:rPr>
          <w:rFonts w:eastAsiaTheme="majorEastAsia"/>
        </w:rPr>
        <w:t>.</w:t>
      </w:r>
    </w:p>
    <w:p w14:paraId="31AC40F7" w14:textId="15698FA8" w:rsidR="005B7A8B" w:rsidRPr="005B7A8B" w:rsidRDefault="005B7A8B" w:rsidP="005B7A8B">
      <w:pPr>
        <w:numPr>
          <w:ilvl w:val="0"/>
          <w:numId w:val="2"/>
        </w:numPr>
        <w:spacing w:line="480" w:lineRule="auto"/>
      </w:pPr>
      <w:r w:rsidRPr="005B7A8B">
        <w:rPr>
          <w:rFonts w:eastAsiaTheme="majorEastAsia"/>
          <w:b/>
          <w:bCs/>
        </w:rPr>
        <w:lastRenderedPageBreak/>
        <w:t>Health Insurance Portability and Accountability Act (HIPAA):</w:t>
      </w:r>
      <w:r w:rsidRPr="005B7A8B">
        <w:rPr>
          <w:rFonts w:eastAsiaTheme="majorEastAsia"/>
        </w:rPr>
        <w:t> If Acme handles any health-related data, HIPAA compliance is essential, requiring strict safeguards for protecting patient health information</w:t>
      </w:r>
      <w:r w:rsidR="00370C79">
        <w:t xml:space="preserve"> (HHS, 1996)</w:t>
      </w:r>
      <w:r w:rsidRPr="005B7A8B">
        <w:rPr>
          <w:rFonts w:eastAsiaTheme="majorEastAsia"/>
        </w:rPr>
        <w:t>.</w:t>
      </w:r>
    </w:p>
    <w:p w14:paraId="38451507" w14:textId="77777777" w:rsidR="005B7A8B" w:rsidRPr="005B7A8B" w:rsidRDefault="005B7A8B" w:rsidP="005B7A8B">
      <w:pPr>
        <w:numPr>
          <w:ilvl w:val="0"/>
          <w:numId w:val="2"/>
        </w:numPr>
        <w:spacing w:line="480" w:lineRule="auto"/>
      </w:pPr>
      <w:r w:rsidRPr="005B7A8B">
        <w:rPr>
          <w:rFonts w:eastAsiaTheme="majorEastAsia"/>
          <w:b/>
          <w:bCs/>
        </w:rPr>
        <w:t>Payment Card Industry Data Security Standard (PCI DSS):</w:t>
      </w:r>
      <w:r w:rsidRPr="005B7A8B">
        <w:rPr>
          <w:rFonts w:eastAsiaTheme="majorEastAsia"/>
        </w:rPr>
        <w:t> If Acme processes credit card transactions, PCI DSS compliance is necessary, mandating specific security controls for protecting cardholder data.</w:t>
      </w:r>
    </w:p>
    <w:p w14:paraId="4D448A74" w14:textId="48BD40F2" w:rsidR="005B7A8B" w:rsidRDefault="005B7A8B" w:rsidP="005B7A8B">
      <w:pPr>
        <w:numPr>
          <w:ilvl w:val="0"/>
          <w:numId w:val="2"/>
        </w:numPr>
        <w:spacing w:line="480" w:lineRule="auto"/>
      </w:pPr>
      <w:r w:rsidRPr="005B7A8B">
        <w:rPr>
          <w:rFonts w:eastAsiaTheme="majorEastAsia"/>
          <w:b/>
          <w:bCs/>
        </w:rPr>
        <w:t>Federal Information Security Management Act (FISMA):</w:t>
      </w:r>
      <w:r w:rsidRPr="005B7A8B">
        <w:rPr>
          <w:rFonts w:eastAsiaTheme="majorEastAsia"/>
        </w:rPr>
        <w:t> While not directly applicable to a private entity like Acme, adhering to FISMA standards can serve as a valuable benchmark for cybersecurity best practices</w:t>
      </w:r>
      <w:r w:rsidR="00370C79">
        <w:t xml:space="preserve"> (CISA, 2014)</w:t>
      </w:r>
      <w:r w:rsidRPr="005B7A8B">
        <w:rPr>
          <w:rFonts w:eastAsiaTheme="majorEastAsia"/>
        </w:rPr>
        <w:t>.</w:t>
      </w:r>
    </w:p>
    <w:p w14:paraId="3772F3FD" w14:textId="77777777" w:rsidR="00253A4E" w:rsidRPr="005B7A8B" w:rsidRDefault="00253A4E" w:rsidP="00253A4E">
      <w:pPr>
        <w:spacing w:line="480" w:lineRule="auto"/>
        <w:ind w:left="720"/>
      </w:pPr>
    </w:p>
    <w:p w14:paraId="598066F8" w14:textId="5006EF7A" w:rsidR="005B7A8B" w:rsidRPr="005B7A8B" w:rsidRDefault="005B7A8B" w:rsidP="00253A4E">
      <w:pPr>
        <w:spacing w:line="480" w:lineRule="auto"/>
        <w:jc w:val="center"/>
      </w:pPr>
      <w:r w:rsidRPr="005B7A8B">
        <w:rPr>
          <w:rFonts w:eastAsiaTheme="majorEastAsia"/>
          <w:b/>
          <w:bCs/>
        </w:rPr>
        <w:t>Ethical Principles</w:t>
      </w:r>
    </w:p>
    <w:p w14:paraId="2DFB2856" w14:textId="77777777" w:rsidR="005B7A8B" w:rsidRPr="005B7A8B" w:rsidRDefault="005B7A8B" w:rsidP="005B7A8B">
      <w:pPr>
        <w:spacing w:line="480" w:lineRule="auto"/>
      </w:pPr>
      <w:r w:rsidRPr="005B7A8B">
        <w:rPr>
          <w:rFonts w:eastAsiaTheme="majorEastAsia"/>
        </w:rPr>
        <w:t>Acme Corporation's cybersecurity policies are grounded in the following ethical principles:</w:t>
      </w:r>
    </w:p>
    <w:p w14:paraId="174748D5" w14:textId="77777777" w:rsidR="005B7A8B" w:rsidRPr="005B7A8B" w:rsidRDefault="005B7A8B" w:rsidP="005B7A8B">
      <w:pPr>
        <w:numPr>
          <w:ilvl w:val="0"/>
          <w:numId w:val="3"/>
        </w:numPr>
        <w:spacing w:line="480" w:lineRule="auto"/>
      </w:pPr>
      <w:r w:rsidRPr="005B7A8B">
        <w:rPr>
          <w:rFonts w:eastAsiaTheme="majorEastAsia"/>
          <w:b/>
          <w:bCs/>
        </w:rPr>
        <w:t>Privacy:</w:t>
      </w:r>
      <w:r w:rsidRPr="005B7A8B">
        <w:rPr>
          <w:rFonts w:eastAsiaTheme="majorEastAsia"/>
        </w:rPr>
        <w:t> Respecting user privacy by minimizing data collection, providing transparency about data usage, and implementing strong data protection measures.</w:t>
      </w:r>
    </w:p>
    <w:p w14:paraId="24C1C1D6" w14:textId="77777777" w:rsidR="005B7A8B" w:rsidRPr="005B7A8B" w:rsidRDefault="005B7A8B" w:rsidP="005B7A8B">
      <w:pPr>
        <w:numPr>
          <w:ilvl w:val="0"/>
          <w:numId w:val="3"/>
        </w:numPr>
        <w:spacing w:line="480" w:lineRule="auto"/>
      </w:pPr>
      <w:r w:rsidRPr="005B7A8B">
        <w:rPr>
          <w:rFonts w:eastAsiaTheme="majorEastAsia"/>
          <w:b/>
          <w:bCs/>
        </w:rPr>
        <w:t>Transparency:</w:t>
      </w:r>
      <w:r w:rsidRPr="005B7A8B">
        <w:rPr>
          <w:rFonts w:eastAsiaTheme="majorEastAsia"/>
        </w:rPr>
        <w:t> Openly communicating security practices and incident response procedures to stakeholders, fostering trust and accountability.</w:t>
      </w:r>
    </w:p>
    <w:p w14:paraId="3835F9E5" w14:textId="77777777" w:rsidR="005B7A8B" w:rsidRPr="005B7A8B" w:rsidRDefault="005B7A8B" w:rsidP="005B7A8B">
      <w:pPr>
        <w:numPr>
          <w:ilvl w:val="0"/>
          <w:numId w:val="3"/>
        </w:numPr>
        <w:spacing w:line="480" w:lineRule="auto"/>
      </w:pPr>
      <w:r w:rsidRPr="005B7A8B">
        <w:rPr>
          <w:rFonts w:eastAsiaTheme="majorEastAsia"/>
          <w:b/>
          <w:bCs/>
        </w:rPr>
        <w:t>Accountability:</w:t>
      </w:r>
      <w:r w:rsidRPr="005B7A8B">
        <w:rPr>
          <w:rFonts w:eastAsiaTheme="majorEastAsia"/>
        </w:rPr>
        <w:t> Establishing clear roles and responsibilities for cybersecurity, ensuring that individuals are held accountable for their actions.</w:t>
      </w:r>
    </w:p>
    <w:p w14:paraId="09C0A727" w14:textId="77777777" w:rsidR="005B7A8B" w:rsidRPr="005B7A8B" w:rsidRDefault="005B7A8B" w:rsidP="005B7A8B">
      <w:pPr>
        <w:numPr>
          <w:ilvl w:val="0"/>
          <w:numId w:val="3"/>
        </w:numPr>
        <w:spacing w:line="480" w:lineRule="auto"/>
      </w:pPr>
      <w:r w:rsidRPr="005B7A8B">
        <w:rPr>
          <w:rFonts w:eastAsiaTheme="majorEastAsia"/>
          <w:b/>
          <w:bCs/>
        </w:rPr>
        <w:t>Fairness:</w:t>
      </w:r>
      <w:r w:rsidRPr="005B7A8B">
        <w:rPr>
          <w:rFonts w:eastAsiaTheme="majorEastAsia"/>
        </w:rPr>
        <w:t> Applying security measures consistently and impartially, avoiding discriminatory practices.</w:t>
      </w:r>
    </w:p>
    <w:p w14:paraId="3ED9384B" w14:textId="351DE87F" w:rsidR="005B7A8B" w:rsidRPr="005B7A8B" w:rsidRDefault="005B7A8B" w:rsidP="00253A4E">
      <w:pPr>
        <w:spacing w:line="480" w:lineRule="auto"/>
        <w:jc w:val="center"/>
      </w:pPr>
      <w:r w:rsidRPr="005B7A8B">
        <w:rPr>
          <w:rFonts w:eastAsiaTheme="majorEastAsia"/>
          <w:b/>
          <w:bCs/>
        </w:rPr>
        <w:t>Policy Enhancements</w:t>
      </w:r>
    </w:p>
    <w:p w14:paraId="2E5166C5" w14:textId="77777777" w:rsidR="005B7A8B" w:rsidRPr="005B7A8B" w:rsidRDefault="005B7A8B" w:rsidP="005B7A8B">
      <w:pPr>
        <w:spacing w:line="480" w:lineRule="auto"/>
      </w:pPr>
      <w:r w:rsidRPr="005B7A8B">
        <w:rPr>
          <w:rFonts w:eastAsiaTheme="majorEastAsia"/>
        </w:rPr>
        <w:t>To address emerging threats and evolving regulatory requirements, Acme Corporation should consider the following policy enhancements:</w:t>
      </w:r>
    </w:p>
    <w:p w14:paraId="03E05F06" w14:textId="77777777" w:rsidR="005B7A8B" w:rsidRPr="005B7A8B" w:rsidRDefault="005B7A8B" w:rsidP="005B7A8B">
      <w:pPr>
        <w:numPr>
          <w:ilvl w:val="0"/>
          <w:numId w:val="4"/>
        </w:numPr>
        <w:spacing w:line="480" w:lineRule="auto"/>
      </w:pPr>
      <w:r w:rsidRPr="005B7A8B">
        <w:rPr>
          <w:rFonts w:eastAsiaTheme="majorEastAsia"/>
          <w:b/>
          <w:bCs/>
        </w:rPr>
        <w:lastRenderedPageBreak/>
        <w:t>Zero Trust Security Model:</w:t>
      </w:r>
      <w:r w:rsidRPr="005B7A8B">
        <w:rPr>
          <w:rFonts w:eastAsiaTheme="majorEastAsia"/>
        </w:rPr>
        <w:t> Implementing a Zero Trust approach, assuming no implicit trust within the network and verifying every access request, significantly enhances security.</w:t>
      </w:r>
    </w:p>
    <w:p w14:paraId="51AA1948" w14:textId="77777777" w:rsidR="005B7A8B" w:rsidRPr="005B7A8B" w:rsidRDefault="005B7A8B" w:rsidP="005B7A8B">
      <w:pPr>
        <w:numPr>
          <w:ilvl w:val="0"/>
          <w:numId w:val="4"/>
        </w:numPr>
        <w:spacing w:line="480" w:lineRule="auto"/>
      </w:pPr>
      <w:r w:rsidRPr="005B7A8B">
        <w:rPr>
          <w:rFonts w:eastAsiaTheme="majorEastAsia"/>
          <w:b/>
          <w:bCs/>
        </w:rPr>
        <w:t>Artificial Intelligence (AI) and Machine Learning (ML) for Threat Detection:</w:t>
      </w:r>
      <w:r w:rsidRPr="005B7A8B">
        <w:rPr>
          <w:rFonts w:eastAsiaTheme="majorEastAsia"/>
        </w:rPr>
        <w:t> Integrating AI/ML-powered security tools can improve threat detection capabilities and automate incident response processes.</w:t>
      </w:r>
    </w:p>
    <w:p w14:paraId="0598D087" w14:textId="77777777" w:rsidR="005B7A8B" w:rsidRPr="005B7A8B" w:rsidRDefault="005B7A8B" w:rsidP="005B7A8B">
      <w:pPr>
        <w:numPr>
          <w:ilvl w:val="0"/>
          <w:numId w:val="4"/>
        </w:numPr>
        <w:spacing w:line="480" w:lineRule="auto"/>
      </w:pPr>
      <w:r w:rsidRPr="005B7A8B">
        <w:rPr>
          <w:rFonts w:eastAsiaTheme="majorEastAsia"/>
          <w:b/>
          <w:bCs/>
        </w:rPr>
        <w:t>Regular Security Audits and Penetration Testing:</w:t>
      </w:r>
      <w:r w:rsidRPr="005B7A8B">
        <w:rPr>
          <w:rFonts w:eastAsiaTheme="majorEastAsia"/>
        </w:rPr>
        <w:t> Conducting regular security audits and penetration testing by independent third parties can identify vulnerabilities and improve overall security posture.</w:t>
      </w:r>
    </w:p>
    <w:p w14:paraId="528477B3" w14:textId="77777777" w:rsidR="005B7A8B" w:rsidRPr="005B7A8B" w:rsidRDefault="005B7A8B" w:rsidP="005B7A8B">
      <w:pPr>
        <w:numPr>
          <w:ilvl w:val="0"/>
          <w:numId w:val="4"/>
        </w:numPr>
        <w:spacing w:line="480" w:lineRule="auto"/>
      </w:pPr>
      <w:r w:rsidRPr="005B7A8B">
        <w:rPr>
          <w:rFonts w:eastAsiaTheme="majorEastAsia"/>
          <w:b/>
          <w:bCs/>
        </w:rPr>
        <w:t>Cybersecurity Insurance:</w:t>
      </w:r>
      <w:r w:rsidRPr="005B7A8B">
        <w:rPr>
          <w:rFonts w:eastAsiaTheme="majorEastAsia"/>
        </w:rPr>
        <w:t> Obtaining cybersecurity insurance can mitigate financial losses in the event of a data breach or cyberattack.</w:t>
      </w:r>
    </w:p>
    <w:p w14:paraId="3EF0F1C2" w14:textId="77777777" w:rsidR="005B7A8B" w:rsidRPr="005B7A8B" w:rsidRDefault="005B7A8B" w:rsidP="005B7A8B">
      <w:pPr>
        <w:numPr>
          <w:ilvl w:val="0"/>
          <w:numId w:val="4"/>
        </w:numPr>
        <w:spacing w:line="480" w:lineRule="auto"/>
      </w:pPr>
      <w:r w:rsidRPr="005B7A8B">
        <w:rPr>
          <w:rFonts w:eastAsiaTheme="majorEastAsia"/>
          <w:b/>
          <w:bCs/>
        </w:rPr>
        <w:t>Blockchain for Data Integrity:</w:t>
      </w:r>
      <w:r w:rsidRPr="005B7A8B">
        <w:rPr>
          <w:rFonts w:eastAsiaTheme="majorEastAsia"/>
        </w:rPr>
        <w:t> Exploring the use of blockchain technology for ensuring data integrity and immutability can enhance data security.</w:t>
      </w:r>
    </w:p>
    <w:p w14:paraId="1274678C" w14:textId="77777777" w:rsidR="00253A4E" w:rsidRDefault="00253A4E" w:rsidP="005B7A8B">
      <w:pPr>
        <w:spacing w:line="480" w:lineRule="auto"/>
        <w:rPr>
          <w:b/>
          <w:bCs/>
        </w:rPr>
      </w:pPr>
    </w:p>
    <w:p w14:paraId="3C777040" w14:textId="16B51B23" w:rsidR="005B7A8B" w:rsidRPr="005B7A8B" w:rsidRDefault="005B7A8B" w:rsidP="00253A4E">
      <w:pPr>
        <w:spacing w:line="480" w:lineRule="auto"/>
        <w:jc w:val="center"/>
      </w:pPr>
      <w:r w:rsidRPr="005B7A8B">
        <w:rPr>
          <w:rFonts w:eastAsiaTheme="majorEastAsia"/>
          <w:b/>
          <w:bCs/>
        </w:rPr>
        <w:t>Conclusion</w:t>
      </w:r>
    </w:p>
    <w:p w14:paraId="4D1A19BF" w14:textId="77777777" w:rsidR="005B7A8B" w:rsidRDefault="005B7A8B" w:rsidP="00253A4E">
      <w:pPr>
        <w:spacing w:line="480" w:lineRule="auto"/>
        <w:ind w:firstLine="720"/>
      </w:pPr>
      <w:r w:rsidRPr="005B7A8B">
        <w:rPr>
          <w:rFonts w:eastAsiaTheme="majorEastAsia"/>
        </w:rPr>
        <w:t xml:space="preserve">Establishing robust cybersecurity policies is paramount for any organization, especially in today's increasingly interconnected and threat-ridden digital landscape. By implementing comprehensive policies, aligning with legal and regulatory frameworks, incorporating ethical principles, and proactively adapting to emerging threats, Acme Corporation can significantly strengthen its cybersecurity posture, protect its valuable assets, maintain customer trust, and ensure business continuity. Continuous monitoring, evaluation, and improvement of these policies are crucial for maintaining a strong security posture in the face of evolving cyber threats. This framework provides a strong foundation for Acme Corporation to build a resilient and </w:t>
      </w:r>
      <w:r w:rsidRPr="005B7A8B">
        <w:rPr>
          <w:rFonts w:eastAsiaTheme="majorEastAsia"/>
        </w:rPr>
        <w:lastRenderedPageBreak/>
        <w:t>secure operating environment. Continuous monitoring, evaluation, and improvement of these policies are crucial for maintaining a strong security posture in the face of evolving cyber threats. This framework, when coupled with robust implementation and regular review, allows Acme to adapt to the dynamic cybersecurity landscape and effectively safeguard its assets and reputation.</w:t>
      </w:r>
    </w:p>
    <w:p w14:paraId="497DDCC6" w14:textId="77777777" w:rsidR="00253A4E" w:rsidRDefault="00253A4E" w:rsidP="00253A4E">
      <w:pPr>
        <w:spacing w:line="480" w:lineRule="auto"/>
        <w:ind w:firstLine="720"/>
      </w:pPr>
    </w:p>
    <w:p w14:paraId="0C33C8C5" w14:textId="77777777" w:rsidR="00253A4E" w:rsidRDefault="00253A4E" w:rsidP="00253A4E">
      <w:pPr>
        <w:spacing w:line="480" w:lineRule="auto"/>
        <w:ind w:firstLine="720"/>
      </w:pPr>
    </w:p>
    <w:p w14:paraId="43BB4539" w14:textId="77777777" w:rsidR="00253A4E" w:rsidRDefault="00253A4E" w:rsidP="00253A4E">
      <w:pPr>
        <w:spacing w:line="480" w:lineRule="auto"/>
        <w:ind w:firstLine="720"/>
      </w:pPr>
    </w:p>
    <w:p w14:paraId="08381EDD" w14:textId="77777777" w:rsidR="00253A4E" w:rsidRDefault="00253A4E" w:rsidP="00253A4E">
      <w:pPr>
        <w:spacing w:line="480" w:lineRule="auto"/>
        <w:ind w:firstLine="720"/>
      </w:pPr>
    </w:p>
    <w:p w14:paraId="0E3E0329" w14:textId="77777777" w:rsidR="00253A4E" w:rsidRDefault="00253A4E" w:rsidP="00253A4E">
      <w:pPr>
        <w:spacing w:line="480" w:lineRule="auto"/>
        <w:ind w:firstLine="720"/>
      </w:pPr>
    </w:p>
    <w:p w14:paraId="72A58D44" w14:textId="77777777" w:rsidR="00253A4E" w:rsidRDefault="00253A4E" w:rsidP="00253A4E">
      <w:pPr>
        <w:spacing w:line="480" w:lineRule="auto"/>
        <w:ind w:firstLine="720"/>
      </w:pPr>
    </w:p>
    <w:p w14:paraId="50A05FC2" w14:textId="77777777" w:rsidR="00253A4E" w:rsidRDefault="00253A4E" w:rsidP="00253A4E">
      <w:pPr>
        <w:spacing w:line="480" w:lineRule="auto"/>
        <w:ind w:firstLine="720"/>
      </w:pPr>
    </w:p>
    <w:p w14:paraId="458EFD70" w14:textId="77777777" w:rsidR="00253A4E" w:rsidRDefault="00253A4E" w:rsidP="00253A4E">
      <w:pPr>
        <w:spacing w:line="480" w:lineRule="auto"/>
        <w:ind w:firstLine="720"/>
      </w:pPr>
    </w:p>
    <w:p w14:paraId="4A57FEBA" w14:textId="77777777" w:rsidR="00253A4E" w:rsidRDefault="00253A4E" w:rsidP="00253A4E">
      <w:pPr>
        <w:spacing w:line="480" w:lineRule="auto"/>
        <w:ind w:firstLine="720"/>
      </w:pPr>
    </w:p>
    <w:p w14:paraId="5AB55F6E" w14:textId="77777777" w:rsidR="00253A4E" w:rsidRDefault="00253A4E" w:rsidP="00253A4E">
      <w:pPr>
        <w:spacing w:line="480" w:lineRule="auto"/>
        <w:ind w:firstLine="720"/>
      </w:pPr>
    </w:p>
    <w:p w14:paraId="50B6D9BD" w14:textId="77777777" w:rsidR="00253A4E" w:rsidRDefault="00253A4E" w:rsidP="00253A4E">
      <w:pPr>
        <w:spacing w:line="480" w:lineRule="auto"/>
        <w:ind w:firstLine="720"/>
      </w:pPr>
    </w:p>
    <w:p w14:paraId="5A6DDCA7" w14:textId="77777777" w:rsidR="00253A4E" w:rsidRDefault="00253A4E" w:rsidP="00253A4E">
      <w:pPr>
        <w:spacing w:line="480" w:lineRule="auto"/>
        <w:ind w:firstLine="720"/>
      </w:pPr>
    </w:p>
    <w:p w14:paraId="5A0683E9" w14:textId="77777777" w:rsidR="00253A4E" w:rsidRDefault="00253A4E" w:rsidP="00253A4E">
      <w:pPr>
        <w:spacing w:line="480" w:lineRule="auto"/>
        <w:ind w:firstLine="720"/>
      </w:pPr>
    </w:p>
    <w:p w14:paraId="4EEC6421" w14:textId="77777777" w:rsidR="00253A4E" w:rsidRDefault="00253A4E" w:rsidP="00253A4E">
      <w:pPr>
        <w:spacing w:line="480" w:lineRule="auto"/>
        <w:ind w:firstLine="720"/>
      </w:pPr>
    </w:p>
    <w:p w14:paraId="30618099" w14:textId="77777777" w:rsidR="00253A4E" w:rsidRDefault="00253A4E" w:rsidP="00253A4E">
      <w:pPr>
        <w:spacing w:line="480" w:lineRule="auto"/>
        <w:ind w:firstLine="720"/>
      </w:pPr>
    </w:p>
    <w:p w14:paraId="3F8E4214" w14:textId="77777777" w:rsidR="00253A4E" w:rsidRDefault="00253A4E" w:rsidP="00253A4E">
      <w:pPr>
        <w:spacing w:line="480" w:lineRule="auto"/>
        <w:ind w:firstLine="720"/>
      </w:pPr>
    </w:p>
    <w:p w14:paraId="073D4C24" w14:textId="77777777" w:rsidR="00370C79" w:rsidRDefault="00370C79" w:rsidP="00253A4E">
      <w:pPr>
        <w:spacing w:line="480" w:lineRule="auto"/>
        <w:ind w:firstLine="720"/>
      </w:pPr>
    </w:p>
    <w:p w14:paraId="4211B952" w14:textId="77777777" w:rsidR="00370C79" w:rsidRDefault="00370C79" w:rsidP="00253A4E">
      <w:pPr>
        <w:spacing w:line="480" w:lineRule="auto"/>
        <w:ind w:firstLine="720"/>
      </w:pPr>
    </w:p>
    <w:p w14:paraId="2CAFB660" w14:textId="77777777" w:rsidR="00370C79" w:rsidRDefault="00370C79" w:rsidP="00253A4E">
      <w:pPr>
        <w:spacing w:line="480" w:lineRule="auto"/>
        <w:ind w:firstLine="720"/>
      </w:pPr>
    </w:p>
    <w:p w14:paraId="28A81231" w14:textId="25601084" w:rsidR="00370C79" w:rsidRPr="00370C79" w:rsidRDefault="00253A4E" w:rsidP="00370C79">
      <w:pPr>
        <w:spacing w:line="480" w:lineRule="auto"/>
        <w:ind w:firstLine="720"/>
        <w:jc w:val="center"/>
        <w:rPr>
          <w:b/>
          <w:bCs/>
        </w:rPr>
      </w:pPr>
      <w:r w:rsidRPr="00253A4E">
        <w:rPr>
          <w:b/>
          <w:bCs/>
        </w:rPr>
        <w:lastRenderedPageBreak/>
        <w:t>References</w:t>
      </w:r>
    </w:p>
    <w:p w14:paraId="5C527EAB" w14:textId="3B54AA13" w:rsidR="00370C79" w:rsidRDefault="00370C79" w:rsidP="00370C79">
      <w:pPr>
        <w:spacing w:line="480" w:lineRule="auto"/>
        <w:ind w:left="720" w:hanging="720"/>
        <w:rPr>
          <w:color w:val="000000"/>
        </w:rPr>
      </w:pPr>
      <w:r>
        <w:rPr>
          <w:color w:val="000000"/>
        </w:rPr>
        <w:t>Bukaty, P. (2019).</w:t>
      </w:r>
      <w:r>
        <w:rPr>
          <w:rStyle w:val="apple-converted-space"/>
          <w:rFonts w:eastAsiaTheme="majorEastAsia"/>
          <w:color w:val="000000"/>
        </w:rPr>
        <w:t> </w:t>
      </w:r>
      <w:r>
        <w:rPr>
          <w:i/>
          <w:iCs/>
          <w:color w:val="000000"/>
        </w:rPr>
        <w:t>The California Consumer Privacy Act (CCPA): An implementation guide</w:t>
      </w:r>
      <w:r>
        <w:rPr>
          <w:color w:val="000000"/>
        </w:rPr>
        <w:t xml:space="preserve">. IT Governance Publishing. </w:t>
      </w:r>
      <w:hyperlink r:id="rId5" w:history="1">
        <w:r w:rsidRPr="00B225F4">
          <w:rPr>
            <w:rStyle w:val="Hyperlink"/>
          </w:rPr>
          <w:t>https://doi.org/10.2307/j.ctvjghvnn</w:t>
        </w:r>
      </w:hyperlink>
      <w:r>
        <w:rPr>
          <w:color w:val="000000"/>
        </w:rPr>
        <w:t xml:space="preserve"> </w:t>
      </w:r>
    </w:p>
    <w:p w14:paraId="3FFD893F" w14:textId="77777777" w:rsidR="00370C79" w:rsidRPr="00370C79" w:rsidRDefault="00370C79" w:rsidP="00370C79">
      <w:pPr>
        <w:spacing w:line="480" w:lineRule="auto"/>
        <w:ind w:left="720" w:hanging="720"/>
        <w:rPr>
          <w:rFonts w:eastAsiaTheme="minorHAnsi"/>
        </w:rPr>
      </w:pPr>
      <w:r>
        <w:t xml:space="preserve">CISA. (2014). </w:t>
      </w:r>
      <w:r w:rsidRPr="00370C79">
        <w:rPr>
          <w:rFonts w:eastAsiaTheme="minorHAnsi"/>
          <w:i/>
          <w:iCs/>
        </w:rPr>
        <w:t>Federal Information Security Modernization Act</w:t>
      </w:r>
      <w:r w:rsidRPr="00370C79">
        <w:rPr>
          <w:i/>
          <w:iCs/>
        </w:rPr>
        <w:t>.</w:t>
      </w:r>
    </w:p>
    <w:p w14:paraId="3198111E" w14:textId="56C9463F" w:rsidR="00370C79" w:rsidRPr="00370C79" w:rsidRDefault="00370C79" w:rsidP="00370C79">
      <w:pPr>
        <w:spacing w:line="480" w:lineRule="auto"/>
        <w:ind w:left="720" w:hanging="720"/>
      </w:pPr>
      <w:r>
        <w:t xml:space="preserve"> </w:t>
      </w:r>
      <w:hyperlink r:id="rId6" w:history="1">
        <w:r w:rsidRPr="00B225F4">
          <w:rPr>
            <w:rStyle w:val="Hyperlink"/>
          </w:rPr>
          <w:t>https://www.cisa.gov/topics/cyber-threats-and-advisories/federal-information-security-modernization-act</w:t>
        </w:r>
      </w:hyperlink>
      <w:r>
        <w:t xml:space="preserve"> </w:t>
      </w:r>
    </w:p>
    <w:p w14:paraId="03FD6BC6" w14:textId="0BBFDA78" w:rsidR="00370C79" w:rsidRPr="00370C79" w:rsidRDefault="00370C79" w:rsidP="00370C79">
      <w:pPr>
        <w:spacing w:line="480" w:lineRule="auto"/>
        <w:ind w:left="720" w:hanging="720"/>
        <w:rPr>
          <w:color w:val="467886" w:themeColor="hyperlink"/>
          <w:u w:val="single"/>
        </w:rPr>
      </w:pPr>
      <w:r w:rsidRPr="00296437">
        <w:t>European Parliament, &amp; Council of the European Union.</w:t>
      </w:r>
      <w:r>
        <w:t xml:space="preserve"> GDPR.</w:t>
      </w:r>
      <w:r w:rsidRPr="00296437">
        <w:t xml:space="preserve"> (2016). Regulation (EU) 2016/679 of the European Parliament and of the Council. Retrieved 13 April 2023, from </w:t>
      </w:r>
      <w:hyperlink r:id="rId7" w:history="1">
        <w:r w:rsidRPr="00B225F4">
          <w:rPr>
            <w:rStyle w:val="Hyperlink"/>
          </w:rPr>
          <w:t>https://data.europa.eu/eli/reg/2016/679/oj</w:t>
        </w:r>
      </w:hyperlink>
    </w:p>
    <w:p w14:paraId="0019EFB1" w14:textId="52CEA310" w:rsidR="00253A4E" w:rsidRPr="00253A4E" w:rsidRDefault="00253A4E" w:rsidP="00370C79">
      <w:pPr>
        <w:spacing w:line="480" w:lineRule="auto"/>
        <w:ind w:left="720" w:hanging="720"/>
        <w:rPr>
          <w:i/>
          <w:iCs/>
        </w:rPr>
      </w:pPr>
      <w:r>
        <w:t xml:space="preserve">NIST. (2020). </w:t>
      </w:r>
      <w:r w:rsidRPr="00253A4E">
        <w:rPr>
          <w:i/>
          <w:iCs/>
        </w:rPr>
        <w:t>NIST SP 800-53 Rev. 5</w:t>
      </w:r>
      <w:r w:rsidRPr="00253A4E">
        <w:rPr>
          <w:rFonts w:eastAsiaTheme="majorEastAsia"/>
          <w:i/>
          <w:iCs/>
        </w:rPr>
        <w:t> </w:t>
      </w:r>
    </w:p>
    <w:p w14:paraId="7E0D0BB9" w14:textId="6DCE2D52" w:rsidR="00253A4E" w:rsidRDefault="00253A4E" w:rsidP="00370C79">
      <w:pPr>
        <w:spacing w:line="480" w:lineRule="auto"/>
        <w:ind w:left="720" w:hanging="720"/>
      </w:pPr>
      <w:r w:rsidRPr="00253A4E">
        <w:rPr>
          <w:i/>
          <w:iCs/>
        </w:rPr>
        <w:t>Security and Privacy Controls for Information Systems and Organizations</w:t>
      </w:r>
      <w:r>
        <w:t xml:space="preserve">. </w:t>
      </w:r>
      <w:hyperlink r:id="rId8" w:history="1">
        <w:r w:rsidRPr="00253A4E">
          <w:rPr>
            <w:rStyle w:val="Hyperlink"/>
            <w:rFonts w:eastAsiaTheme="majorEastAsia"/>
          </w:rPr>
          <w:t>https://doi.org/10.6028/NIST.SP.800-53r5</w:t>
        </w:r>
      </w:hyperlink>
    </w:p>
    <w:p w14:paraId="07358C3C" w14:textId="77777777" w:rsidR="00370C79" w:rsidRDefault="00370C79" w:rsidP="00370C79">
      <w:pPr>
        <w:spacing w:line="480" w:lineRule="auto"/>
        <w:ind w:left="720" w:hanging="720"/>
      </w:pPr>
      <w:r w:rsidRPr="00724B27">
        <w:t>NIST</w:t>
      </w:r>
      <w:r>
        <w:t>. (2024).</w:t>
      </w:r>
      <w:r w:rsidRPr="007F76EB">
        <w:rPr>
          <w:i/>
          <w:iCs/>
        </w:rPr>
        <w:t xml:space="preserve"> The NIST Cybersecurity Framework (CSF) 2.0.</w:t>
      </w:r>
      <w:r>
        <w:t xml:space="preserve"> </w:t>
      </w:r>
      <w:hyperlink r:id="rId9" w:history="1">
        <w:r w:rsidRPr="00B225F4">
          <w:rPr>
            <w:rStyle w:val="Hyperlink"/>
          </w:rPr>
          <w:t>https://nvlpubs.nist.gov/nistpubs/CSWP/NIST.CSWP.29.pdf</w:t>
        </w:r>
      </w:hyperlink>
    </w:p>
    <w:p w14:paraId="3B4CD290" w14:textId="77777777" w:rsidR="00370C79" w:rsidRDefault="00370C79" w:rsidP="00370C79">
      <w:pPr>
        <w:spacing w:line="480" w:lineRule="auto"/>
        <w:ind w:left="720" w:hanging="720"/>
      </w:pPr>
      <w:r w:rsidRPr="00CF2194">
        <w:t xml:space="preserve">HHS. (1996). Summary of the HIPAA Privacy Rule. </w:t>
      </w:r>
      <w:hyperlink r:id="rId10" w:tgtFrame="_blank" w:history="1">
        <w:r w:rsidRPr="00CF2194">
          <w:rPr>
            <w:rStyle w:val="Hyperlink"/>
          </w:rPr>
          <w:t>https://www.hhs.gov/hipaa/for-professionals/privacy/laws-regulations/index.html</w:t>
        </w:r>
      </w:hyperlink>
      <w:r w:rsidRPr="00CF2194">
        <w:t>.</w:t>
      </w:r>
    </w:p>
    <w:p w14:paraId="0DAD0955" w14:textId="77777777" w:rsidR="00370C79" w:rsidRPr="00080AE1" w:rsidRDefault="00370C79" w:rsidP="00370C79">
      <w:pPr>
        <w:spacing w:line="480" w:lineRule="auto"/>
        <w:ind w:left="720" w:hanging="720"/>
      </w:pPr>
    </w:p>
    <w:p w14:paraId="626DFC46" w14:textId="77777777" w:rsidR="00370C79" w:rsidRDefault="00370C79" w:rsidP="00370C79">
      <w:pPr>
        <w:spacing w:line="480" w:lineRule="auto"/>
        <w:ind w:left="720" w:hanging="720"/>
      </w:pPr>
    </w:p>
    <w:p w14:paraId="3D20AC90" w14:textId="77777777" w:rsidR="00370C79" w:rsidRPr="00253A4E" w:rsidRDefault="00370C79" w:rsidP="00253A4E">
      <w:pPr>
        <w:spacing w:line="480" w:lineRule="auto"/>
        <w:ind w:left="720" w:hanging="720"/>
      </w:pPr>
    </w:p>
    <w:p w14:paraId="42DF2C75" w14:textId="77777777" w:rsidR="00253A4E" w:rsidRPr="005B7A8B" w:rsidRDefault="00253A4E" w:rsidP="00253A4E">
      <w:pPr>
        <w:spacing w:line="480" w:lineRule="auto"/>
        <w:ind w:firstLine="720"/>
        <w:jc w:val="center"/>
        <w:rPr>
          <w:b/>
          <w:bCs/>
        </w:rPr>
      </w:pPr>
    </w:p>
    <w:p w14:paraId="63213532" w14:textId="77777777" w:rsidR="002312D6" w:rsidRPr="005B7A8B" w:rsidRDefault="002312D6" w:rsidP="005B7A8B">
      <w:pPr>
        <w:spacing w:line="480" w:lineRule="auto"/>
      </w:pPr>
    </w:p>
    <w:sectPr w:rsidR="002312D6" w:rsidRPr="005B7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E2142"/>
    <w:multiLevelType w:val="multilevel"/>
    <w:tmpl w:val="147A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7289B"/>
    <w:multiLevelType w:val="multilevel"/>
    <w:tmpl w:val="F18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31715"/>
    <w:multiLevelType w:val="multilevel"/>
    <w:tmpl w:val="4BFE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67F5D"/>
    <w:multiLevelType w:val="multilevel"/>
    <w:tmpl w:val="F1B2C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15959">
    <w:abstractNumId w:val="3"/>
  </w:num>
  <w:num w:numId="2" w16cid:durableId="901209582">
    <w:abstractNumId w:val="0"/>
  </w:num>
  <w:num w:numId="3" w16cid:durableId="1822118373">
    <w:abstractNumId w:val="2"/>
  </w:num>
  <w:num w:numId="4" w16cid:durableId="643244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A8B"/>
    <w:rsid w:val="002312D6"/>
    <w:rsid w:val="00253A4E"/>
    <w:rsid w:val="00370C79"/>
    <w:rsid w:val="004229CB"/>
    <w:rsid w:val="005B7A8B"/>
    <w:rsid w:val="006725A1"/>
    <w:rsid w:val="00B320D0"/>
    <w:rsid w:val="00C03218"/>
    <w:rsid w:val="00C8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BFA114"/>
  <w15:chartTrackingRefBased/>
  <w15:docId w15:val="{EC37EB76-B64B-A548-9388-BA5D50DA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C79"/>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B7A8B"/>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B7A8B"/>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B7A8B"/>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B7A8B"/>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B7A8B"/>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B7A8B"/>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5B7A8B"/>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5B7A8B"/>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5B7A8B"/>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A8B"/>
    <w:rPr>
      <w:rFonts w:eastAsiaTheme="majorEastAsia" w:cstheme="majorBidi"/>
      <w:color w:val="272727" w:themeColor="text1" w:themeTint="D8"/>
    </w:rPr>
  </w:style>
  <w:style w:type="paragraph" w:styleId="Title">
    <w:name w:val="Title"/>
    <w:basedOn w:val="Normal"/>
    <w:next w:val="Normal"/>
    <w:link w:val="TitleChar"/>
    <w:uiPriority w:val="10"/>
    <w:qFormat/>
    <w:rsid w:val="005B7A8B"/>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B7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A8B"/>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B7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A8B"/>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5B7A8B"/>
    <w:rPr>
      <w:i/>
      <w:iCs/>
      <w:color w:val="404040" w:themeColor="text1" w:themeTint="BF"/>
    </w:rPr>
  </w:style>
  <w:style w:type="paragraph" w:styleId="ListParagraph">
    <w:name w:val="List Paragraph"/>
    <w:basedOn w:val="Normal"/>
    <w:uiPriority w:val="34"/>
    <w:qFormat/>
    <w:rsid w:val="005B7A8B"/>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5B7A8B"/>
    <w:rPr>
      <w:i/>
      <w:iCs/>
      <w:color w:val="0F4761" w:themeColor="accent1" w:themeShade="BF"/>
    </w:rPr>
  </w:style>
  <w:style w:type="paragraph" w:styleId="IntenseQuote">
    <w:name w:val="Intense Quote"/>
    <w:basedOn w:val="Normal"/>
    <w:next w:val="Normal"/>
    <w:link w:val="IntenseQuoteChar"/>
    <w:uiPriority w:val="30"/>
    <w:qFormat/>
    <w:rsid w:val="005B7A8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5B7A8B"/>
    <w:rPr>
      <w:i/>
      <w:iCs/>
      <w:color w:val="0F4761" w:themeColor="accent1" w:themeShade="BF"/>
    </w:rPr>
  </w:style>
  <w:style w:type="character" w:styleId="IntenseReference">
    <w:name w:val="Intense Reference"/>
    <w:basedOn w:val="DefaultParagraphFont"/>
    <w:uiPriority w:val="32"/>
    <w:qFormat/>
    <w:rsid w:val="005B7A8B"/>
    <w:rPr>
      <w:b/>
      <w:bCs/>
      <w:smallCaps/>
      <w:color w:val="0F4761" w:themeColor="accent1" w:themeShade="BF"/>
      <w:spacing w:val="5"/>
    </w:rPr>
  </w:style>
  <w:style w:type="character" w:styleId="Hyperlink">
    <w:name w:val="Hyperlink"/>
    <w:basedOn w:val="DefaultParagraphFont"/>
    <w:uiPriority w:val="99"/>
    <w:unhideWhenUsed/>
    <w:rsid w:val="00253A4E"/>
    <w:rPr>
      <w:color w:val="467886" w:themeColor="hyperlink"/>
      <w:u w:val="single"/>
    </w:rPr>
  </w:style>
  <w:style w:type="character" w:styleId="UnresolvedMention">
    <w:name w:val="Unresolved Mention"/>
    <w:basedOn w:val="DefaultParagraphFont"/>
    <w:uiPriority w:val="99"/>
    <w:semiHidden/>
    <w:unhideWhenUsed/>
    <w:rsid w:val="00253A4E"/>
    <w:rPr>
      <w:color w:val="605E5C"/>
      <w:shd w:val="clear" w:color="auto" w:fill="E1DFDD"/>
    </w:rPr>
  </w:style>
  <w:style w:type="character" w:customStyle="1" w:styleId="apple-converted-space">
    <w:name w:val="apple-converted-space"/>
    <w:basedOn w:val="DefaultParagraphFont"/>
    <w:rsid w:val="00370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847263">
      <w:bodyDiv w:val="1"/>
      <w:marLeft w:val="0"/>
      <w:marRight w:val="0"/>
      <w:marTop w:val="0"/>
      <w:marBottom w:val="0"/>
      <w:divBdr>
        <w:top w:val="none" w:sz="0" w:space="0" w:color="auto"/>
        <w:left w:val="none" w:sz="0" w:space="0" w:color="auto"/>
        <w:bottom w:val="none" w:sz="0" w:space="0" w:color="auto"/>
        <w:right w:val="none" w:sz="0" w:space="0" w:color="auto"/>
      </w:divBdr>
    </w:div>
    <w:div w:id="486287313">
      <w:bodyDiv w:val="1"/>
      <w:marLeft w:val="0"/>
      <w:marRight w:val="0"/>
      <w:marTop w:val="0"/>
      <w:marBottom w:val="0"/>
      <w:divBdr>
        <w:top w:val="none" w:sz="0" w:space="0" w:color="auto"/>
        <w:left w:val="none" w:sz="0" w:space="0" w:color="auto"/>
        <w:bottom w:val="none" w:sz="0" w:space="0" w:color="auto"/>
        <w:right w:val="none" w:sz="0" w:space="0" w:color="auto"/>
      </w:divBdr>
    </w:div>
    <w:div w:id="915473886">
      <w:bodyDiv w:val="1"/>
      <w:marLeft w:val="0"/>
      <w:marRight w:val="0"/>
      <w:marTop w:val="0"/>
      <w:marBottom w:val="0"/>
      <w:divBdr>
        <w:top w:val="none" w:sz="0" w:space="0" w:color="auto"/>
        <w:left w:val="none" w:sz="0" w:space="0" w:color="auto"/>
        <w:bottom w:val="none" w:sz="0" w:space="0" w:color="auto"/>
        <w:right w:val="none" w:sz="0" w:space="0" w:color="auto"/>
      </w:divBdr>
    </w:div>
    <w:div w:id="1591157331">
      <w:bodyDiv w:val="1"/>
      <w:marLeft w:val="0"/>
      <w:marRight w:val="0"/>
      <w:marTop w:val="0"/>
      <w:marBottom w:val="0"/>
      <w:divBdr>
        <w:top w:val="none" w:sz="0" w:space="0" w:color="auto"/>
        <w:left w:val="none" w:sz="0" w:space="0" w:color="auto"/>
        <w:bottom w:val="none" w:sz="0" w:space="0" w:color="auto"/>
        <w:right w:val="none" w:sz="0" w:space="0" w:color="auto"/>
      </w:divBdr>
      <w:divsChild>
        <w:div w:id="32274556">
          <w:marLeft w:val="0"/>
          <w:marRight w:val="0"/>
          <w:marTop w:val="0"/>
          <w:marBottom w:val="0"/>
          <w:divBdr>
            <w:top w:val="none" w:sz="0" w:space="0" w:color="auto"/>
            <w:left w:val="none" w:sz="0" w:space="0" w:color="auto"/>
            <w:bottom w:val="none" w:sz="0" w:space="0" w:color="auto"/>
            <w:right w:val="none" w:sz="0" w:space="0" w:color="auto"/>
          </w:divBdr>
          <w:divsChild>
            <w:div w:id="9791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5432">
      <w:bodyDiv w:val="1"/>
      <w:marLeft w:val="0"/>
      <w:marRight w:val="0"/>
      <w:marTop w:val="0"/>
      <w:marBottom w:val="0"/>
      <w:divBdr>
        <w:top w:val="none" w:sz="0" w:space="0" w:color="auto"/>
        <w:left w:val="none" w:sz="0" w:space="0" w:color="auto"/>
        <w:bottom w:val="none" w:sz="0" w:space="0" w:color="auto"/>
        <w:right w:val="none" w:sz="0" w:space="0" w:color="auto"/>
      </w:divBdr>
    </w:div>
    <w:div w:id="1850363226">
      <w:bodyDiv w:val="1"/>
      <w:marLeft w:val="0"/>
      <w:marRight w:val="0"/>
      <w:marTop w:val="0"/>
      <w:marBottom w:val="0"/>
      <w:divBdr>
        <w:top w:val="none" w:sz="0" w:space="0" w:color="auto"/>
        <w:left w:val="none" w:sz="0" w:space="0" w:color="auto"/>
        <w:bottom w:val="none" w:sz="0" w:space="0" w:color="auto"/>
        <w:right w:val="none" w:sz="0" w:space="0" w:color="auto"/>
      </w:divBdr>
    </w:div>
    <w:div w:id="195077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6028/NIST.SP.800-53r5" TargetMode="External"/><Relationship Id="rId3" Type="http://schemas.openxmlformats.org/officeDocument/2006/relationships/settings" Target="settings.xml"/><Relationship Id="rId7" Type="http://schemas.openxmlformats.org/officeDocument/2006/relationships/hyperlink" Target="https://data.europa.eu/eli/reg/2016/679/oj"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sa.gov/topics/cyber-threats-and-advisories/federal-information-security-modernization-act" TargetMode="External"/><Relationship Id="rId11" Type="http://schemas.openxmlformats.org/officeDocument/2006/relationships/fontTable" Target="fontTable.xml"/><Relationship Id="rId5" Type="http://schemas.openxmlformats.org/officeDocument/2006/relationships/hyperlink" Target="https://doi.org/10.2307/j.ctvjghvnn" TargetMode="External"/><Relationship Id="rId10" Type="http://schemas.openxmlformats.org/officeDocument/2006/relationships/hyperlink" Target="https://www.hhs.gov/hipaa/for-professionals/privacy/laws-regulations/index.html" TargetMode="External"/><Relationship Id="rId4" Type="http://schemas.openxmlformats.org/officeDocument/2006/relationships/webSettings" Target="webSettings.xml"/><Relationship Id="rId9" Type="http://schemas.openxmlformats.org/officeDocument/2006/relationships/hyperlink" Target="https://nvlpubs.nist.gov/nistpubs/CSWP/NIST.CSWP.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1</cp:revision>
  <dcterms:created xsi:type="dcterms:W3CDTF">2024-12-10T21:43:00Z</dcterms:created>
  <dcterms:modified xsi:type="dcterms:W3CDTF">2024-12-11T19:53:00Z</dcterms:modified>
</cp:coreProperties>
</file>