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E83FE" w14:textId="4A8530A3" w:rsidR="009E0617" w:rsidRDefault="009E0617" w:rsidP="00AC6E1E">
      <w:pPr>
        <w:spacing w:line="480" w:lineRule="auto"/>
        <w:jc w:val="center"/>
        <w:rPr>
          <w:b/>
          <w:bCs/>
        </w:rPr>
      </w:pPr>
      <w:r w:rsidRPr="009E0617">
        <w:rPr>
          <w:b/>
          <w:bCs/>
        </w:rPr>
        <w:t>Solutions Analysis</w:t>
      </w:r>
    </w:p>
    <w:p w14:paraId="259F7759" w14:textId="77777777" w:rsidR="00AC6E1E" w:rsidRPr="009E0617" w:rsidRDefault="00AC6E1E" w:rsidP="009E0617">
      <w:pPr>
        <w:spacing w:line="480" w:lineRule="auto"/>
      </w:pPr>
    </w:p>
    <w:p w14:paraId="12BB3FCA" w14:textId="51DE8D87" w:rsidR="00E73E68" w:rsidRDefault="009E0617" w:rsidP="00E73E68">
      <w:pPr>
        <w:spacing w:line="480" w:lineRule="auto"/>
        <w:jc w:val="center"/>
      </w:pPr>
      <w:r w:rsidRPr="009E0617">
        <w:rPr>
          <w:b/>
          <w:bCs/>
        </w:rPr>
        <w:t>Proposed Solution</w:t>
      </w:r>
    </w:p>
    <w:p w14:paraId="1E3A81B7" w14:textId="5E057736" w:rsidR="009E0617" w:rsidRDefault="009E0617" w:rsidP="00E73E68">
      <w:pPr>
        <w:spacing w:line="480" w:lineRule="auto"/>
        <w:ind w:firstLine="720"/>
      </w:pPr>
      <w:r w:rsidRPr="009E0617">
        <w:t>Conduct a comprehensive penetration test of Brown &amp; Haley's IT infrastructure, encompassing both the factory and office environments. This will involve a combination of automated vulnerability scanning and manual penetration testing techniques to simulate real-world cyberattacks.</w:t>
      </w:r>
    </w:p>
    <w:p w14:paraId="6276234C" w14:textId="77777777" w:rsidR="00AC6E1E" w:rsidRPr="009E0617" w:rsidRDefault="00AC6E1E" w:rsidP="009E0617">
      <w:pPr>
        <w:spacing w:line="480" w:lineRule="auto"/>
      </w:pPr>
    </w:p>
    <w:p w14:paraId="293FBA6C" w14:textId="5808D817" w:rsidR="00E73E68" w:rsidRDefault="009E0617" w:rsidP="00E73E68">
      <w:pPr>
        <w:spacing w:line="480" w:lineRule="auto"/>
        <w:jc w:val="center"/>
      </w:pPr>
      <w:r w:rsidRPr="009E0617">
        <w:rPr>
          <w:b/>
          <w:bCs/>
        </w:rPr>
        <w:t>Organizational Problems and Stakeholder Concerns</w:t>
      </w:r>
    </w:p>
    <w:p w14:paraId="458F062C" w14:textId="444DD5AE" w:rsidR="009E0617" w:rsidRDefault="009E0617" w:rsidP="00E73E68">
      <w:pPr>
        <w:spacing w:line="480" w:lineRule="auto"/>
        <w:ind w:firstLine="720"/>
      </w:pPr>
      <w:r w:rsidRPr="009E0617">
        <w:t xml:space="preserve">This solution directly addresses the identified weakness of outdated cybersecurity practices. It provides a detailed assessment of vulnerabilities, enabling the company to proactively address security gaps and reduce the risk of cyberattacks. This aligns with Dan </w:t>
      </w:r>
      <w:r w:rsidR="008A42D9" w:rsidRPr="009E0617">
        <w:t>Fabian’s concerns</w:t>
      </w:r>
      <w:r w:rsidRPr="009E0617">
        <w:t xml:space="preserve"> and management's willingness to invest in security improvements.</w:t>
      </w:r>
      <w:r w:rsidR="00D30E29">
        <w:t xml:space="preserve"> Upper management is worried that </w:t>
      </w:r>
      <w:r w:rsidR="00B551B3">
        <w:t xml:space="preserve">industrial </w:t>
      </w:r>
      <w:r w:rsidR="008A42D9" w:rsidRPr="008A42D9">
        <w:t>sabotage</w:t>
      </w:r>
      <w:r w:rsidR="008A42D9" w:rsidRPr="008A42D9">
        <w:t xml:space="preserve"> </w:t>
      </w:r>
      <w:r w:rsidR="00B551B3">
        <w:t>could cause order delays and cost the company</w:t>
      </w:r>
      <w:r w:rsidR="003C41CF">
        <w:t xml:space="preserve"> thousands of dollars per hour. </w:t>
      </w:r>
      <w:r w:rsidR="00847CB1">
        <w:t>Other stakeholders are concerned with potential costs of securing industrial equipment.</w:t>
      </w:r>
    </w:p>
    <w:p w14:paraId="303F29B1" w14:textId="77777777" w:rsidR="00AC6E1E" w:rsidRPr="009E0617" w:rsidRDefault="00AC6E1E" w:rsidP="009E0617">
      <w:pPr>
        <w:spacing w:line="480" w:lineRule="auto"/>
      </w:pPr>
    </w:p>
    <w:p w14:paraId="509109D8" w14:textId="40D34969" w:rsidR="00E73E68" w:rsidRDefault="009E0617" w:rsidP="00E73E68">
      <w:pPr>
        <w:spacing w:line="480" w:lineRule="auto"/>
        <w:jc w:val="center"/>
      </w:pPr>
      <w:r w:rsidRPr="009E0617">
        <w:rPr>
          <w:b/>
          <w:bCs/>
        </w:rPr>
        <w:t>Connection to IT Trends</w:t>
      </w:r>
    </w:p>
    <w:p w14:paraId="1AECA4C5" w14:textId="482E160A" w:rsidR="009E0617" w:rsidRDefault="009E0617" w:rsidP="00E73E68">
      <w:pPr>
        <w:spacing w:line="480" w:lineRule="auto"/>
        <w:ind w:firstLine="720"/>
      </w:pPr>
      <w:r w:rsidRPr="009E0617">
        <w:t>Penetration testing is a widely recognized and recommended security practice aligned with industry best practices and frameworks like NIST Cybersecurity Framework and ISO 27001</w:t>
      </w:r>
      <w:r w:rsidR="004525B8">
        <w:t>(</w:t>
      </w:r>
      <w:r w:rsidR="0004543B">
        <w:t>NIST, 2024:</w:t>
      </w:r>
      <w:r w:rsidR="00777641">
        <w:t xml:space="preserve"> </w:t>
      </w:r>
      <w:r w:rsidR="0004543B">
        <w:t>ISO, 2022</w:t>
      </w:r>
      <w:r w:rsidR="004525B8">
        <w:t>)</w:t>
      </w:r>
      <w:r w:rsidRPr="009E0617">
        <w:t xml:space="preserve">. The increasing prevalence of cyberattacks, </w:t>
      </w:r>
      <w:r w:rsidRPr="009E0617">
        <w:lastRenderedPageBreak/>
        <w:t>particularly targeting manufacturing and supply chains, makes this solution highly relevant in the current global IT landscape.</w:t>
      </w:r>
    </w:p>
    <w:p w14:paraId="67DBA603" w14:textId="77777777" w:rsidR="00AC6E1E" w:rsidRPr="009E0617" w:rsidRDefault="00AC6E1E" w:rsidP="009E0617">
      <w:pPr>
        <w:spacing w:line="480" w:lineRule="auto"/>
      </w:pPr>
    </w:p>
    <w:p w14:paraId="7CF45C4B" w14:textId="337D75A1" w:rsidR="004050BE" w:rsidRDefault="009E0617" w:rsidP="004050BE">
      <w:pPr>
        <w:spacing w:line="480" w:lineRule="auto"/>
        <w:jc w:val="center"/>
      </w:pPr>
      <w:r w:rsidRPr="009E0617">
        <w:rPr>
          <w:b/>
          <w:bCs/>
        </w:rPr>
        <w:t>Industry Alignment</w:t>
      </w:r>
    </w:p>
    <w:p w14:paraId="26944B30" w14:textId="52F0DA52" w:rsidR="009E0617" w:rsidRDefault="009E0617" w:rsidP="004050BE">
      <w:pPr>
        <w:spacing w:line="480" w:lineRule="auto"/>
        <w:ind w:firstLine="720"/>
      </w:pPr>
      <w:r w:rsidRPr="009E0617">
        <w:t>This project keeps Brown &amp; Haley in line with industry standards by proactively addressing cybersecurity risks, which is crucial for maintaining competitiveness and customer trust in today's business environment.</w:t>
      </w:r>
    </w:p>
    <w:p w14:paraId="5129FD8D" w14:textId="77777777" w:rsidR="004050BE" w:rsidRPr="00AC6E1E" w:rsidRDefault="004050BE" w:rsidP="009E0617">
      <w:pPr>
        <w:spacing w:line="480" w:lineRule="auto"/>
      </w:pPr>
    </w:p>
    <w:p w14:paraId="77311D53" w14:textId="5D8C8E50" w:rsidR="009E0617" w:rsidRPr="009E0617" w:rsidRDefault="009E0617" w:rsidP="004050BE">
      <w:pPr>
        <w:spacing w:line="480" w:lineRule="auto"/>
        <w:jc w:val="center"/>
      </w:pPr>
      <w:r w:rsidRPr="009E0617">
        <w:rPr>
          <w:b/>
          <w:bCs/>
        </w:rPr>
        <w:t>Proposed Model/Architecture</w:t>
      </w:r>
    </w:p>
    <w:p w14:paraId="323EE01B" w14:textId="77777777" w:rsidR="009E0617" w:rsidRPr="009E0617" w:rsidRDefault="009E0617" w:rsidP="009E0617">
      <w:pPr>
        <w:numPr>
          <w:ilvl w:val="0"/>
          <w:numId w:val="1"/>
        </w:numPr>
        <w:spacing w:line="480" w:lineRule="auto"/>
      </w:pPr>
      <w:r w:rsidRPr="009E0617">
        <w:rPr>
          <w:b/>
          <w:bCs/>
        </w:rPr>
        <w:t>Planning and Scoping:</w:t>
      </w:r>
      <w:r w:rsidRPr="009E0617">
        <w:t> Define the scope of the test, including target systems and testing methodologies.</w:t>
      </w:r>
    </w:p>
    <w:p w14:paraId="31283551" w14:textId="77777777" w:rsidR="009E0617" w:rsidRPr="009E0617" w:rsidRDefault="009E0617" w:rsidP="009E0617">
      <w:pPr>
        <w:numPr>
          <w:ilvl w:val="0"/>
          <w:numId w:val="1"/>
        </w:numPr>
        <w:spacing w:line="480" w:lineRule="auto"/>
      </w:pPr>
      <w:r w:rsidRPr="009E0617">
        <w:rPr>
          <w:b/>
          <w:bCs/>
        </w:rPr>
        <w:t>Vulnerability Scanning:</w:t>
      </w:r>
      <w:r w:rsidRPr="009E0617">
        <w:t> Automated tools will scan for known vulnerabilities in systems and applications.</w:t>
      </w:r>
    </w:p>
    <w:p w14:paraId="6E921F2B" w14:textId="77777777" w:rsidR="009E0617" w:rsidRPr="009E0617" w:rsidRDefault="009E0617" w:rsidP="009E0617">
      <w:pPr>
        <w:numPr>
          <w:ilvl w:val="0"/>
          <w:numId w:val="1"/>
        </w:numPr>
        <w:spacing w:line="480" w:lineRule="auto"/>
      </w:pPr>
      <w:r w:rsidRPr="009E0617">
        <w:rPr>
          <w:b/>
          <w:bCs/>
        </w:rPr>
        <w:t>Penetration Testing:</w:t>
      </w:r>
      <w:r w:rsidRPr="009E0617">
        <w:t> Manual techniques will attempt to exploit identified vulnerabilities to simulate real-world attacks.</w:t>
      </w:r>
    </w:p>
    <w:p w14:paraId="76C29E0B" w14:textId="77777777" w:rsidR="009E0617" w:rsidRPr="009E0617" w:rsidRDefault="009E0617" w:rsidP="009E0617">
      <w:pPr>
        <w:numPr>
          <w:ilvl w:val="0"/>
          <w:numId w:val="1"/>
        </w:numPr>
        <w:spacing w:line="480" w:lineRule="auto"/>
      </w:pPr>
      <w:r w:rsidRPr="009E0617">
        <w:rPr>
          <w:b/>
          <w:bCs/>
        </w:rPr>
        <w:t>Reporting and Remediation:</w:t>
      </w:r>
      <w:r w:rsidRPr="009E0617">
        <w:t> A detailed report will be generated, outlining identified vulnerabilities and recommendations for remediation.</w:t>
      </w:r>
    </w:p>
    <w:p w14:paraId="11001B48" w14:textId="77777777" w:rsidR="009E0617" w:rsidRDefault="009E0617" w:rsidP="009E0617">
      <w:pPr>
        <w:spacing w:line="480" w:lineRule="auto"/>
        <w:rPr>
          <w:b/>
          <w:bCs/>
        </w:rPr>
      </w:pPr>
    </w:p>
    <w:p w14:paraId="070278B2" w14:textId="29AFEB34" w:rsidR="00994D0B" w:rsidRDefault="009E0617" w:rsidP="00994D0B">
      <w:pPr>
        <w:spacing w:line="480" w:lineRule="auto"/>
        <w:jc w:val="center"/>
      </w:pPr>
      <w:r w:rsidRPr="009E0617">
        <w:rPr>
          <w:b/>
          <w:bCs/>
        </w:rPr>
        <w:t>Recommended Technology</w:t>
      </w:r>
    </w:p>
    <w:p w14:paraId="2335FBB7" w14:textId="3CAA01DB" w:rsidR="009E0617" w:rsidRPr="009E0617" w:rsidRDefault="009E0617" w:rsidP="0032431B">
      <w:pPr>
        <w:spacing w:line="480" w:lineRule="auto"/>
        <w:ind w:firstLine="720"/>
      </w:pPr>
      <w:r w:rsidRPr="009E0617">
        <w:t>Tools like Nessus,</w:t>
      </w:r>
      <w:r w:rsidR="000049C9">
        <w:t xml:space="preserve"> Nmap,</w:t>
      </w:r>
      <w:r w:rsidRPr="009E0617">
        <w:t xml:space="preserve"> </w:t>
      </w:r>
      <w:r w:rsidR="00F55837">
        <w:t xml:space="preserve">and </w:t>
      </w:r>
      <w:r w:rsidRPr="009E0617">
        <w:t>Metasploit</w:t>
      </w:r>
      <w:r w:rsidR="00F55837">
        <w:t xml:space="preserve"> </w:t>
      </w:r>
      <w:r w:rsidRPr="009E0617">
        <w:t>will be utilized for vulnerability scanning and penetration testing.</w:t>
      </w:r>
      <w:r w:rsidR="0032431B">
        <w:t xml:space="preserve"> </w:t>
      </w:r>
      <w:r w:rsidR="00F37BDF">
        <w:t>NMAP is</w:t>
      </w:r>
      <w:r w:rsidR="00AB32E8">
        <w:t xml:space="preserve"> an industry standard software for scanning networks for open </w:t>
      </w:r>
      <w:r w:rsidR="003A2148">
        <w:t>ports and</w:t>
      </w:r>
      <w:r w:rsidR="00AB32E8">
        <w:t xml:space="preserve"> generates details </w:t>
      </w:r>
      <w:r w:rsidR="00BC3B9B">
        <w:t xml:space="preserve">about possible OS versions and </w:t>
      </w:r>
      <w:r w:rsidR="00730E7E">
        <w:t xml:space="preserve">other details about </w:t>
      </w:r>
      <w:r w:rsidR="00730E7E">
        <w:lastRenderedPageBreak/>
        <w:t>possible services running on each port</w:t>
      </w:r>
      <w:r w:rsidR="003A2148">
        <w:t xml:space="preserve"> (NMAP, 2024)</w:t>
      </w:r>
      <w:r w:rsidR="00730E7E">
        <w:t>.</w:t>
      </w:r>
      <w:r w:rsidR="00B2444A">
        <w:t xml:space="preserve"> </w:t>
      </w:r>
      <w:r w:rsidR="006F011F">
        <w:t>Metasploit</w:t>
      </w:r>
      <w:r w:rsidR="00B2444A">
        <w:t xml:space="preserve"> is </w:t>
      </w:r>
      <w:r w:rsidR="00C675B4">
        <w:t xml:space="preserve">versatile, </w:t>
      </w:r>
      <w:r w:rsidR="00B2444A">
        <w:t xml:space="preserve">terminal based software </w:t>
      </w:r>
      <w:r w:rsidR="00CF0673">
        <w:t>that is useful for fin</w:t>
      </w:r>
      <w:r w:rsidR="00C675B4">
        <w:t>d</w:t>
      </w:r>
      <w:r w:rsidR="00CF0673">
        <w:t xml:space="preserve">ing </w:t>
      </w:r>
      <w:r w:rsidR="00C675B4">
        <w:t>vulnerabilities</w:t>
      </w:r>
      <w:r w:rsidR="00CF0673">
        <w:t xml:space="preserve"> and </w:t>
      </w:r>
      <w:r w:rsidR="00C675B4">
        <w:t>exploiting</w:t>
      </w:r>
      <w:r w:rsidR="00CF0673">
        <w:t xml:space="preserve"> them via script</w:t>
      </w:r>
      <w:r w:rsidR="006F011F">
        <w:t>s</w:t>
      </w:r>
      <w:r w:rsidR="00F55837">
        <w:t xml:space="preserve"> (Rapid7, 2024)</w:t>
      </w:r>
      <w:r w:rsidR="006F011F">
        <w:t>.</w:t>
      </w:r>
      <w:r w:rsidR="00D1218F">
        <w:t xml:space="preserve"> Nessus is </w:t>
      </w:r>
      <w:r w:rsidR="000554F0">
        <w:t xml:space="preserve">an industry leading </w:t>
      </w:r>
      <w:r w:rsidR="00463ABD">
        <w:t>v</w:t>
      </w:r>
      <w:r w:rsidR="000554F0">
        <w:t>ulnerability scanner implementing multiple tools all in one</w:t>
      </w:r>
      <w:r w:rsidR="007B7515">
        <w:t xml:space="preserve"> (Tenable, 2024)</w:t>
      </w:r>
      <w:r w:rsidR="000554F0">
        <w:t>.</w:t>
      </w:r>
      <w:r w:rsidR="00C675B4">
        <w:t xml:space="preserve"> </w:t>
      </w:r>
    </w:p>
    <w:p w14:paraId="4D7CF4B6" w14:textId="77777777" w:rsidR="009E0617" w:rsidRDefault="009E0617" w:rsidP="009E0617">
      <w:pPr>
        <w:spacing w:line="480" w:lineRule="auto"/>
        <w:rPr>
          <w:b/>
          <w:bCs/>
        </w:rPr>
      </w:pPr>
    </w:p>
    <w:p w14:paraId="707147B1" w14:textId="38BE9EFE" w:rsidR="00994D0B" w:rsidRDefault="009E0617" w:rsidP="00994D0B">
      <w:pPr>
        <w:spacing w:line="480" w:lineRule="auto"/>
        <w:jc w:val="center"/>
      </w:pPr>
      <w:r w:rsidRPr="009E0617">
        <w:rPr>
          <w:b/>
          <w:bCs/>
        </w:rPr>
        <w:t>Supporting IT Principles</w:t>
      </w:r>
    </w:p>
    <w:p w14:paraId="69066EB9" w14:textId="35493760" w:rsidR="009E0617" w:rsidRPr="009E0617" w:rsidRDefault="009E0617" w:rsidP="00994D0B">
      <w:pPr>
        <w:spacing w:line="480" w:lineRule="auto"/>
        <w:ind w:firstLine="720"/>
      </w:pPr>
      <w:r w:rsidRPr="009E0617">
        <w:t>The solution is grounded in principles of confidentiality, integrity, and availability (CIA triad), which are fundamental to information security</w:t>
      </w:r>
      <w:r w:rsidR="006344CE">
        <w:t xml:space="preserve"> (NIST, 2020)</w:t>
      </w:r>
      <w:r w:rsidRPr="009E0617">
        <w:t>. It also adheres to the principle of least privilege, ensuring that access to systems and data is restricted to authorized personnel only.</w:t>
      </w:r>
    </w:p>
    <w:p w14:paraId="7A004E0A" w14:textId="77777777" w:rsidR="009E0617" w:rsidRDefault="009E0617" w:rsidP="009E0617">
      <w:pPr>
        <w:spacing w:line="480" w:lineRule="auto"/>
        <w:rPr>
          <w:b/>
          <w:bCs/>
        </w:rPr>
      </w:pPr>
    </w:p>
    <w:p w14:paraId="3371732B" w14:textId="3FA1FD08" w:rsidR="00994D0B" w:rsidRDefault="009E0617" w:rsidP="00994D0B">
      <w:pPr>
        <w:spacing w:line="480" w:lineRule="auto"/>
        <w:jc w:val="center"/>
      </w:pPr>
      <w:r w:rsidRPr="009E0617">
        <w:rPr>
          <w:b/>
          <w:bCs/>
        </w:rPr>
        <w:t>Key Legal, Ethical, and Policy Issues</w:t>
      </w:r>
    </w:p>
    <w:p w14:paraId="4A7DCDE1" w14:textId="67DFD187" w:rsidR="009E0617" w:rsidRPr="009E0617" w:rsidRDefault="009E0617" w:rsidP="008F680E">
      <w:pPr>
        <w:spacing w:line="480" w:lineRule="auto"/>
        <w:ind w:firstLine="720"/>
      </w:pPr>
      <w:r w:rsidRPr="009E0617">
        <w:t>Obtaining written authorization for the penetration test is crucial. All testing activities must be conducted ethically and within legal boundaries. The findings of the penetration test must be handled confidentially and shared only with authorized personnel.</w:t>
      </w:r>
      <w:r w:rsidR="008F680E">
        <w:t xml:space="preserve"> </w:t>
      </w:r>
      <w:r w:rsidRPr="009E0617">
        <w:t>Potential risks include accidental disruption of services during testing and the possibility of undiscovered vulnerabilities. These can be minimized by careful planning, thorough testing in a controlled environment, and close communication with the IT team.</w:t>
      </w:r>
    </w:p>
    <w:p w14:paraId="7176A790" w14:textId="77777777" w:rsidR="009E0617" w:rsidRDefault="009E0617" w:rsidP="009E0617">
      <w:pPr>
        <w:spacing w:line="480" w:lineRule="auto"/>
        <w:rPr>
          <w:b/>
          <w:bCs/>
        </w:rPr>
      </w:pPr>
    </w:p>
    <w:p w14:paraId="41A89F00" w14:textId="77777777" w:rsidR="00C110EA" w:rsidRDefault="00C110EA" w:rsidP="009E0617">
      <w:pPr>
        <w:spacing w:line="480" w:lineRule="auto"/>
        <w:rPr>
          <w:b/>
          <w:bCs/>
        </w:rPr>
      </w:pPr>
    </w:p>
    <w:p w14:paraId="01600698" w14:textId="77777777" w:rsidR="00C110EA" w:rsidRDefault="00C110EA" w:rsidP="009E0617">
      <w:pPr>
        <w:spacing w:line="480" w:lineRule="auto"/>
        <w:rPr>
          <w:b/>
          <w:bCs/>
        </w:rPr>
      </w:pPr>
    </w:p>
    <w:p w14:paraId="2DB48971" w14:textId="77777777" w:rsidR="00C110EA" w:rsidRDefault="00C110EA" w:rsidP="009E0617">
      <w:pPr>
        <w:spacing w:line="480" w:lineRule="auto"/>
        <w:rPr>
          <w:b/>
          <w:bCs/>
        </w:rPr>
      </w:pPr>
    </w:p>
    <w:p w14:paraId="0F1FDF48" w14:textId="2E0D7A51" w:rsidR="00D33B7A" w:rsidRDefault="009E0617" w:rsidP="001055D1">
      <w:pPr>
        <w:spacing w:line="480" w:lineRule="auto"/>
        <w:jc w:val="center"/>
        <w:rPr>
          <w:b/>
          <w:bCs/>
        </w:rPr>
      </w:pPr>
      <w:r w:rsidRPr="009E0617">
        <w:rPr>
          <w:b/>
          <w:bCs/>
        </w:rPr>
        <w:lastRenderedPageBreak/>
        <w:t>Needs and Risk Analysis</w:t>
      </w:r>
    </w:p>
    <w:p w14:paraId="605B17F4" w14:textId="77777777" w:rsidR="00D4417F" w:rsidRPr="009E0617" w:rsidRDefault="00D4417F" w:rsidP="001055D1">
      <w:pPr>
        <w:spacing w:line="480" w:lineRule="auto"/>
        <w:jc w:val="center"/>
        <w:rPr>
          <w:b/>
          <w:bCs/>
        </w:rPr>
      </w:pPr>
    </w:p>
    <w:p w14:paraId="33C40C2C" w14:textId="54C574A4" w:rsidR="009E0617" w:rsidRPr="009E0617" w:rsidRDefault="009E0617" w:rsidP="00D33B7A">
      <w:pPr>
        <w:spacing w:line="480" w:lineRule="auto"/>
        <w:jc w:val="center"/>
      </w:pPr>
      <w:r w:rsidRPr="009E0617">
        <w:rPr>
          <w:b/>
          <w:bCs/>
        </w:rPr>
        <w:t>Meeting Organizational and Stakeholder Needs</w:t>
      </w:r>
    </w:p>
    <w:p w14:paraId="62884EC4" w14:textId="10784F9F" w:rsidR="00D4417F" w:rsidRDefault="009E0617" w:rsidP="0040516A">
      <w:pPr>
        <w:spacing w:line="480" w:lineRule="auto"/>
        <w:ind w:firstLine="720"/>
      </w:pPr>
      <w:r w:rsidRPr="009E0617">
        <w:t>This solution directly addresses Brown &amp; Haley's need for improved cybersecurity by providing a comprehensive assessment of its IT infrastructure's vulnerabilities. It empowers the organization to make informed decisions about security investments and prioritize remediation efforts. This aligns with Dan Fabian’s goal of strengthening the company's security posture and fulfills management's commitment to protecting company assets and reputation.</w:t>
      </w:r>
    </w:p>
    <w:p w14:paraId="3A424238" w14:textId="77777777" w:rsidR="000D2113" w:rsidRPr="009E0617" w:rsidRDefault="000D2113" w:rsidP="00607EDF">
      <w:pPr>
        <w:spacing w:line="480" w:lineRule="auto"/>
        <w:ind w:firstLine="720"/>
      </w:pPr>
    </w:p>
    <w:p w14:paraId="293F0FAA" w14:textId="0B3C0954" w:rsidR="009E0617" w:rsidRPr="009E0617" w:rsidRDefault="009E0617" w:rsidP="009E0617">
      <w:r>
        <w:rPr>
          <w:b/>
          <w:bCs/>
        </w:rPr>
        <w:t>Risk Matrix</w:t>
      </w:r>
    </w:p>
    <w:tbl>
      <w:tblPr>
        <w:tblStyle w:val="PlainTable2"/>
        <w:tblW w:w="0" w:type="auto"/>
        <w:tblLook w:val="04A0" w:firstRow="1" w:lastRow="0" w:firstColumn="1" w:lastColumn="0" w:noHBand="0" w:noVBand="1"/>
      </w:tblPr>
      <w:tblGrid>
        <w:gridCol w:w="2560"/>
        <w:gridCol w:w="1350"/>
        <w:gridCol w:w="1063"/>
        <w:gridCol w:w="4387"/>
      </w:tblGrid>
      <w:tr w:rsidR="009E0617" w:rsidRPr="009E0617" w14:paraId="0827F889" w14:textId="77777777" w:rsidTr="009E0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8A9E6" w14:textId="77777777" w:rsidR="009E0617" w:rsidRPr="009E0617" w:rsidRDefault="009E0617" w:rsidP="009E0617">
            <w:r w:rsidRPr="009E0617">
              <w:t>Risk</w:t>
            </w:r>
          </w:p>
        </w:tc>
        <w:tc>
          <w:tcPr>
            <w:tcW w:w="0" w:type="auto"/>
            <w:hideMark/>
          </w:tcPr>
          <w:p w14:paraId="45AAD5CA" w14:textId="77777777" w:rsidR="009E0617" w:rsidRPr="009E0617" w:rsidRDefault="009E0617" w:rsidP="009E0617">
            <w:pPr>
              <w:cnfStyle w:val="100000000000" w:firstRow="1" w:lastRow="0" w:firstColumn="0" w:lastColumn="0" w:oddVBand="0" w:evenVBand="0" w:oddHBand="0" w:evenHBand="0" w:firstRowFirstColumn="0" w:firstRowLastColumn="0" w:lastRowFirstColumn="0" w:lastRowLastColumn="0"/>
            </w:pPr>
            <w:r w:rsidRPr="009E0617">
              <w:t>Likelihood</w:t>
            </w:r>
          </w:p>
        </w:tc>
        <w:tc>
          <w:tcPr>
            <w:tcW w:w="0" w:type="auto"/>
            <w:hideMark/>
          </w:tcPr>
          <w:p w14:paraId="45D87C2D" w14:textId="77777777" w:rsidR="009E0617" w:rsidRPr="009E0617" w:rsidRDefault="009E0617" w:rsidP="009E0617">
            <w:pPr>
              <w:cnfStyle w:val="100000000000" w:firstRow="1" w:lastRow="0" w:firstColumn="0" w:lastColumn="0" w:oddVBand="0" w:evenVBand="0" w:oddHBand="0" w:evenHBand="0" w:firstRowFirstColumn="0" w:firstRowLastColumn="0" w:lastRowFirstColumn="0" w:lastRowLastColumn="0"/>
            </w:pPr>
            <w:r w:rsidRPr="009E0617">
              <w:t>Impact</w:t>
            </w:r>
          </w:p>
        </w:tc>
        <w:tc>
          <w:tcPr>
            <w:tcW w:w="0" w:type="auto"/>
            <w:hideMark/>
          </w:tcPr>
          <w:p w14:paraId="1D20A35D" w14:textId="77777777" w:rsidR="009E0617" w:rsidRPr="009E0617" w:rsidRDefault="009E0617" w:rsidP="009E0617">
            <w:pPr>
              <w:cnfStyle w:val="100000000000" w:firstRow="1" w:lastRow="0" w:firstColumn="0" w:lastColumn="0" w:oddVBand="0" w:evenVBand="0" w:oddHBand="0" w:evenHBand="0" w:firstRowFirstColumn="0" w:firstRowLastColumn="0" w:lastRowFirstColumn="0" w:lastRowLastColumn="0"/>
            </w:pPr>
            <w:r w:rsidRPr="009E0617">
              <w:t>Mitigation Strategy</w:t>
            </w:r>
          </w:p>
        </w:tc>
      </w:tr>
      <w:tr w:rsidR="009E0617" w:rsidRPr="009E0617" w14:paraId="4E2D9B72" w14:textId="77777777" w:rsidTr="009E0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659C5" w14:textId="77777777" w:rsidR="009E0617" w:rsidRPr="009E0617" w:rsidRDefault="009E0617" w:rsidP="009E0617">
            <w:r w:rsidRPr="009E0617">
              <w:t>Service Disruption</w:t>
            </w:r>
          </w:p>
        </w:tc>
        <w:tc>
          <w:tcPr>
            <w:tcW w:w="0" w:type="auto"/>
            <w:hideMark/>
          </w:tcPr>
          <w:p w14:paraId="575E7E4E"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rPr>
                <w:color w:val="D6D300"/>
              </w:rPr>
            </w:pPr>
            <w:r w:rsidRPr="009E0617">
              <w:rPr>
                <w:color w:val="D6D300"/>
              </w:rPr>
              <w:t>Low</w:t>
            </w:r>
          </w:p>
        </w:tc>
        <w:tc>
          <w:tcPr>
            <w:tcW w:w="0" w:type="auto"/>
            <w:hideMark/>
          </w:tcPr>
          <w:p w14:paraId="5F2068D3"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rPr>
                <w:color w:val="92D050"/>
              </w:rPr>
              <w:t>Medium</w:t>
            </w:r>
          </w:p>
        </w:tc>
        <w:tc>
          <w:tcPr>
            <w:tcW w:w="0" w:type="auto"/>
            <w:hideMark/>
          </w:tcPr>
          <w:p w14:paraId="796260EF"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t>Conduct testing during off-peak hours, have rollback plans</w:t>
            </w:r>
          </w:p>
        </w:tc>
      </w:tr>
      <w:tr w:rsidR="009E0617" w:rsidRPr="009E0617" w14:paraId="79018ECC" w14:textId="77777777" w:rsidTr="009E0617">
        <w:tc>
          <w:tcPr>
            <w:cnfStyle w:val="001000000000" w:firstRow="0" w:lastRow="0" w:firstColumn="1" w:lastColumn="0" w:oddVBand="0" w:evenVBand="0" w:oddHBand="0" w:evenHBand="0" w:firstRowFirstColumn="0" w:firstRowLastColumn="0" w:lastRowFirstColumn="0" w:lastRowLastColumn="0"/>
            <w:tcW w:w="0" w:type="auto"/>
            <w:hideMark/>
          </w:tcPr>
          <w:p w14:paraId="46B15089" w14:textId="77777777" w:rsidR="009E0617" w:rsidRPr="009E0617" w:rsidRDefault="009E0617" w:rsidP="009E0617">
            <w:r w:rsidRPr="009E0617">
              <w:t>Undiscovered Vulnerabilities</w:t>
            </w:r>
          </w:p>
        </w:tc>
        <w:tc>
          <w:tcPr>
            <w:tcW w:w="0" w:type="auto"/>
            <w:hideMark/>
          </w:tcPr>
          <w:p w14:paraId="1B6B75BB" w14:textId="77777777" w:rsidR="009E0617" w:rsidRPr="009E0617" w:rsidRDefault="009E0617" w:rsidP="009E0617">
            <w:pPr>
              <w:cnfStyle w:val="000000000000" w:firstRow="0" w:lastRow="0" w:firstColumn="0" w:lastColumn="0" w:oddVBand="0" w:evenVBand="0" w:oddHBand="0" w:evenHBand="0" w:firstRowFirstColumn="0" w:firstRowLastColumn="0" w:lastRowFirstColumn="0" w:lastRowLastColumn="0"/>
            </w:pPr>
            <w:r w:rsidRPr="009E0617">
              <w:rPr>
                <w:color w:val="92D050"/>
              </w:rPr>
              <w:t>Medium</w:t>
            </w:r>
          </w:p>
        </w:tc>
        <w:tc>
          <w:tcPr>
            <w:tcW w:w="0" w:type="auto"/>
            <w:hideMark/>
          </w:tcPr>
          <w:p w14:paraId="0490583C" w14:textId="77777777" w:rsidR="009E0617" w:rsidRPr="009E0617" w:rsidRDefault="009E0617" w:rsidP="009E0617">
            <w:pPr>
              <w:cnfStyle w:val="000000000000" w:firstRow="0" w:lastRow="0" w:firstColumn="0" w:lastColumn="0" w:oddVBand="0" w:evenVBand="0" w:oddHBand="0" w:evenHBand="0" w:firstRowFirstColumn="0" w:firstRowLastColumn="0" w:lastRowFirstColumn="0" w:lastRowLastColumn="0"/>
            </w:pPr>
            <w:r w:rsidRPr="009E0617">
              <w:rPr>
                <w:color w:val="FF0000"/>
              </w:rPr>
              <w:t>High</w:t>
            </w:r>
          </w:p>
        </w:tc>
        <w:tc>
          <w:tcPr>
            <w:tcW w:w="0" w:type="auto"/>
            <w:hideMark/>
          </w:tcPr>
          <w:p w14:paraId="3095AC59" w14:textId="77777777" w:rsidR="009E0617" w:rsidRPr="009E0617" w:rsidRDefault="009E0617" w:rsidP="009E0617">
            <w:pPr>
              <w:cnfStyle w:val="000000000000" w:firstRow="0" w:lastRow="0" w:firstColumn="0" w:lastColumn="0" w:oddVBand="0" w:evenVBand="0" w:oddHBand="0" w:evenHBand="0" w:firstRowFirstColumn="0" w:firstRowLastColumn="0" w:lastRowFirstColumn="0" w:lastRowLastColumn="0"/>
            </w:pPr>
            <w:r w:rsidRPr="009E0617">
              <w:t>Utilize multiple testing tools and techniques, retest after remediation</w:t>
            </w:r>
          </w:p>
        </w:tc>
      </w:tr>
      <w:tr w:rsidR="009E0617" w:rsidRPr="009E0617" w14:paraId="73AA367D" w14:textId="77777777" w:rsidTr="009E0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0185A" w14:textId="77777777" w:rsidR="009E0617" w:rsidRPr="009E0617" w:rsidRDefault="009E0617" w:rsidP="009E0617">
            <w:r w:rsidRPr="009E0617">
              <w:t>Data Breach during Testing</w:t>
            </w:r>
          </w:p>
        </w:tc>
        <w:tc>
          <w:tcPr>
            <w:tcW w:w="0" w:type="auto"/>
            <w:hideMark/>
          </w:tcPr>
          <w:p w14:paraId="09431249"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rPr>
                <w:color w:val="D6D300"/>
              </w:rPr>
              <w:t>Low</w:t>
            </w:r>
          </w:p>
        </w:tc>
        <w:tc>
          <w:tcPr>
            <w:tcW w:w="0" w:type="auto"/>
            <w:hideMark/>
          </w:tcPr>
          <w:p w14:paraId="6D2128F9"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rPr>
                <w:color w:val="FF0000"/>
              </w:rPr>
              <w:t>High</w:t>
            </w:r>
          </w:p>
        </w:tc>
        <w:tc>
          <w:tcPr>
            <w:tcW w:w="0" w:type="auto"/>
            <w:hideMark/>
          </w:tcPr>
          <w:p w14:paraId="2C2DC9FA"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t>Strict data handling procedures, anonymize sensitive data</w:t>
            </w:r>
          </w:p>
        </w:tc>
      </w:tr>
      <w:tr w:rsidR="009E0617" w:rsidRPr="009E0617" w14:paraId="04A6A563" w14:textId="77777777" w:rsidTr="009E0617">
        <w:tc>
          <w:tcPr>
            <w:cnfStyle w:val="001000000000" w:firstRow="0" w:lastRow="0" w:firstColumn="1" w:lastColumn="0" w:oddVBand="0" w:evenVBand="0" w:oddHBand="0" w:evenHBand="0" w:firstRowFirstColumn="0" w:firstRowLastColumn="0" w:lastRowFirstColumn="0" w:lastRowLastColumn="0"/>
            <w:tcW w:w="0" w:type="auto"/>
            <w:hideMark/>
          </w:tcPr>
          <w:p w14:paraId="63F93BDD" w14:textId="77777777" w:rsidR="009E0617" w:rsidRPr="009E0617" w:rsidRDefault="009E0617" w:rsidP="009E0617">
            <w:r w:rsidRPr="009E0617">
              <w:t>False Positives</w:t>
            </w:r>
          </w:p>
        </w:tc>
        <w:tc>
          <w:tcPr>
            <w:tcW w:w="0" w:type="auto"/>
            <w:hideMark/>
          </w:tcPr>
          <w:p w14:paraId="6B7A810C" w14:textId="77777777" w:rsidR="009E0617" w:rsidRPr="009E0617" w:rsidRDefault="009E0617" w:rsidP="009E0617">
            <w:pPr>
              <w:cnfStyle w:val="000000000000" w:firstRow="0" w:lastRow="0" w:firstColumn="0" w:lastColumn="0" w:oddVBand="0" w:evenVBand="0" w:oddHBand="0" w:evenHBand="0" w:firstRowFirstColumn="0" w:firstRowLastColumn="0" w:lastRowFirstColumn="0" w:lastRowLastColumn="0"/>
            </w:pPr>
            <w:r w:rsidRPr="009E0617">
              <w:rPr>
                <w:color w:val="92D050"/>
              </w:rPr>
              <w:t>Medium</w:t>
            </w:r>
          </w:p>
        </w:tc>
        <w:tc>
          <w:tcPr>
            <w:tcW w:w="0" w:type="auto"/>
            <w:hideMark/>
          </w:tcPr>
          <w:p w14:paraId="55B59B8D" w14:textId="77777777" w:rsidR="009E0617" w:rsidRPr="009E0617" w:rsidRDefault="009E0617" w:rsidP="009E0617">
            <w:pPr>
              <w:cnfStyle w:val="000000000000" w:firstRow="0" w:lastRow="0" w:firstColumn="0" w:lastColumn="0" w:oddVBand="0" w:evenVBand="0" w:oddHBand="0" w:evenHBand="0" w:firstRowFirstColumn="0" w:firstRowLastColumn="0" w:lastRowFirstColumn="0" w:lastRowLastColumn="0"/>
            </w:pPr>
            <w:r w:rsidRPr="009E0617">
              <w:rPr>
                <w:color w:val="D6D300"/>
              </w:rPr>
              <w:t>Low</w:t>
            </w:r>
          </w:p>
        </w:tc>
        <w:tc>
          <w:tcPr>
            <w:tcW w:w="0" w:type="auto"/>
            <w:hideMark/>
          </w:tcPr>
          <w:p w14:paraId="331D432B" w14:textId="77777777" w:rsidR="009E0617" w:rsidRPr="009E0617" w:rsidRDefault="009E0617" w:rsidP="009E0617">
            <w:pPr>
              <w:cnfStyle w:val="000000000000" w:firstRow="0" w:lastRow="0" w:firstColumn="0" w:lastColumn="0" w:oddVBand="0" w:evenVBand="0" w:oddHBand="0" w:evenHBand="0" w:firstRowFirstColumn="0" w:firstRowLastColumn="0" w:lastRowFirstColumn="0" w:lastRowLastColumn="0"/>
            </w:pPr>
            <w:r w:rsidRPr="009E0617">
              <w:t>Thoroughly validate findings before reporting</w:t>
            </w:r>
          </w:p>
        </w:tc>
      </w:tr>
      <w:tr w:rsidR="009E0617" w:rsidRPr="009E0617" w14:paraId="74B73598" w14:textId="77777777" w:rsidTr="009E0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37580" w14:textId="77777777" w:rsidR="009E0617" w:rsidRPr="009E0617" w:rsidRDefault="009E0617" w:rsidP="009E0617">
            <w:r w:rsidRPr="009E0617">
              <w:t>Legal/Ethical Issues</w:t>
            </w:r>
          </w:p>
        </w:tc>
        <w:tc>
          <w:tcPr>
            <w:tcW w:w="0" w:type="auto"/>
            <w:hideMark/>
          </w:tcPr>
          <w:p w14:paraId="535F5B42"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rPr>
                <w:color w:val="D6D300"/>
              </w:rPr>
              <w:t>Low</w:t>
            </w:r>
          </w:p>
        </w:tc>
        <w:tc>
          <w:tcPr>
            <w:tcW w:w="0" w:type="auto"/>
            <w:hideMark/>
          </w:tcPr>
          <w:p w14:paraId="0C3CCFD1"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rPr>
                <w:color w:val="FF0000"/>
              </w:rPr>
              <w:t>High</w:t>
            </w:r>
          </w:p>
        </w:tc>
        <w:tc>
          <w:tcPr>
            <w:tcW w:w="0" w:type="auto"/>
            <w:hideMark/>
          </w:tcPr>
          <w:p w14:paraId="13FD3A6D" w14:textId="77777777" w:rsidR="009E0617" w:rsidRPr="009E0617" w:rsidRDefault="009E0617" w:rsidP="009E0617">
            <w:pPr>
              <w:cnfStyle w:val="000000100000" w:firstRow="0" w:lastRow="0" w:firstColumn="0" w:lastColumn="0" w:oddVBand="0" w:evenVBand="0" w:oddHBand="1" w:evenHBand="0" w:firstRowFirstColumn="0" w:firstRowLastColumn="0" w:lastRowFirstColumn="0" w:lastRowLastColumn="0"/>
            </w:pPr>
            <w:r w:rsidRPr="009E0617">
              <w:t>Obtain written authorization, adhere to ethical guidelines</w:t>
            </w:r>
          </w:p>
        </w:tc>
      </w:tr>
    </w:tbl>
    <w:p w14:paraId="0AF492F8" w14:textId="77777777" w:rsidR="009E0617" w:rsidRDefault="009E0617" w:rsidP="009E0617">
      <w:pPr>
        <w:spacing w:line="480" w:lineRule="auto"/>
        <w:rPr>
          <w:b/>
          <w:bCs/>
        </w:rPr>
      </w:pPr>
    </w:p>
    <w:p w14:paraId="5F988076" w14:textId="43AD5F20" w:rsidR="009E0617" w:rsidRPr="009E0617" w:rsidRDefault="009E0617" w:rsidP="009E0617">
      <w:pPr>
        <w:spacing w:line="480" w:lineRule="auto"/>
        <w:jc w:val="center"/>
        <w:rPr>
          <w:b/>
          <w:bCs/>
        </w:rPr>
      </w:pPr>
      <w:r w:rsidRPr="009E0617">
        <w:rPr>
          <w:b/>
          <w:bCs/>
        </w:rPr>
        <w:t>Barriers and Adjustments</w:t>
      </w:r>
    </w:p>
    <w:p w14:paraId="38214316" w14:textId="77777777" w:rsidR="009E0617" w:rsidRPr="009E0617" w:rsidRDefault="009E0617" w:rsidP="00994D0B">
      <w:pPr>
        <w:spacing w:line="480" w:lineRule="auto"/>
        <w:ind w:firstLine="720"/>
      </w:pPr>
      <w:r w:rsidRPr="009E0617">
        <w:t xml:space="preserve">A potential barrier is limited budget or time allocated for the project. To address this, the scope of the penetration test can be adjusted to focus on the most critical systems and applications. Another barrier could be resistance from IT staff concerned about potential </w:t>
      </w:r>
      <w:r w:rsidRPr="009E0617">
        <w:lastRenderedPageBreak/>
        <w:t>disruptions. This can be mitigated through clear communication, collaboration, and demonstrating the value of the testing.</w:t>
      </w:r>
    </w:p>
    <w:p w14:paraId="4D0ED74A" w14:textId="77777777" w:rsidR="009E0617" w:rsidRDefault="009E0617" w:rsidP="009E0617">
      <w:pPr>
        <w:spacing w:line="480" w:lineRule="auto"/>
        <w:rPr>
          <w:b/>
          <w:bCs/>
        </w:rPr>
      </w:pPr>
    </w:p>
    <w:p w14:paraId="6F1782BF" w14:textId="4D661A42" w:rsidR="009E0617" w:rsidRPr="009E0617" w:rsidRDefault="009E0617" w:rsidP="009E0617">
      <w:pPr>
        <w:spacing w:line="480" w:lineRule="auto"/>
        <w:jc w:val="center"/>
      </w:pPr>
      <w:r w:rsidRPr="009E0617">
        <w:rPr>
          <w:b/>
          <w:bCs/>
        </w:rPr>
        <w:t>Insights and Advice</w:t>
      </w:r>
    </w:p>
    <w:p w14:paraId="3D0CE5EB" w14:textId="1783CA3D" w:rsidR="00D33B7A" w:rsidRPr="00994D0B" w:rsidRDefault="009E0617" w:rsidP="00994D0B">
      <w:pPr>
        <w:spacing w:line="480" w:lineRule="auto"/>
        <w:ind w:firstLine="720"/>
      </w:pPr>
      <w:r w:rsidRPr="009E0617">
        <w:t>For someone working in this area for the first time, it's crucial to thoroughly research and understand the organization's IT infrastructure, business processes, and regulatory requirements. Start with a comprehensive risk assessment to identify potential threats and vulnerabilities. Collaborate closely with stakeholders to understand their concerns and ensure the project meets their needs. Document all testing activities meticulously and communicate findings clearly and concisely.</w:t>
      </w:r>
    </w:p>
    <w:p w14:paraId="734A730E" w14:textId="77777777" w:rsidR="00D4417F" w:rsidRDefault="00D4417F" w:rsidP="00AC6E1E">
      <w:pPr>
        <w:spacing w:line="480" w:lineRule="auto"/>
        <w:jc w:val="center"/>
        <w:rPr>
          <w:b/>
          <w:bCs/>
        </w:rPr>
      </w:pPr>
    </w:p>
    <w:p w14:paraId="3A147E8D" w14:textId="2242AF43" w:rsidR="009E0617" w:rsidRDefault="009E0617" w:rsidP="00AC6E1E">
      <w:pPr>
        <w:spacing w:line="480" w:lineRule="auto"/>
        <w:jc w:val="center"/>
        <w:rPr>
          <w:b/>
          <w:bCs/>
        </w:rPr>
      </w:pPr>
      <w:r w:rsidRPr="009E0617">
        <w:rPr>
          <w:b/>
          <w:bCs/>
        </w:rPr>
        <w:t>Legal, Ethical, and Policy Analysis</w:t>
      </w:r>
    </w:p>
    <w:p w14:paraId="757A5614" w14:textId="77777777" w:rsidR="00D4417F" w:rsidRPr="009E0617" w:rsidRDefault="00D4417F" w:rsidP="00AC6E1E">
      <w:pPr>
        <w:spacing w:line="480" w:lineRule="auto"/>
        <w:jc w:val="center"/>
      </w:pPr>
    </w:p>
    <w:p w14:paraId="018B1677" w14:textId="4FE9934B" w:rsidR="00994D0B" w:rsidRDefault="009E0617" w:rsidP="00994D0B">
      <w:pPr>
        <w:spacing w:line="480" w:lineRule="auto"/>
        <w:jc w:val="center"/>
        <w:rPr>
          <w:b/>
          <w:bCs/>
        </w:rPr>
      </w:pPr>
      <w:r w:rsidRPr="009E0617">
        <w:rPr>
          <w:b/>
          <w:bCs/>
        </w:rPr>
        <w:t>Legal Issues</w:t>
      </w:r>
    </w:p>
    <w:p w14:paraId="3F47B3BA" w14:textId="49792931" w:rsidR="009E0617" w:rsidRDefault="009E0617" w:rsidP="00994D0B">
      <w:pPr>
        <w:spacing w:line="480" w:lineRule="auto"/>
        <w:ind w:firstLine="720"/>
      </w:pPr>
      <w:r w:rsidRPr="009E0617">
        <w:t> The primary legal consideration is obtaining written authorization from Brown &amp; Haley to conduct the penetration test. This protects both the organization and the penetration tester from any legal repercussions. Compliance with data privacy regulations, such as GDPR or CCPA, if applicable, is also essential</w:t>
      </w:r>
      <w:r w:rsidR="009A2E74">
        <w:t xml:space="preserve"> (GDPR, </w:t>
      </w:r>
      <w:r w:rsidR="00777641">
        <w:t>2016: Bukaty</w:t>
      </w:r>
      <w:r w:rsidR="00215380">
        <w:t>, 2019)</w:t>
      </w:r>
      <w:r w:rsidRPr="009E0617">
        <w:t>.</w:t>
      </w:r>
      <w:r w:rsidR="00215380">
        <w:t xml:space="preserve"> These </w:t>
      </w:r>
      <w:r w:rsidR="00777641">
        <w:t>regulations</w:t>
      </w:r>
      <w:r w:rsidR="00215380">
        <w:t xml:space="preserve"> would apply to customers in the EU and California</w:t>
      </w:r>
      <w:r w:rsidR="00777641">
        <w:t xml:space="preserve">, respectively. </w:t>
      </w:r>
    </w:p>
    <w:p w14:paraId="0529F656" w14:textId="77777777" w:rsidR="00D602B1" w:rsidRDefault="00D602B1" w:rsidP="009E0617">
      <w:pPr>
        <w:spacing w:line="480" w:lineRule="auto"/>
      </w:pPr>
    </w:p>
    <w:p w14:paraId="17BD6A59" w14:textId="77777777" w:rsidR="0040516A" w:rsidRDefault="0040516A" w:rsidP="009E0617">
      <w:pPr>
        <w:spacing w:line="480" w:lineRule="auto"/>
      </w:pPr>
    </w:p>
    <w:p w14:paraId="64CB7505" w14:textId="77777777" w:rsidR="0040516A" w:rsidRPr="009E0617" w:rsidRDefault="0040516A" w:rsidP="009E0617">
      <w:pPr>
        <w:spacing w:line="480" w:lineRule="auto"/>
      </w:pPr>
    </w:p>
    <w:p w14:paraId="282CB8CE" w14:textId="48F4CC14" w:rsidR="00994D0B" w:rsidRDefault="009E0617" w:rsidP="00994D0B">
      <w:pPr>
        <w:spacing w:line="480" w:lineRule="auto"/>
        <w:jc w:val="center"/>
      </w:pPr>
      <w:r w:rsidRPr="009E0617">
        <w:rPr>
          <w:b/>
          <w:bCs/>
        </w:rPr>
        <w:lastRenderedPageBreak/>
        <w:t>Ethical Implications</w:t>
      </w:r>
    </w:p>
    <w:p w14:paraId="3CC6AB81" w14:textId="35F236CA" w:rsidR="009E0617" w:rsidRPr="009E0617" w:rsidRDefault="009E0617" w:rsidP="00994D0B">
      <w:pPr>
        <w:spacing w:line="480" w:lineRule="auto"/>
        <w:ind w:firstLine="720"/>
      </w:pPr>
      <w:r w:rsidRPr="009E0617">
        <w:t>Ethical considerations include respecting the confidentiality of sensitive data discovered during the test and refraining from exploiting vulnerabilities beyond the agreed-upon scope. Transparency and open communication with Brown &amp; Haley throughout the process are crucial for maintaining trust.</w:t>
      </w:r>
    </w:p>
    <w:p w14:paraId="2387D1B8" w14:textId="77777777" w:rsidR="009E0617" w:rsidRDefault="009E0617" w:rsidP="009E0617">
      <w:pPr>
        <w:spacing w:line="480" w:lineRule="auto"/>
        <w:rPr>
          <w:b/>
          <w:bCs/>
        </w:rPr>
      </w:pPr>
    </w:p>
    <w:p w14:paraId="64E37B15" w14:textId="3DF0BABB" w:rsidR="00994D0B" w:rsidRDefault="009E0617" w:rsidP="00994D0B">
      <w:pPr>
        <w:spacing w:line="480" w:lineRule="auto"/>
        <w:jc w:val="center"/>
      </w:pPr>
      <w:r w:rsidRPr="009E0617">
        <w:rPr>
          <w:b/>
          <w:bCs/>
        </w:rPr>
        <w:t>Policies</w:t>
      </w:r>
    </w:p>
    <w:p w14:paraId="2CAE51E6" w14:textId="4EC489B3" w:rsidR="009E0617" w:rsidRDefault="009E0617" w:rsidP="00994D0B">
      <w:pPr>
        <w:spacing w:line="480" w:lineRule="auto"/>
        <w:ind w:firstLine="720"/>
      </w:pPr>
      <w:r w:rsidRPr="009E0617">
        <w:t>Brown &amp; Haley's internal IT policies regarding security testing and data handling must be reviewed and adhered to. Any potential conflicts between the proposed project and existing policies must be addressed and resolved before commencing the penetration test. For example, if there's a policy prohibiting external access to internal systems, an exception must be granted for the penetration test to proceed legally and ethically. The results of the penetration test should be used to improve existing policies and develop new ones where necessary.</w:t>
      </w:r>
    </w:p>
    <w:p w14:paraId="795E5B77" w14:textId="77777777" w:rsidR="005D795B" w:rsidRDefault="005D795B" w:rsidP="009E0617">
      <w:pPr>
        <w:spacing w:line="480" w:lineRule="auto"/>
      </w:pPr>
    </w:p>
    <w:p w14:paraId="07E474FD" w14:textId="77777777" w:rsidR="005D795B" w:rsidRDefault="005D795B" w:rsidP="009E0617">
      <w:pPr>
        <w:spacing w:line="480" w:lineRule="auto"/>
      </w:pPr>
    </w:p>
    <w:p w14:paraId="29DF3652" w14:textId="77777777" w:rsidR="00482A7D" w:rsidRDefault="00482A7D" w:rsidP="009E0617">
      <w:pPr>
        <w:spacing w:line="480" w:lineRule="auto"/>
      </w:pPr>
    </w:p>
    <w:p w14:paraId="22983AAC" w14:textId="77777777" w:rsidR="00482A7D" w:rsidRDefault="00482A7D" w:rsidP="009E0617">
      <w:pPr>
        <w:spacing w:line="480" w:lineRule="auto"/>
      </w:pPr>
    </w:p>
    <w:p w14:paraId="03A3C993" w14:textId="77777777" w:rsidR="00482A7D" w:rsidRDefault="00482A7D" w:rsidP="009E0617">
      <w:pPr>
        <w:spacing w:line="480" w:lineRule="auto"/>
      </w:pPr>
    </w:p>
    <w:p w14:paraId="5AA58095" w14:textId="77777777" w:rsidR="00482A7D" w:rsidRDefault="00482A7D" w:rsidP="009E0617">
      <w:pPr>
        <w:spacing w:line="480" w:lineRule="auto"/>
      </w:pPr>
    </w:p>
    <w:p w14:paraId="0F62E35E" w14:textId="77777777" w:rsidR="00482A7D" w:rsidRDefault="00482A7D" w:rsidP="009E0617">
      <w:pPr>
        <w:spacing w:line="480" w:lineRule="auto"/>
      </w:pPr>
    </w:p>
    <w:p w14:paraId="7B7D6AEF" w14:textId="77777777" w:rsidR="00482A7D" w:rsidRDefault="00482A7D" w:rsidP="009E0617">
      <w:pPr>
        <w:spacing w:line="480" w:lineRule="auto"/>
      </w:pPr>
    </w:p>
    <w:p w14:paraId="65D2FB86" w14:textId="26877681" w:rsidR="005D795B" w:rsidRDefault="005D795B" w:rsidP="005D795B">
      <w:pPr>
        <w:spacing w:line="480" w:lineRule="auto"/>
        <w:jc w:val="center"/>
        <w:rPr>
          <w:b/>
          <w:bCs/>
        </w:rPr>
      </w:pPr>
      <w:r w:rsidRPr="005D795B">
        <w:rPr>
          <w:b/>
          <w:bCs/>
        </w:rPr>
        <w:lastRenderedPageBreak/>
        <w:t>References</w:t>
      </w:r>
    </w:p>
    <w:p w14:paraId="727F8F9D" w14:textId="77777777" w:rsidR="006B6CAA" w:rsidRDefault="00575172" w:rsidP="004525B8">
      <w:pPr>
        <w:spacing w:line="480" w:lineRule="auto"/>
        <w:ind w:left="720" w:hanging="720"/>
      </w:pPr>
      <w:r w:rsidRPr="00575172">
        <w:t>ISO</w:t>
      </w:r>
      <w:r>
        <w:t>. (</w:t>
      </w:r>
      <w:r w:rsidR="007B508A">
        <w:t>2022</w:t>
      </w:r>
      <w:r>
        <w:t>).</w:t>
      </w:r>
      <w:r w:rsidR="007B508A">
        <w:t xml:space="preserve"> </w:t>
      </w:r>
      <w:r w:rsidR="007B508A" w:rsidRPr="006B6CAA">
        <w:rPr>
          <w:i/>
          <w:iCs/>
        </w:rPr>
        <w:t>Information security, cybersecurity and privacy protection — Information security management systems — Requirements</w:t>
      </w:r>
      <w:r w:rsidR="00C17BC6" w:rsidRPr="006B6CAA">
        <w:rPr>
          <w:i/>
          <w:iCs/>
        </w:rPr>
        <w:t xml:space="preserve"> (</w:t>
      </w:r>
      <w:r w:rsidR="00C17BC6" w:rsidRPr="006B6CAA">
        <w:rPr>
          <w:i/>
          <w:iCs/>
        </w:rPr>
        <w:t>ISO/IEC 27001:2022</w:t>
      </w:r>
      <w:r w:rsidR="00C17BC6" w:rsidRPr="006B6CAA">
        <w:rPr>
          <w:i/>
          <w:iCs/>
        </w:rPr>
        <w:t>)</w:t>
      </w:r>
      <w:r w:rsidR="007B508A" w:rsidRPr="006B6CAA">
        <w:rPr>
          <w:i/>
          <w:iCs/>
        </w:rPr>
        <w:t>.</w:t>
      </w:r>
      <w:r w:rsidR="00C17BC6" w:rsidRPr="005D7D9B">
        <w:t xml:space="preserve"> </w:t>
      </w:r>
      <w:hyperlink r:id="rId5" w:history="1">
        <w:r w:rsidR="006B6CAA" w:rsidRPr="009A514C">
          <w:rPr>
            <w:rStyle w:val="Hyperlink"/>
          </w:rPr>
          <w:t>https://www.iso.org/standard/2700</w:t>
        </w:r>
        <w:r w:rsidR="006B6CAA" w:rsidRPr="009A514C">
          <w:rPr>
            <w:rStyle w:val="Hyperlink"/>
          </w:rPr>
          <w:t>1</w:t>
        </w:r>
      </w:hyperlink>
      <w:r w:rsidR="006B6CAA">
        <w:t xml:space="preserve"> </w:t>
      </w:r>
    </w:p>
    <w:p w14:paraId="078EC4B8" w14:textId="77777777" w:rsidR="00482A7D" w:rsidRPr="006344CE" w:rsidRDefault="00482A7D" w:rsidP="00482A7D">
      <w:pPr>
        <w:spacing w:line="480" w:lineRule="auto"/>
        <w:ind w:left="720" w:hanging="720"/>
        <w:rPr>
          <w:i/>
          <w:iCs/>
        </w:rPr>
      </w:pPr>
      <w:r>
        <w:t xml:space="preserve">NIST. (2020). </w:t>
      </w:r>
      <w:r w:rsidRPr="006344CE">
        <w:rPr>
          <w:i/>
          <w:iCs/>
        </w:rPr>
        <w:t>NIST SPECIAL PUBLICATION 1800-26A</w:t>
      </w:r>
      <w:r w:rsidRPr="006344CE">
        <w:rPr>
          <w:b/>
          <w:bCs/>
          <w:i/>
          <w:iCs/>
        </w:rPr>
        <w:t>:</w:t>
      </w:r>
      <w:r w:rsidRPr="006344CE">
        <w:rPr>
          <w:i/>
          <w:iCs/>
        </w:rPr>
        <w:t xml:space="preserve"> Data Integrity:</w:t>
      </w:r>
    </w:p>
    <w:p w14:paraId="18D391D8" w14:textId="1B91D265" w:rsidR="00482A7D" w:rsidRDefault="00482A7D" w:rsidP="00482A7D">
      <w:pPr>
        <w:spacing w:line="480" w:lineRule="auto"/>
        <w:ind w:left="720" w:hanging="720"/>
      </w:pPr>
      <w:r w:rsidRPr="00B36FED">
        <w:rPr>
          <w:i/>
          <w:iCs/>
        </w:rPr>
        <w:t>Detecting and Responding to Ransomware and Other Destructive Events</w:t>
      </w:r>
      <w:r w:rsidRPr="006344CE">
        <w:rPr>
          <w:i/>
          <w:iCs/>
        </w:rPr>
        <w:t>.</w:t>
      </w:r>
      <w:r>
        <w:t xml:space="preserve"> </w:t>
      </w:r>
      <w:hyperlink r:id="rId6" w:history="1">
        <w:r w:rsidRPr="009A514C">
          <w:rPr>
            <w:rStyle w:val="Hyperlink"/>
          </w:rPr>
          <w:t>https://www.nccoe.nist.gov/publication/1800-26/VolA/index.html</w:t>
        </w:r>
      </w:hyperlink>
      <w:r>
        <w:t xml:space="preserve"> </w:t>
      </w:r>
    </w:p>
    <w:p w14:paraId="341B490D" w14:textId="77777777" w:rsidR="004525B8" w:rsidRDefault="004525B8" w:rsidP="004525B8">
      <w:pPr>
        <w:spacing w:line="480" w:lineRule="auto"/>
        <w:ind w:left="720" w:hanging="720"/>
      </w:pPr>
      <w:r w:rsidRPr="00724B27">
        <w:t>NIST</w:t>
      </w:r>
      <w:r>
        <w:t>. (2024).</w:t>
      </w:r>
      <w:r w:rsidRPr="007F76EB">
        <w:rPr>
          <w:i/>
          <w:iCs/>
        </w:rPr>
        <w:t xml:space="preserve"> The NIST Cybersecurity Framework (CSF) 2.0.</w:t>
      </w:r>
      <w:r>
        <w:t xml:space="preserve"> </w:t>
      </w:r>
      <w:r>
        <w:fldChar w:fldCharType="begin"/>
      </w:r>
      <w:r>
        <w:instrText>HYPERLINK "https://nvlpubs.nist.gov/nistpubs/CSWP/NIST.CSWP.29.pdf"</w:instrText>
      </w:r>
      <w:r>
        <w:fldChar w:fldCharType="separate"/>
      </w:r>
      <w:r w:rsidRPr="00B225F4">
        <w:rPr>
          <w:rStyle w:val="Hyperlink"/>
        </w:rPr>
        <w:t>https://nvlpubs.nist.gov/nistpubs/CSWP/NIST.CSWP.29.pdf</w:t>
      </w:r>
      <w:r>
        <w:fldChar w:fldCharType="end"/>
      </w:r>
    </w:p>
    <w:p w14:paraId="1D6794F9" w14:textId="17D6BFBD" w:rsidR="00553AF2" w:rsidRDefault="00EE54AB" w:rsidP="00553AF2">
      <w:pPr>
        <w:spacing w:line="480" w:lineRule="auto"/>
        <w:ind w:left="720" w:hanging="720"/>
      </w:pPr>
      <w:r>
        <w:t xml:space="preserve">NMAP. (2024). </w:t>
      </w:r>
      <w:r w:rsidR="00553AF2" w:rsidRPr="00553AF2">
        <w:t>Nmap: Discover your network</w:t>
      </w:r>
      <w:r w:rsidR="003A2148">
        <w:t xml:space="preserve">. </w:t>
      </w:r>
      <w:hyperlink r:id="rId7" w:history="1">
        <w:r w:rsidR="003A2148" w:rsidRPr="009A514C">
          <w:rPr>
            <w:rStyle w:val="Hyperlink"/>
          </w:rPr>
          <w:t>https://nmap.org</w:t>
        </w:r>
      </w:hyperlink>
      <w:r w:rsidR="003A2148">
        <w:t xml:space="preserve"> </w:t>
      </w:r>
    </w:p>
    <w:p w14:paraId="24CF7AF4" w14:textId="6FD85A78" w:rsidR="00B028C8" w:rsidRDefault="00BD54E1" w:rsidP="00553AF2">
      <w:pPr>
        <w:spacing w:line="480" w:lineRule="auto"/>
        <w:ind w:left="720" w:hanging="720"/>
      </w:pPr>
      <w:r>
        <w:t xml:space="preserve">Rapid7. (2024). </w:t>
      </w:r>
      <w:r w:rsidR="00753292" w:rsidRPr="00753292">
        <w:rPr>
          <w:i/>
          <w:iCs/>
        </w:rPr>
        <w:t>Metasploit Documentation</w:t>
      </w:r>
      <w:r w:rsidR="00753292">
        <w:t xml:space="preserve">. </w:t>
      </w:r>
      <w:hyperlink r:id="rId8" w:history="1">
        <w:r w:rsidR="00753292" w:rsidRPr="009A514C">
          <w:rPr>
            <w:rStyle w:val="Hyperlink"/>
          </w:rPr>
          <w:t>https://docs.metasploit.com</w:t>
        </w:r>
      </w:hyperlink>
      <w:r w:rsidR="00753292">
        <w:t xml:space="preserve"> </w:t>
      </w:r>
    </w:p>
    <w:p w14:paraId="769691C2" w14:textId="0444E481" w:rsidR="00463ABD" w:rsidRDefault="00463ABD" w:rsidP="007B7515">
      <w:pPr>
        <w:spacing w:line="480" w:lineRule="auto"/>
        <w:ind w:left="720" w:hanging="720"/>
      </w:pPr>
      <w:r>
        <w:t>Tenable. (2024).</w:t>
      </w:r>
      <w:r w:rsidR="00BE2D0B" w:rsidRPr="00BE2D0B">
        <w:t xml:space="preserve"> </w:t>
      </w:r>
      <w:r w:rsidR="00BE2D0B" w:rsidRPr="007B7515">
        <w:rPr>
          <w:i/>
          <w:iCs/>
        </w:rPr>
        <w:t>Tenable Nessus®</w:t>
      </w:r>
      <w:r w:rsidR="007B7515" w:rsidRPr="007B7515">
        <w:rPr>
          <w:i/>
          <w:iCs/>
        </w:rPr>
        <w:t>.</w:t>
      </w:r>
      <w:r w:rsidR="007B7515">
        <w:t xml:space="preserve"> </w:t>
      </w:r>
      <w:hyperlink r:id="rId9" w:history="1">
        <w:r w:rsidR="007B7515" w:rsidRPr="009A514C">
          <w:rPr>
            <w:rStyle w:val="Hyperlink"/>
          </w:rPr>
          <w:t>https://www.tenable.com/products/nessus</w:t>
        </w:r>
      </w:hyperlink>
      <w:r>
        <w:t xml:space="preserve"> </w:t>
      </w:r>
    </w:p>
    <w:p w14:paraId="7E10A123" w14:textId="77777777" w:rsidR="008F268A" w:rsidRPr="00370C79" w:rsidRDefault="008F268A" w:rsidP="008F268A">
      <w:pPr>
        <w:spacing w:line="480" w:lineRule="auto"/>
        <w:ind w:left="720" w:hanging="720"/>
        <w:rPr>
          <w:color w:val="467886" w:themeColor="hyperlink"/>
          <w:u w:val="single"/>
        </w:rPr>
      </w:pPr>
      <w:r w:rsidRPr="00296437">
        <w:t>European Parliament, &amp; Council of the European Union.</w:t>
      </w:r>
      <w:r>
        <w:t xml:space="preserve"> GDPR.</w:t>
      </w:r>
      <w:r w:rsidRPr="00296437">
        <w:t xml:space="preserve"> (2016). Regulation (EU) 2016/679 of the European Parliament and of the Council. Retrieved 13 April 2023, from </w:t>
      </w:r>
      <w:hyperlink r:id="rId10" w:history="1">
        <w:r w:rsidRPr="00B225F4">
          <w:rPr>
            <w:rStyle w:val="Hyperlink"/>
          </w:rPr>
          <w:t>https://data.europa.eu/eli/reg/2016/679/oj</w:t>
        </w:r>
      </w:hyperlink>
    </w:p>
    <w:p w14:paraId="67A31257" w14:textId="77777777" w:rsidR="009A2E74" w:rsidRDefault="009A2E74" w:rsidP="009A2E74">
      <w:pPr>
        <w:spacing w:line="480" w:lineRule="auto"/>
        <w:ind w:left="720" w:hanging="720"/>
        <w:rPr>
          <w:color w:val="000000"/>
        </w:rPr>
      </w:pPr>
      <w:r>
        <w:rPr>
          <w:color w:val="000000"/>
        </w:rPr>
        <w:t>Bukaty, P. (2019).</w:t>
      </w:r>
      <w:r>
        <w:rPr>
          <w:rStyle w:val="apple-converted-space"/>
          <w:rFonts w:eastAsiaTheme="majorEastAsia"/>
          <w:color w:val="000000"/>
        </w:rPr>
        <w:t> </w:t>
      </w:r>
      <w:r>
        <w:rPr>
          <w:i/>
          <w:iCs/>
          <w:color w:val="000000"/>
        </w:rPr>
        <w:t>The California Consumer Privacy Act (CCPA): An implementation guide</w:t>
      </w:r>
      <w:r>
        <w:rPr>
          <w:color w:val="000000"/>
        </w:rPr>
        <w:t xml:space="preserve">. IT Governance Publishing. </w:t>
      </w:r>
      <w:hyperlink r:id="rId11" w:history="1">
        <w:r w:rsidRPr="00B225F4">
          <w:rPr>
            <w:rStyle w:val="Hyperlink"/>
          </w:rPr>
          <w:t>https://doi.org/10.2307/j.ctvjghvnn</w:t>
        </w:r>
      </w:hyperlink>
      <w:r>
        <w:rPr>
          <w:color w:val="000000"/>
        </w:rPr>
        <w:t xml:space="preserve"> </w:t>
      </w:r>
    </w:p>
    <w:p w14:paraId="0DF1532D" w14:textId="77777777" w:rsidR="008F268A" w:rsidRPr="00B36FED" w:rsidRDefault="008F268A" w:rsidP="00B36FED">
      <w:pPr>
        <w:spacing w:line="480" w:lineRule="auto"/>
        <w:ind w:left="720" w:hanging="720"/>
      </w:pPr>
    </w:p>
    <w:p w14:paraId="630BF7CB" w14:textId="40AA3ECB" w:rsidR="00C16D10" w:rsidRDefault="00C16D10" w:rsidP="007B7515">
      <w:pPr>
        <w:spacing w:line="480" w:lineRule="auto"/>
        <w:ind w:left="720" w:hanging="720"/>
      </w:pPr>
    </w:p>
    <w:p w14:paraId="59CA0A49" w14:textId="77777777" w:rsidR="003A2148" w:rsidRPr="00553AF2" w:rsidRDefault="003A2148" w:rsidP="00553AF2">
      <w:pPr>
        <w:spacing w:line="480" w:lineRule="auto"/>
        <w:ind w:left="720" w:hanging="720"/>
      </w:pPr>
    </w:p>
    <w:p w14:paraId="73E72A9F" w14:textId="29CACF94" w:rsidR="00EE54AB" w:rsidRDefault="00EE54AB" w:rsidP="004525B8">
      <w:pPr>
        <w:spacing w:line="480" w:lineRule="auto"/>
        <w:ind w:left="720" w:hanging="720"/>
      </w:pPr>
    </w:p>
    <w:p w14:paraId="7B519792" w14:textId="3FF9F02C" w:rsidR="00575172" w:rsidRDefault="007B508A" w:rsidP="005D795B">
      <w:pPr>
        <w:spacing w:line="480" w:lineRule="auto"/>
        <w:jc w:val="center"/>
      </w:pPr>
      <w:r w:rsidRPr="005D7D9B">
        <w:t xml:space="preserve"> </w:t>
      </w:r>
    </w:p>
    <w:p w14:paraId="2EC97C02" w14:textId="77777777" w:rsidR="006B6CAA" w:rsidRPr="00575172" w:rsidRDefault="006B6CAA" w:rsidP="005D795B">
      <w:pPr>
        <w:spacing w:line="480" w:lineRule="auto"/>
        <w:jc w:val="center"/>
      </w:pPr>
    </w:p>
    <w:p w14:paraId="58E042C9" w14:textId="77777777" w:rsidR="002312D6" w:rsidRDefault="002312D6" w:rsidP="009E0617">
      <w:pPr>
        <w:spacing w:line="480" w:lineRule="auto"/>
      </w:pPr>
    </w:p>
    <w:sectPr w:rsidR="0023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E2107"/>
    <w:multiLevelType w:val="multilevel"/>
    <w:tmpl w:val="6634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86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17"/>
    <w:rsid w:val="000049C9"/>
    <w:rsid w:val="0004543B"/>
    <w:rsid w:val="000554F0"/>
    <w:rsid w:val="000D2113"/>
    <w:rsid w:val="001055D1"/>
    <w:rsid w:val="00147957"/>
    <w:rsid w:val="00215380"/>
    <w:rsid w:val="002312D6"/>
    <w:rsid w:val="0032431B"/>
    <w:rsid w:val="003A2148"/>
    <w:rsid w:val="003C41CF"/>
    <w:rsid w:val="004050BE"/>
    <w:rsid w:val="0040516A"/>
    <w:rsid w:val="004229CB"/>
    <w:rsid w:val="004525B8"/>
    <w:rsid w:val="00463ABD"/>
    <w:rsid w:val="00482A7D"/>
    <w:rsid w:val="00553AF2"/>
    <w:rsid w:val="00575172"/>
    <w:rsid w:val="005C3D0C"/>
    <w:rsid w:val="005D795B"/>
    <w:rsid w:val="005D7D9B"/>
    <w:rsid w:val="00607EDF"/>
    <w:rsid w:val="006344CE"/>
    <w:rsid w:val="006725A1"/>
    <w:rsid w:val="006B6CAA"/>
    <w:rsid w:val="006F011F"/>
    <w:rsid w:val="00730E7E"/>
    <w:rsid w:val="00753292"/>
    <w:rsid w:val="00777641"/>
    <w:rsid w:val="007B508A"/>
    <w:rsid w:val="007B7515"/>
    <w:rsid w:val="00847CB1"/>
    <w:rsid w:val="008A42D9"/>
    <w:rsid w:val="008F268A"/>
    <w:rsid w:val="008F680E"/>
    <w:rsid w:val="00994D0B"/>
    <w:rsid w:val="009A2E74"/>
    <w:rsid w:val="009E0617"/>
    <w:rsid w:val="00AB32E8"/>
    <w:rsid w:val="00AC6E1E"/>
    <w:rsid w:val="00B028C8"/>
    <w:rsid w:val="00B2444A"/>
    <w:rsid w:val="00B320D0"/>
    <w:rsid w:val="00B36FED"/>
    <w:rsid w:val="00B551B3"/>
    <w:rsid w:val="00BC3B9B"/>
    <w:rsid w:val="00BD54E1"/>
    <w:rsid w:val="00BE2D0B"/>
    <w:rsid w:val="00C03218"/>
    <w:rsid w:val="00C110EA"/>
    <w:rsid w:val="00C16D10"/>
    <w:rsid w:val="00C17BC6"/>
    <w:rsid w:val="00C675B4"/>
    <w:rsid w:val="00C86CB1"/>
    <w:rsid w:val="00CF0673"/>
    <w:rsid w:val="00D1218F"/>
    <w:rsid w:val="00D30E29"/>
    <w:rsid w:val="00D33B7A"/>
    <w:rsid w:val="00D4417F"/>
    <w:rsid w:val="00D602B1"/>
    <w:rsid w:val="00E73E68"/>
    <w:rsid w:val="00EE54AB"/>
    <w:rsid w:val="00F37BDF"/>
    <w:rsid w:val="00F5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83467"/>
  <w15:chartTrackingRefBased/>
  <w15:docId w15:val="{7297785D-D9D8-5140-888C-A764392C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6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6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6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6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6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6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6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6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6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6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617"/>
    <w:rPr>
      <w:rFonts w:eastAsiaTheme="majorEastAsia" w:cstheme="majorBidi"/>
      <w:color w:val="272727" w:themeColor="text1" w:themeTint="D8"/>
    </w:rPr>
  </w:style>
  <w:style w:type="paragraph" w:styleId="Title">
    <w:name w:val="Title"/>
    <w:basedOn w:val="Normal"/>
    <w:next w:val="Normal"/>
    <w:link w:val="TitleChar"/>
    <w:uiPriority w:val="10"/>
    <w:qFormat/>
    <w:rsid w:val="009E06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6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6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0617"/>
    <w:rPr>
      <w:i/>
      <w:iCs/>
      <w:color w:val="404040" w:themeColor="text1" w:themeTint="BF"/>
    </w:rPr>
  </w:style>
  <w:style w:type="paragraph" w:styleId="ListParagraph">
    <w:name w:val="List Paragraph"/>
    <w:basedOn w:val="Normal"/>
    <w:uiPriority w:val="34"/>
    <w:qFormat/>
    <w:rsid w:val="009E0617"/>
    <w:pPr>
      <w:ind w:left="720"/>
      <w:contextualSpacing/>
    </w:pPr>
  </w:style>
  <w:style w:type="character" w:styleId="IntenseEmphasis">
    <w:name w:val="Intense Emphasis"/>
    <w:basedOn w:val="DefaultParagraphFont"/>
    <w:uiPriority w:val="21"/>
    <w:qFormat/>
    <w:rsid w:val="009E0617"/>
    <w:rPr>
      <w:i/>
      <w:iCs/>
      <w:color w:val="0F4761" w:themeColor="accent1" w:themeShade="BF"/>
    </w:rPr>
  </w:style>
  <w:style w:type="paragraph" w:styleId="IntenseQuote">
    <w:name w:val="Intense Quote"/>
    <w:basedOn w:val="Normal"/>
    <w:next w:val="Normal"/>
    <w:link w:val="IntenseQuoteChar"/>
    <w:uiPriority w:val="30"/>
    <w:qFormat/>
    <w:rsid w:val="009E0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617"/>
    <w:rPr>
      <w:i/>
      <w:iCs/>
      <w:color w:val="0F4761" w:themeColor="accent1" w:themeShade="BF"/>
    </w:rPr>
  </w:style>
  <w:style w:type="character" w:styleId="IntenseReference">
    <w:name w:val="Intense Reference"/>
    <w:basedOn w:val="DefaultParagraphFont"/>
    <w:uiPriority w:val="32"/>
    <w:qFormat/>
    <w:rsid w:val="009E0617"/>
    <w:rPr>
      <w:b/>
      <w:bCs/>
      <w:smallCaps/>
      <w:color w:val="0F4761" w:themeColor="accent1" w:themeShade="BF"/>
      <w:spacing w:val="5"/>
    </w:rPr>
  </w:style>
  <w:style w:type="table" w:styleId="TableGridLight">
    <w:name w:val="Grid Table Light"/>
    <w:basedOn w:val="TableNormal"/>
    <w:uiPriority w:val="40"/>
    <w:rsid w:val="009E06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E06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B6CAA"/>
    <w:rPr>
      <w:color w:val="467886" w:themeColor="hyperlink"/>
      <w:u w:val="single"/>
    </w:rPr>
  </w:style>
  <w:style w:type="character" w:styleId="UnresolvedMention">
    <w:name w:val="Unresolved Mention"/>
    <w:basedOn w:val="DefaultParagraphFont"/>
    <w:uiPriority w:val="99"/>
    <w:semiHidden/>
    <w:unhideWhenUsed/>
    <w:rsid w:val="006B6CAA"/>
    <w:rPr>
      <w:color w:val="605E5C"/>
      <w:shd w:val="clear" w:color="auto" w:fill="E1DFDD"/>
    </w:rPr>
  </w:style>
  <w:style w:type="character" w:styleId="FollowedHyperlink">
    <w:name w:val="FollowedHyperlink"/>
    <w:basedOn w:val="DefaultParagraphFont"/>
    <w:uiPriority w:val="99"/>
    <w:semiHidden/>
    <w:unhideWhenUsed/>
    <w:rsid w:val="00553AF2"/>
    <w:rPr>
      <w:color w:val="96607D" w:themeColor="followedHyperlink"/>
      <w:u w:val="single"/>
    </w:rPr>
  </w:style>
  <w:style w:type="character" w:customStyle="1" w:styleId="apple-converted-space">
    <w:name w:val="apple-converted-space"/>
    <w:basedOn w:val="DefaultParagraphFont"/>
    <w:rsid w:val="00BE2D0B"/>
  </w:style>
  <w:style w:type="character" w:styleId="Strong">
    <w:name w:val="Strong"/>
    <w:basedOn w:val="DefaultParagraphFont"/>
    <w:uiPriority w:val="22"/>
    <w:qFormat/>
    <w:rsid w:val="00B36FED"/>
    <w:rPr>
      <w:b/>
      <w:bCs/>
    </w:rPr>
  </w:style>
  <w:style w:type="paragraph" w:customStyle="1" w:styleId="subhead">
    <w:name w:val="subhead"/>
    <w:basedOn w:val="Normal"/>
    <w:rsid w:val="00B36FE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18544">
      <w:bodyDiv w:val="1"/>
      <w:marLeft w:val="0"/>
      <w:marRight w:val="0"/>
      <w:marTop w:val="0"/>
      <w:marBottom w:val="0"/>
      <w:divBdr>
        <w:top w:val="none" w:sz="0" w:space="0" w:color="auto"/>
        <w:left w:val="none" w:sz="0" w:space="0" w:color="auto"/>
        <w:bottom w:val="none" w:sz="0" w:space="0" w:color="auto"/>
        <w:right w:val="none" w:sz="0" w:space="0" w:color="auto"/>
      </w:divBdr>
      <w:divsChild>
        <w:div w:id="2031907922">
          <w:marLeft w:val="0"/>
          <w:marRight w:val="0"/>
          <w:marTop w:val="0"/>
          <w:marBottom w:val="0"/>
          <w:divBdr>
            <w:top w:val="none" w:sz="0" w:space="0" w:color="auto"/>
            <w:left w:val="none" w:sz="0" w:space="0" w:color="auto"/>
            <w:bottom w:val="none" w:sz="0" w:space="0" w:color="auto"/>
            <w:right w:val="none" w:sz="0" w:space="0" w:color="auto"/>
          </w:divBdr>
        </w:div>
      </w:divsChild>
    </w:div>
    <w:div w:id="395010689">
      <w:bodyDiv w:val="1"/>
      <w:marLeft w:val="0"/>
      <w:marRight w:val="0"/>
      <w:marTop w:val="0"/>
      <w:marBottom w:val="0"/>
      <w:divBdr>
        <w:top w:val="none" w:sz="0" w:space="0" w:color="auto"/>
        <w:left w:val="none" w:sz="0" w:space="0" w:color="auto"/>
        <w:bottom w:val="none" w:sz="0" w:space="0" w:color="auto"/>
        <w:right w:val="none" w:sz="0" w:space="0" w:color="auto"/>
      </w:divBdr>
    </w:div>
    <w:div w:id="1436749063">
      <w:bodyDiv w:val="1"/>
      <w:marLeft w:val="0"/>
      <w:marRight w:val="0"/>
      <w:marTop w:val="0"/>
      <w:marBottom w:val="0"/>
      <w:divBdr>
        <w:top w:val="none" w:sz="0" w:space="0" w:color="auto"/>
        <w:left w:val="none" w:sz="0" w:space="0" w:color="auto"/>
        <w:bottom w:val="none" w:sz="0" w:space="0" w:color="auto"/>
        <w:right w:val="none" w:sz="0" w:space="0" w:color="auto"/>
      </w:divBdr>
    </w:div>
    <w:div w:id="1729648360">
      <w:bodyDiv w:val="1"/>
      <w:marLeft w:val="0"/>
      <w:marRight w:val="0"/>
      <w:marTop w:val="0"/>
      <w:marBottom w:val="0"/>
      <w:divBdr>
        <w:top w:val="none" w:sz="0" w:space="0" w:color="auto"/>
        <w:left w:val="none" w:sz="0" w:space="0" w:color="auto"/>
        <w:bottom w:val="none" w:sz="0" w:space="0" w:color="auto"/>
        <w:right w:val="none" w:sz="0" w:space="0" w:color="auto"/>
      </w:divBdr>
      <w:divsChild>
        <w:div w:id="1712222672">
          <w:marLeft w:val="0"/>
          <w:marRight w:val="0"/>
          <w:marTop w:val="0"/>
          <w:marBottom w:val="0"/>
          <w:divBdr>
            <w:top w:val="none" w:sz="0" w:space="0" w:color="auto"/>
            <w:left w:val="none" w:sz="0" w:space="0" w:color="auto"/>
            <w:bottom w:val="none" w:sz="0" w:space="0" w:color="auto"/>
            <w:right w:val="none" w:sz="0" w:space="0" w:color="auto"/>
          </w:divBdr>
        </w:div>
      </w:divsChild>
    </w:div>
    <w:div w:id="200863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etasploi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ma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coe.nist.gov/publication/1800-26/VolA/index.html" TargetMode="External"/><Relationship Id="rId11" Type="http://schemas.openxmlformats.org/officeDocument/2006/relationships/hyperlink" Target="https://doi.org/10.2307/j.ctvjghvnn" TargetMode="External"/><Relationship Id="rId5" Type="http://schemas.openxmlformats.org/officeDocument/2006/relationships/hyperlink" Target="https://www.iso.org/standard/27001" TargetMode="External"/><Relationship Id="rId10" Type="http://schemas.openxmlformats.org/officeDocument/2006/relationships/hyperlink" Target="https://data.europa.eu/eli/reg/2016/679/oj" TargetMode="External"/><Relationship Id="rId4" Type="http://schemas.openxmlformats.org/officeDocument/2006/relationships/webSettings" Target="webSettings.xml"/><Relationship Id="rId9" Type="http://schemas.openxmlformats.org/officeDocument/2006/relationships/hyperlink" Target="https://www.tenable.com/products/n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57</cp:revision>
  <dcterms:created xsi:type="dcterms:W3CDTF">2024-12-12T20:47:00Z</dcterms:created>
  <dcterms:modified xsi:type="dcterms:W3CDTF">2024-12-13T21:18:00Z</dcterms:modified>
</cp:coreProperties>
</file>