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Software Requirements Specification (SRS)</w:t>
      </w:r>
    </w:p>
    <w:p>
      <w:pPr>
        <w:pStyle w:val="Title"/>
        <w:spacing w:after="240"/>
      </w:pPr>
      <w:r>
        <w:t xml:space="preserve">&amp; Initial Use Case Model</w:t>
      </w:r>
    </w:p>
    <w:p>
      <w:pPr>
        <w:spacing w:after="120"/>
      </w:pPr>
      <w:r>
        <w:rPr>
          <w:b/>
          <w:bCs/>
        </w:rPr>
        <w:t xml:space="preserve">Micro-Investment Behaviour Simulation &amp; Peer Benchmarking Dashboard (Mobile App)</w:t>
      </w:r>
    </w:p>
    <w:p>
      <w:pPr>
        <w:spacing w:after="120"/>
      </w:pPr>
      <w:r>
        <w:rPr>
          <w:b/>
          <w:bCs/>
        </w:rPr>
        <w:t xml:space="preserve">Version 1.5</w:t>
      </w:r>
    </w:p>
    <w:p>
      <w:pPr>
        <w:spacing w:after="120"/>
      </w:pPr>
      <w:r>
        <w:t xml:space="preserve">Prepared for: Final Year Project CCDS25-1124</w:t>
      </w:r>
    </w:p>
    <w:p>
      <w:pPr>
        <w:spacing w:after="120"/>
      </w:pPr>
      <w:r>
        <w:t xml:space="preserve">Prepared by: Leong Hao Jie</w:t>
      </w:r>
    </w:p>
    <w:p>
      <w:pPr>
        <w:spacing w:after="120"/>
      </w:pPr>
      <w:r>
        <w:t xml:space="preserve">Supervisor: Dr Gu Chloe</w:t>
      </w:r>
    </w:p>
    <w:p>
      <w:pPr>
        <w:spacing w:after="120"/>
      </w:pPr>
      <w:r>
        <w:t xml:space="preserve">Date: 19 August 2026</w:t>
      </w:r>
    </w:p>
    <w:p>
      <w:pPr>
        <w:pStyle w:val="Heading1"/>
        <w:spacing w:after="160" w:before="320"/>
      </w:pPr>
      <w:r>
        <w:t xml:space="preserve">Revision History</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5500"/>
      </w:tblGrid>
      <w:tr>
        <w:trPr>
          <w:tblHeader/>
        </w:trPr>
        <w:tc>
          <w:tcPr>
            <w:tcW w:type="dxa" w:w="1200"/>
            <w:shd w:fill="1F2937" w:val="clear"/>
          </w:tcPr>
          <w:p>
            <w:r>
              <w:rPr>
                <w:b/>
                <w:bCs/>
                <w:color w:val="FFFFFF"/>
              </w:rPr>
              <w:t xml:space="preserve">Version</w:t>
            </w:r>
          </w:p>
        </w:tc>
        <w:tc>
          <w:tcPr>
            <w:tcW w:type="dxa" w:w="1600"/>
            <w:shd w:fill="1F2937" w:val="clear"/>
          </w:tcPr>
          <w:p>
            <w:r>
              <w:rPr>
                <w:b/>
                <w:bCs/>
                <w:color w:val="FFFFFF"/>
              </w:rPr>
              <w:t xml:space="preserve">Date</w:t>
            </w:r>
          </w:p>
        </w:tc>
        <w:tc>
          <w:tcPr>
            <w:tcW w:type="dxa" w:w="2200"/>
            <w:shd w:fill="1F2937" w:val="clear"/>
          </w:tcPr>
          <w:p>
            <w:r>
              <w:rPr>
                <w:b/>
                <w:bCs/>
                <w:color w:val="FFFFFF"/>
              </w:rPr>
              <w:t xml:space="preserve">Author(s)</w:t>
            </w:r>
          </w:p>
        </w:tc>
        <w:tc>
          <w:tcPr>
            <w:tcW w:type="dxa" w:w="5500"/>
            <w:shd w:fill="1F2937" w:val="clear"/>
          </w:tcPr>
          <w:p>
            <w:r>
              <w:rPr>
                <w:b/>
                <w:bCs/>
                <w:color w:val="FFFFFF"/>
              </w:rPr>
              <w:t xml:space="preserve">Reason for Changes</w:t>
            </w:r>
          </w:p>
        </w:tc>
      </w:tr>
      <w:tr>
        <w:tc>
          <w:tcPr>
            <w:tcW w:type="dxa" w:w="1200"/>
          </w:tcPr>
          <w:p>
            <w:r>
              <w:rPr>
                <w:b w:val="false"/>
                <w:bCs w:val="false"/>
              </w:rPr>
              <w:t xml:space="preserve">1.0</w:t>
            </w:r>
          </w:p>
        </w:tc>
        <w:tc>
          <w:tcPr>
            <w:tcW w:type="dxa" w:w="1600"/>
          </w:tcPr>
          <w:p>
            <w:r>
              <w:rPr>
                <w:b w:val="false"/>
                <w:bCs w:val="false"/>
              </w:rPr>
              <w:t xml:space="preserve">12 Jan 2026</w:t>
            </w:r>
          </w:p>
        </w:tc>
        <w:tc>
          <w:tcPr>
            <w:tcW w:type="dxa" w:w="2200"/>
          </w:tcPr>
          <w:p>
            <w:r>
              <w:rPr>
                <w:b w:val="false"/>
                <w:bCs w:val="false"/>
              </w:rPr>
              <w:t xml:space="preserve">Leong Hao Jie</w:t>
            </w:r>
          </w:p>
        </w:tc>
        <w:tc>
          <w:tcPr>
            <w:tcW w:type="dxa" w:w="5500"/>
          </w:tcPr>
          <w:p>
            <w:r>
              <w:rPr>
                <w:b w:val="false"/>
                <w:bCs w:val="false"/>
              </w:rPr>
              <w:t xml:space="preserve">Initial SRS and Use Case Model — Phase 0 / Lab #1 deliverable</w:t>
            </w:r>
          </w:p>
        </w:tc>
      </w:tr>
      <w:tr>
        <w:tc>
          <w:tcPr>
            <w:tcW w:type="dxa" w:w="1200"/>
          </w:tcPr>
          <w:p>
            <w:r>
              <w:rPr>
                <w:b w:val="false"/>
                <w:bCs w:val="false"/>
              </w:rPr>
              <w:t xml:space="preserve">1.1</w:t>
            </w:r>
          </w:p>
        </w:tc>
        <w:tc>
          <w:tcPr>
            <w:tcW w:type="dxa" w:w="1600"/>
          </w:tcPr>
          <w:p>
            <w:r>
              <w:rPr>
                <w:b w:val="false"/>
                <w:bCs w:val="false"/>
              </w:rPr>
              <w:t xml:space="preserve">09 Feb 2026</w:t>
            </w:r>
          </w:p>
        </w:tc>
        <w:tc>
          <w:tcPr>
            <w:tcW w:type="dxa" w:w="2200"/>
          </w:tcPr>
          <w:p>
            <w:r>
              <w:rPr>
                <w:b w:val="false"/>
                <w:bCs w:val="false"/>
              </w:rPr>
              <w:t xml:space="preserve">Leong Hao Jie</w:t>
            </w:r>
          </w:p>
        </w:tc>
        <w:tc>
          <w:tcPr>
            <w:tcW w:type="dxa" w:w="5500"/>
          </w:tcPr>
          <w:p>
            <w:r>
              <w:rPr>
                <w:b w:val="false"/>
                <w:bCs w:val="false"/>
              </w:rPr>
              <w:t xml:space="preserve">Phase 1 (Analysis): locked simulation returns model, peer-grouping fallback thresholds, and ConsistencyScore formula. Resolves TBD-01, TBD-02, TBD-04.</w:t>
            </w:r>
          </w:p>
        </w:tc>
      </w:tr>
      <w:tr>
        <w:tc>
          <w:tcPr>
            <w:tcW w:type="dxa" w:w="1200"/>
          </w:tcPr>
          <w:p>
            <w:r>
              <w:rPr>
                <w:b w:val="false"/>
                <w:bCs w:val="false"/>
              </w:rPr>
              <w:t xml:space="preserve">1.2</w:t>
            </w:r>
          </w:p>
        </w:tc>
        <w:tc>
          <w:tcPr>
            <w:tcW w:type="dxa" w:w="1600"/>
          </w:tcPr>
          <w:p>
            <w:r>
              <w:rPr>
                <w:b w:val="false"/>
                <w:bCs w:val="false"/>
              </w:rPr>
              <w:t xml:space="preserve">09 Mar 2026</w:t>
            </w:r>
          </w:p>
        </w:tc>
        <w:tc>
          <w:tcPr>
            <w:tcW w:type="dxa" w:w="2200"/>
          </w:tcPr>
          <w:p>
            <w:r>
              <w:rPr>
                <w:b w:val="false"/>
                <w:bCs w:val="false"/>
              </w:rPr>
              <w:t xml:space="preserve">Leong Hao Jie</w:t>
            </w:r>
          </w:p>
        </w:tc>
        <w:tc>
          <w:tcPr>
            <w:tcW w:type="dxa" w:w="5500"/>
          </w:tcPr>
          <w:p>
            <w:r>
              <w:rPr>
                <w:b w:val="false"/>
                <w:bCs w:val="false"/>
              </w:rPr>
              <w:t xml:space="preserve">Phase 2 (Design): locked synthetic peer data generation strategy (isSynthetic flag, ~30 peers/group). Resolves TBD-03 — all TBDs now closed.</w:t>
            </w:r>
          </w:p>
        </w:tc>
      </w:tr>
      <w:tr>
        <w:tc>
          <w:tcPr>
            <w:tcW w:type="dxa" w:w="1200"/>
          </w:tcPr>
          <w:p>
            <w:r>
              <w:rPr>
                <w:b w:val="false"/>
                <w:bCs w:val="false"/>
              </w:rPr>
              <w:t xml:space="preserve">1.3</w:t>
            </w:r>
          </w:p>
        </w:tc>
        <w:tc>
          <w:tcPr>
            <w:tcW w:type="dxa" w:w="1600"/>
          </w:tcPr>
          <w:p>
            <w:r>
              <w:rPr>
                <w:b w:val="false"/>
                <w:bCs w:val="false"/>
              </w:rPr>
              <w:t xml:space="preserve">19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reopened TBD-01 — replaced the locked constant fixed-rate model with deterministic historical-return replay grounded in real SGX fund data (A35/CFA/ES3). See §2.5, Appendix C, and DECISIONS.md #1 amendment.</w:t>
            </w:r>
          </w:p>
        </w:tc>
      </w:tr>
      <w:tr>
        <w:tc>
          <w:tcPr>
            <w:tcW w:type="dxa" w:w="1200"/>
          </w:tcPr>
          <w:p>
            <w:r>
              <w:rPr>
                <w:b w:val="false"/>
                <w:bCs w:val="false"/>
              </w:rPr>
              <w:t xml:space="preserve">1.4</w:t>
            </w:r>
          </w:p>
        </w:tc>
        <w:tc>
          <w:tcPr>
            <w:tcW w:type="dxa" w:w="1600"/>
          </w:tcPr>
          <w:p>
            <w:r>
              <w:rPr>
                <w:b w:val="false"/>
                <w:bCs w:val="false"/>
              </w:rPr>
              <w:t xml:space="preserve">19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further reopens UC-03 — replaces the three fixed single-fund portfolio templates with fully user-composed multi-fund portfolios (fund catalog, weighted allocation, blended historical-return simulation). See §2.5, §6 UC-03, Appendix C, and DECISIONS.md #1 second amendment.</w:t>
            </w:r>
          </w:p>
        </w:tc>
      </w:tr>
      <w:tr>
        <w:tc>
          <w:tcPr>
            <w:tcW w:type="dxa" w:w="1200"/>
          </w:tcPr>
          <w:p>
            <w:r>
              <w:rPr>
                <w:b w:val="false"/>
                <w:bCs w:val="false"/>
              </w:rPr>
              <w:t xml:space="preserve">1.5</w:t>
            </w:r>
          </w:p>
        </w:tc>
        <w:tc>
          <w:tcPr>
            <w:tcW w:type="dxa" w:w="1600"/>
          </w:tcPr>
          <w:p>
            <w:r>
              <w:rPr>
                <w:b w:val="false"/>
                <w:bCs w:val="false"/>
              </w:rPr>
              <w:t xml:space="preserve">20 Aug 2026</w:t>
            </w:r>
          </w:p>
        </w:tc>
        <w:tc>
          <w:tcPr>
            <w:tcW w:type="dxa" w:w="2200"/>
          </w:tcPr>
          <w:p>
            <w:r>
              <w:rPr>
                <w:b w:val="false"/>
                <w:bCs w:val="false"/>
              </w:rPr>
              <w:t xml:space="preserve">Leong Hao Jie</w:t>
            </w:r>
          </w:p>
        </w:tc>
        <w:tc>
          <w:tcPr>
            <w:tcW w:type="dxa" w:w="5500"/>
          </w:tcPr>
          <w:p>
            <w:r>
              <w:rPr>
                <w:b w:val="false"/>
                <w:bCs w:val="false"/>
              </w:rPr>
              <w:t xml:space="preserve">Phase 4 (Implementation) addition: adds a contribution mechanism to UC-03 — scheduled deposit (unchanged) or round-up (spare-change parameters derived to a per-period contribution). New scope beyond the original SRS wording, not a reopened TBD. See §2.5, §6 UC-03, and DECISIONS.md #6.</w:t>
            </w:r>
          </w:p>
        </w:tc>
      </w:tr>
    </w:tbl>
    <w:p>
      <w:pPr>
        <w:pStyle w:val="Heading1"/>
        <w:spacing w:after="160" w:before="320"/>
      </w:pPr>
      <w:r>
        <w:t xml:space="preserve">1. Introduction</w:t>
      </w:r>
    </w:p>
    <w:p>
      <w:pPr>
        <w:pStyle w:val="Heading2"/>
        <w:spacing w:after="120" w:before="240"/>
      </w:pPr>
      <w:r>
        <w:t xml:space="preserve">1.1 Purpose</w:t>
      </w:r>
    </w:p>
    <w:p>
      <w:pPr>
        <w:spacing w:after="120"/>
      </w:pPr>
      <w:r>
        <w:t xml:space="preserve">This document specifies the requirements, initial use case model, and low-fidelity UI mockups for a mobile application that simulates micro-investment behaviour and provides peer benchmarking insights via an interactive dashboard. It is the first formal work product of the project (Phase 0 of the FYP roadmap, aligned with SE course Lab #1: Requirements Elicitation) and is intended to support requirements traceability and later verification via test cases in subsequent phases.</w:t>
      </w:r>
    </w:p>
    <w:p>
      <w:pPr>
        <w:shd w:fill="FEF3C7" w:val="clear"/>
        <w:spacing w:after="120"/>
      </w:pPr>
      <w:r>
        <w:rPr>
          <w:b/>
          <w:bCs/>
          <w:color w:val="B45309"/>
        </w:rPr>
        <w:t xml:space="preserve">[v1.1] </w:t>
      </w:r>
      <w:r>
        <w:t xml:space="preserve">Version 1.1 (Phase 1 / Lab #2) resolves three algorithm decisions that were left as TBD in v1.0: the simulation returns model, the peer-grouping minimum group size and fallback hierarchy, and the ConsistencyScore formula. See §2.5, §4 (Data Dictionary), §6 UC-05, and Appendix C for the specific changes. Full rationale for each decision is kept in DECISIONS.md alongside the codebase.</w:t>
      </w:r>
    </w:p>
    <w:p>
      <w:pPr>
        <w:shd w:fill="DBEAFE" w:val="clear"/>
        <w:spacing w:after="120"/>
      </w:pPr>
      <w:r>
        <w:rPr>
          <w:b/>
          <w:bCs/>
          <w:color w:val="1D4ED8"/>
        </w:rPr>
        <w:t xml:space="preserve">[v1.2] </w:t>
      </w:r>
      <w:r>
        <w:t xml:space="preserve">Version 1.2 (Phase 2 / Lab #3) resolves the fourth and final TBD: the synthetic peer data generation strategy. See §2.6, §4 (Data Dictionary), and Appendix C.</w:t>
      </w:r>
    </w:p>
    <w:p>
      <w:pPr>
        <w:shd w:fill="D1FAE5" w:val="clear"/>
        <w:spacing w:after="120"/>
      </w:pPr>
      <w:r>
        <w:rPr>
          <w:b/>
          <w:bCs/>
          <w:color w:val="047857"/>
        </w:rPr>
        <w:t xml:space="preserve">[v1.3] </w:t>
      </w:r>
      <w:r>
        <w:t xml:space="preserve">Version 1.3 (Phase 4 amendment, 19 Aug 2026) reopens TBD-01: the simulation engine’s constant fixed-rate model is replaced with deterministic replay of real historical annual returns for the SGX-listed fund each portfolio template is anchored to. See §2.5, Appendix C, and DECISIONS.md #1 amendment (project repository).</w:t>
      </w:r>
    </w:p>
    <w:p>
      <w:pPr>
        <w:shd w:fill="EDE9FE" w:val="clear"/>
        <w:spacing w:after="120"/>
      </w:pPr>
      <w:r>
        <w:rPr>
          <w:b/>
          <w:bCs/>
          <w:color w:val="6D28D9"/>
        </w:rPr>
        <w:t xml:space="preserve">[v1.4] </w:t>
      </w:r>
      <w:r>
        <w:t xml:space="preserve">Version 1.4 (Phase 4 amendment, 19 Aug 2026) further reopens UC-03: portfolio composition moves from three fixed single-fund templates to a fully user-composed multi-fund portfolio — any combination of real funds from a wider catalog, each with a user-set weight, blended into a single simulated return series. See §2.5, §6 UC-03, Appendix C, and DECISIONS.md #1 second amendment (project repository).</w:t>
      </w:r>
    </w:p>
    <w:p>
      <w:pPr>
        <w:shd w:fill="CCFBF1" w:val="clear"/>
        <w:spacing w:after="120"/>
      </w:pPr>
      <w:r>
        <w:rPr>
          <w:b/>
          <w:bCs/>
          <w:color w:val="0F766E"/>
        </w:rPr>
        <w:t xml:space="preserve">[v1.5] </w:t>
      </w:r>
      <w:r>
        <w:t xml:space="preserve">Version 1.5 (Phase 4 addition, 20 Aug 2026) adds a contribution mechanism to UC-03: a user now chooses between a scheduled deposit (the original fixed-amount input, unchanged) and round-up (spare-change parameters — average transactions per week and average round-up per transaction — derived once into a per-period contribution via a deterministic formula). New scope beyond the original SRS UC-03 wording, not a reopened TBD. See §2.5, §6 UC-03, and DECISIONS.md #6 (project repository).</w:t>
      </w:r>
    </w:p>
    <w:p>
      <w:pPr>
        <w:pStyle w:val="Heading2"/>
        <w:spacing w:after="120" w:before="240"/>
      </w:pPr>
      <w:r>
        <w:t xml:space="preserve">1.2 Scope / Project Statement</w:t>
      </w:r>
    </w:p>
    <w:p>
      <w:pPr>
        <w:spacing w:after="120"/>
      </w:pPr>
      <w:r>
        <w:t xml:space="preserve">Young investors, especially students, often start with small amounts (micro-investing) but face a benchmarking gap: they lack feedback on whether their investing habits and outcomes are comparable to peers with similar goals and budgets. Existing investment apps typically focus on individual performance, while peer comparison features are limited or absent.</w:t>
      </w:r>
    </w:p>
    <w:p>
      <w:pPr>
        <w:spacing w:after="120"/>
      </w:pPr>
      <w:r>
        <w:t xml:space="preserve">This project develops a mobile app that (1) allows a user to set up a micro-investment plan and run an investment simulation, and (2) visualises the user's behaviour and simulated outcomes against an anonymised peer group using percentile-based benchmarking. The system generates simple insights that encourage healthy, consistent investing habits.</w:t>
      </w:r>
    </w:p>
    <w:p>
      <w:pPr>
        <w:pStyle w:val="Heading2"/>
        <w:spacing w:after="120" w:before="240"/>
      </w:pPr>
      <w:r>
        <w:t xml:space="preserve">1.3 Intended Audience and Reading Suggestions</w:t>
      </w:r>
    </w:p>
    <w:p>
      <w:pPr>
        <w:spacing w:after="120"/>
      </w:pPr>
      <w:r>
        <w:t xml:space="preserve">Intended audiences include the project supervisor (Dr Gu Chloe), lab TAs / examiners, and the author acting as sole developer. Readers wanting an overview should read Sections 1–2; implementers should focus on Sections 3–6; testers should use the traceability and verifiability notes embedded in Sections 3 and 6.</w:t>
      </w:r>
    </w:p>
    <w:p>
      <w:pPr>
        <w:pStyle w:val="Heading2"/>
        <w:spacing w:after="120" w:before="240"/>
      </w:pPr>
      <w:r>
        <w:t xml:space="preserve">1.4 Phase 0/1 Work Products Overview</w:t>
      </w:r>
    </w:p>
    <w:p>
      <w:pPr>
        <w:spacing w:after="120"/>
      </w:pPr>
      <w:r>
        <w:t xml:space="preserve">This SRS is one of several work products completed across Phase 0 — Requirements Lock (January 2026) and Phase 1 — Analysis (February 2026), corresponding to SE course Labs #1 and #2. These phases as a whole consist of:</w:t>
      </w:r>
    </w:p>
    <w:p>
      <w:pPr>
        <w:pStyle w:val="ListParagraph"/>
        <w:numPr>
          <w:ilvl w:val="0"/>
          <w:numId w:val="1"/>
        </w:numPr>
        <w:spacing w:after="60"/>
      </w:pPr>
      <w:r>
        <w:t xml:space="preserve">roadmap.md — the FYP project roadmap, mapping Phases 0–9 of the project onto the Lab #1–#5 sequence and the semester timeline.</w:t>
      </w:r>
    </w:p>
    <w:p>
      <w:pPr>
        <w:pStyle w:val="ListParagraph"/>
        <w:numPr>
          <w:ilvl w:val="0"/>
          <w:numId w:val="1"/>
        </w:numPr>
        <w:spacing w:after="60"/>
      </w:pPr>
      <w:r>
        <w:t xml:space="preserve">Assignment 1 (HW0288 Engineering Communication) — the project introduction and background research write-up.</w:t>
      </w:r>
    </w:p>
    <w:p>
      <w:pPr>
        <w:pStyle w:val="ListParagraph"/>
        <w:numPr>
          <w:ilvl w:val="0"/>
          <w:numId w:val="1"/>
        </w:numPr>
        <w:spacing w:after="60"/>
      </w:pPr>
      <w:r>
        <w:t xml:space="preserve">This document — SRS v1.1, Data Dictionary, initial Use Case Model, and low-fidelity UI mockups.</w:t>
      </w:r>
    </w:p>
    <w:p>
      <w:pPr>
        <w:pStyle w:val="ListParagraph"/>
        <w:numPr>
          <w:ilvl w:val="0"/>
          <w:numId w:val="1"/>
        </w:numPr>
        <w:spacing w:after="60"/>
      </w:pPr>
      <w:r>
        <w:t xml:space="preserve">The AI Critique Report — a short review of the use case diagram against these requirements, submitted as a companion document (Phase 0).</w:t>
      </w:r>
    </w:p>
    <w:p>
      <w:pPr>
        <w:pStyle w:val="ListParagraph"/>
        <w:numPr>
          <w:ilvl w:val="0"/>
          <w:numId w:val="1"/>
        </w:numPr>
        <w:spacing w:after="60"/>
      </w:pPr>
      <w:r>
        <w:t xml:space="preserve">DECISIONS.md — full rationale for the three algorithm decisions locked in this revision (Phase 1).</w:t>
      </w:r>
    </w:p>
    <w:p>
      <w:pPr>
        <w:pStyle w:val="Heading2"/>
        <w:spacing w:after="120" w:before="240"/>
      </w:pPr>
      <w:r>
        <w:t xml:space="preserve">1.5 References</w:t>
      </w:r>
    </w:p>
    <w:p>
      <w:pPr>
        <w:pStyle w:val="ListParagraph"/>
        <w:numPr>
          <w:ilvl w:val="0"/>
          <w:numId w:val="1"/>
        </w:numPr>
        <w:spacing w:after="60"/>
      </w:pPr>
      <w:r>
        <w:t xml:space="preserve">C. Fox, Introduction to Software Engineering Design: Processes, Principles and Patterns with UML2.</w:t>
      </w:r>
    </w:p>
    <w:p>
      <w:pPr>
        <w:pStyle w:val="ListParagraph"/>
        <w:numPr>
          <w:ilvl w:val="0"/>
          <w:numId w:val="1"/>
        </w:numPr>
        <w:spacing w:after="60"/>
      </w:pPr>
      <w:r>
        <w:t xml:space="preserve">SC2006 Lab #1–#2 Manuals: Requirements Elicitation, Requirements Analysis (course material).</w:t>
      </w:r>
    </w:p>
    <w:p>
      <w:pPr>
        <w:pStyle w:val="ListParagraph"/>
        <w:numPr>
          <w:ilvl w:val="0"/>
          <w:numId w:val="1"/>
        </w:numPr>
        <w:spacing w:after="60"/>
      </w:pPr>
      <w:r>
        <w:t xml:space="preserve">IEEE SRS Template (Wiegers).</w:t>
      </w:r>
    </w:p>
    <w:p>
      <w:pPr>
        <w:pStyle w:val="ListParagraph"/>
        <w:numPr>
          <w:ilvl w:val="0"/>
          <w:numId w:val="1"/>
        </w:numPr>
        <w:spacing w:after="60"/>
      </w:pPr>
      <w:r>
        <w:t xml:space="preserve">FYP Project Introduction — "Micro-Investment App with Peer Comparison Dashboard" (CCDS25-1124).</w:t>
      </w:r>
    </w:p>
    <w:p>
      <w:pPr>
        <w:pStyle w:val="ListParagraph"/>
        <w:numPr>
          <w:ilvl w:val="0"/>
          <w:numId w:val="1"/>
        </w:numPr>
        <w:spacing w:after="60"/>
      </w:pPr>
      <w:r>
        <w:t xml:space="preserve">Assignment 1 project write-up (Engineering Communication, HW0288).</w:t>
      </w:r>
    </w:p>
    <w:p>
      <w:pPr>
        <w:pStyle w:val="ListParagraph"/>
        <w:numPr>
          <w:ilvl w:val="0"/>
          <w:numId w:val="1"/>
        </w:numPr>
        <w:spacing w:after="60"/>
      </w:pPr>
      <w:r>
        <w:t xml:space="preserve">DECISIONS.md (project repository) — locked algorithm decisions, Phase 1.</w:t>
      </w:r>
    </w:p>
    <w:p>
      <w:pPr>
        <w:pStyle w:val="Heading1"/>
        <w:spacing w:after="160" w:before="320"/>
      </w:pPr>
      <w:r>
        <w:t xml:space="preserve">2. Overall Description</w:t>
      </w:r>
    </w:p>
    <w:p>
      <w:pPr>
        <w:pStyle w:val="Heading2"/>
        <w:spacing w:after="120" w:before="240"/>
      </w:pPr>
      <w:r>
        <w:t xml:space="preserve">2.1 Product Perspective</w:t>
      </w:r>
    </w:p>
    <w:p>
      <w:pPr>
        <w:spacing w:after="120"/>
      </w:pPr>
      <w:r>
        <w:t xml:space="preserve">The system is a standalone mobile application backed by a web API and a relational database. Core computations (simulation, peer benchmarking, insight generation) occur on the backend; the mobile frontend focuses on data entry and visualisation.</w:t>
      </w:r>
    </w:p>
    <w:p>
      <w:pPr>
        <w:pStyle w:val="Heading2"/>
        <w:spacing w:after="120" w:before="240"/>
      </w:pPr>
      <w:r>
        <w:t xml:space="preserve">2.2 Product Functions (High-level)</w:t>
      </w:r>
    </w:p>
    <w:p>
      <w:pPr>
        <w:pStyle w:val="ListParagraph"/>
        <w:numPr>
          <w:ilvl w:val="0"/>
          <w:numId w:val="1"/>
        </w:numPr>
        <w:spacing w:after="60"/>
      </w:pPr>
      <w:r>
        <w:t xml:space="preserve">User registration and login</w:t>
      </w:r>
    </w:p>
    <w:p>
      <w:pPr>
        <w:pStyle w:val="ListParagraph"/>
        <w:numPr>
          <w:ilvl w:val="0"/>
          <w:numId w:val="1"/>
        </w:numPr>
        <w:spacing w:after="60"/>
      </w:pPr>
      <w:r>
        <w:t xml:space="preserve">Profile setup (risk level, goal type, budget band)</w:t>
      </w:r>
    </w:p>
    <w:p>
      <w:pPr>
        <w:pStyle w:val="ListParagraph"/>
        <w:numPr>
          <w:ilvl w:val="0"/>
          <w:numId w:val="1"/>
        </w:numPr>
        <w:spacing w:after="60"/>
      </w:pPr>
      <w:r>
        <w:t xml:space="preserve">Portfolio template selection and simulation configuration</w:t>
      </w:r>
    </w:p>
    <w:p>
      <w:pPr>
        <w:pStyle w:val="ListParagraph"/>
        <w:numPr>
          <w:ilvl w:val="0"/>
          <w:numId w:val="1"/>
        </w:numPr>
        <w:spacing w:after="60"/>
      </w:pPr>
      <w:r>
        <w:t xml:space="preserve">Investment simulation run and history viewing</w:t>
      </w:r>
    </w:p>
    <w:p>
      <w:pPr>
        <w:pStyle w:val="ListParagraph"/>
        <w:numPr>
          <w:ilvl w:val="0"/>
          <w:numId w:val="1"/>
        </w:numPr>
        <w:spacing w:after="60"/>
      </w:pPr>
      <w:r>
        <w:t xml:space="preserve">Dashboard visualisation (growth, behaviour metrics, peer percentile)</w:t>
      </w:r>
    </w:p>
    <w:p>
      <w:pPr>
        <w:pStyle w:val="ListParagraph"/>
        <w:numPr>
          <w:ilvl w:val="0"/>
          <w:numId w:val="1"/>
        </w:numPr>
        <w:spacing w:after="60"/>
      </w:pPr>
      <w:r>
        <w:t xml:space="preserve">Anonymised peer comparison and insight cards</w:t>
      </w:r>
    </w:p>
    <w:p>
      <w:pPr>
        <w:pStyle w:val="Heading2"/>
        <w:spacing w:after="120" w:before="240"/>
      </w:pPr>
      <w:r>
        <w:t xml:space="preserve">2.3 User Classes and Characteristics</w:t>
      </w:r>
    </w:p>
    <w:p>
      <w:pPr>
        <w:spacing w:after="120"/>
      </w:pPr>
      <w:r>
        <w:t xml:space="preserve">Primary user class: students and young adults (18–30) with limited investing experience, preferring simple explanations, low cognitive load UI, and mobile-first access. Users may invest small amounts and benefit from habit-focused feedback.</w:t>
      </w:r>
    </w:p>
    <w:p>
      <w:pPr>
        <w:pStyle w:val="Heading2"/>
        <w:spacing w:after="120" w:before="240"/>
      </w:pPr>
      <w:r>
        <w:t xml:space="preserve">2.4 Operating Environment</w:t>
      </w:r>
    </w:p>
    <w:p>
      <w:pPr>
        <w:spacing w:after="120"/>
      </w:pPr>
      <w:r>
        <w:t xml:space="preserve">Frontend: Mobile (Android/iOS) built with a cross-platform framework (Expo / React Native).</w:t>
      </w:r>
    </w:p>
    <w:p>
      <w:pPr>
        <w:spacing w:after="120"/>
      </w:pPr>
      <w:r>
        <w:t xml:space="preserve">Backend: Web API server (Node.js / Express / TypeScript).</w:t>
      </w:r>
    </w:p>
    <w:p>
      <w:pPr>
        <w:spacing w:after="120"/>
      </w:pPr>
      <w:r>
        <w:t xml:space="preserve">Database: PostgreSQL, accessed via Prisma ORM.</w:t>
      </w:r>
    </w:p>
    <w:p>
      <w:pPr>
        <w:spacing w:after="120"/>
      </w:pPr>
      <w:r>
        <w:t xml:space="preserve">Network: HTTPS over typical mobile / Wi-Fi connections.</w:t>
      </w:r>
    </w:p>
    <w:p>
      <w:pPr>
        <w:pStyle w:val="Heading2"/>
        <w:spacing w:after="120" w:before="240"/>
      </w:pPr>
      <w:r>
        <w:t xml:space="preserve">2.5 Design and Implementation Constraints</w:t>
      </w:r>
    </w:p>
    <w:p>
      <w:pPr>
        <w:spacing w:after="120"/>
      </w:pPr>
      <w:r>
        <w:t xml:space="preserve">MVP uses a simplified returns model; live market-data APIs are treated as a future extension.</w:t>
      </w:r>
    </w:p>
    <w:p>
      <w:pPr>
        <w:spacing w:after="120"/>
      </w:pPr>
      <w:r>
        <w:t xml:space="preserve">Peer comparisons must be privacy-preserving: only aggregated statistics are shown, never raw peer records.</w:t>
      </w:r>
    </w:p>
    <w:p>
      <w:pPr>
        <w:spacing w:after="120"/>
      </w:pPr>
      <w:r>
        <w:t xml:space="preserve">System must remain implementable by a single developer within the FYP timeline and capacity (see roadmap.md).</w:t>
      </w:r>
    </w:p>
    <w:p>
      <w:pPr>
        <w:shd w:fill="FEF3C7" w:val="clear"/>
        <w:spacing w:after="120"/>
      </w:pPr>
      <w:r>
        <w:rPr>
          <w:b/>
          <w:bCs/>
          <w:color w:val="B45309"/>
        </w:rPr>
        <w:t xml:space="preserve">[v1.1] </w:t>
      </w:r>
      <w:r>
        <w:t xml:space="preserve">The simulation engine uses deterministic fixed-rate compounding based on the selected portfolio template's expected return: balance[n] = (balance[n-1] + contributionAmount) × (1 + periodicRate). No stochastic or volatility-based modelling is performed in the MVP; PortfolioTemplate.volatility is retained in the schema for a possible future extension only. This satisfies NFR-04 (reproducibility) by construction — identical inputs always produce identical output.</w:t>
      </w:r>
    </w:p>
    <w:p>
      <w:pPr>
        <w:shd w:fill="D1FAE5" w:val="clear"/>
        <w:spacing w:after="120"/>
      </w:pPr>
      <w:r>
        <w:rPr>
          <w:b/>
          <w:bCs/>
          <w:color w:val="047857"/>
        </w:rPr>
        <w:t xml:space="preserve">[v1.3] </w:t>
      </w:r>
      <w:r>
        <w:t xml:space="preserve">AMENDED (Phase 4, 19 Aug 2026): periodicRate is no longer a single constant derived from expectedReturn. Each portfolio template is now anchored to a real SGX-listed fund (Conservative → A35 ABF Singapore Bond Index Fund ETF, Balanced → CFA Amova/NikkoAM-StraitsTrading Asia ex Japan REIT ETF, Growth → ES3 SPDR Straits Times Index ETF) and the engine replays that fund’s actual annual returns year by year, deriving each period’s rate geometrically so a full year reproduces the real annual return exactly. The series wraps back to its start for plans exceeding the real data available, surfaced via a historyWrapped flag. This remains fully deterministic (NFR-04 intact): the return series is static seed data, not live-fetched or randomly resampled, so identical inputs still always produce identical output. See DECISIONS.md #1 amendment for full rationale, data sourcing, and citations.</w:t>
      </w:r>
    </w:p>
    <w:p>
      <w:pPr>
        <w:shd w:fill="EDE9FE" w:val="clear"/>
        <w:spacing w:after="120"/>
      </w:pPr>
      <w:r>
        <w:rPr>
          <w:b/>
          <w:bCs/>
          <w:color w:val="6D28D9"/>
        </w:rPr>
        <w:t xml:space="preserve">[v1.4] </w:t>
      </w:r>
      <w:r>
        <w:t xml:space="preserve">AMENDED FURTHER (Phase 4, 19 Aug 2026): PortfolioTemplate is removed entirely. A user now composes a Portfolio from one or more Funds, each carrying its own HistoricalReturn series, with a percentage weight per fund (validated to sum to 100%). Each period’s simulated rate is the weight-blended average of every allocated fund’s own periodic rate for that period — a rebalance-every-period simplifying assumption — so the model reduces to the v1.3 single-fund case exactly when a portfolio holds one fund at 100% weight. historyWrapped now reflects whether any allocated fund’s own series wrapped, since each fund’s real history can run a different length. Still fully deterministic (NFR-04 intact): every fund’s series is static seed data. The wider fund catalog (7 funds spanning bonds, SG/US/EM equity, REITs, and gold) was sourced via a live financial-data API (EODHD) where its plan covered the needed exchange and depth, and via web search where it did not — confirmed directly against the API that this key’s plan excludes the Singapore Exchange entirely and caps historical depth at 1 year on every exchange it does cover. See DECISIONS.md #1 second amendment for the full schema, algorithm, and data-sourcing detail.</w:t>
      </w:r>
    </w:p>
    <w:p>
      <w:pPr>
        <w:shd w:fill="CCFBF1" w:val="clear"/>
        <w:spacing w:after="120"/>
      </w:pPr>
      <w:r>
        <w:rPr>
          <w:b/>
          <w:bCs/>
          <w:color w:val="0F766E"/>
        </w:rPr>
        <w:t xml:space="preserve">[v1.5] </w:t>
      </w:r>
      <w:r>
        <w:t xml:space="preserve">ADDED (Phase 4, 20 Aug 2026): a Simulation’s contributionAmount can now come from one of two mechanisms. Scheduled deposit is the original model — the user enters the amount directly. Round-up derives it once from two new inputs, average transactions per week and average round-up per transaction, as avgTransactionsPerWeek × weeksPerPeriod × avgRoundUpAmount (weeksPerPeriod = 1 for WEEKLY, 52/12 for MONTHLY) — a single constant figure applied uniformly to every period, not a simulated transaction stream, so it composes with the weighted historical-return blending above completely unchanged and NFR-04 holds for the same reason it always has. See DECISIONS.md #6 for the full rationale, including why a simulated per-day transaction stream was considered and rejected.</w:t>
      </w:r>
    </w:p>
    <w:p>
      <w:pPr>
        <w:shd w:fill="FEF3C7" w:val="clear"/>
        <w:spacing w:after="120"/>
      </w:pPr>
      <w:r>
        <w:rPr>
          <w:b/>
          <w:bCs/>
          <w:color w:val="B45309"/>
        </w:rPr>
        <w:t xml:space="preserve">[v1.1] </w:t>
      </w:r>
      <w:r>
        <w:t xml:space="preserve">Peer grouping uses a minimum group size of 10 (MIN_GROUP_SIZE = 10) with a three-tier fallback: FULL (risk level + budget band + goal type) → RISK_BUDGET (risk level + budget band) → RISK_ONLY (risk level only, floor tier). A group falls back to the next tier if its member count is below 10. See §6 UC-05 and the Data Dictionary (§4) for details.</w:t>
      </w:r>
    </w:p>
    <w:p>
      <w:pPr>
        <w:pStyle w:val="Heading2"/>
        <w:spacing w:after="120" w:before="240"/>
      </w:pPr>
      <w:r>
        <w:t xml:space="preserve">2.6 Assumptions and Dependencies</w:t>
      </w:r>
    </w:p>
    <w:p>
      <w:pPr>
        <w:spacing w:after="120"/>
      </w:pPr>
      <w:r>
        <w:t xml:space="preserve">Users will provide approximate budget and preference inputs.</w:t>
      </w:r>
    </w:p>
    <w:p>
      <w:pPr>
        <w:shd w:fill="DBEAFE" w:val="clear"/>
        <w:spacing w:after="120"/>
      </w:pPr>
      <w:r>
        <w:rPr>
          <w:b/>
          <w:bCs/>
          <w:color w:val="1D4ED8"/>
        </w:rPr>
        <w:t xml:space="preserve">[v1.2] </w:t>
      </w:r>
      <w:r>
        <w:t xml:space="preserve">Synthetic peer data (isSynthetic = true users) is generated by prisma/seed.ts to seed peer groups up to MIN_GROUP_SIZE = 10 ahead of real user growth. See §4 Data Dictionary and Appendix C.</w:t>
      </w:r>
    </w:p>
    <w:p>
      <w:pPr>
        <w:spacing w:after="120"/>
      </w:pPr>
      <w:r>
        <w:t xml:space="preserve">If market-data integration is implemented later, external API reliability and rate limits will apply.</w:t>
      </w:r>
    </w:p>
    <w:p>
      <w:pPr>
        <w:pStyle w:val="Heading1"/>
        <w:spacing w:after="160" w:before="320"/>
      </w:pPr>
      <w:r>
        <w:t xml:space="preserve">3. Requirements Specification</w:t>
      </w:r>
    </w:p>
    <w:p>
      <w:pPr>
        <w:pStyle w:val="Heading2"/>
        <w:spacing w:after="120" w:before="240"/>
      </w:pPr>
      <w:r>
        <w:t xml:space="preserve">3.1 Document Conventions</w:t>
      </w:r>
    </w:p>
    <w:p>
      <w:pPr>
        <w:spacing w:after="120"/>
      </w:pPr>
      <w:r>
        <w:t xml:space="preserve">Functional requirements are labelled FR-xx. Non-functional requirements are labelled NFR-xx. Each requirement is atomic, unambiguous, and verifiable. Trace links are provided to Use Cases (UC-xx) and UI Screens (S-xx), following the heuristics in Fox pp.126–130.</w:t>
      </w:r>
    </w:p>
    <w:p>
      <w:pPr>
        <w:pStyle w:val="Heading2"/>
        <w:spacing w:after="120" w:before="240"/>
      </w:pPr>
      <w:r>
        <w:t xml:space="preserve">3.2 Functional Requirements</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FR01</w:t>
            </w:r>
          </w:p>
        </w:tc>
        <w:tc>
          <w:tcPr>
            <w:tcW w:type="dxa" w:w="800"/>
          </w:tcPr>
          <w:p>
            <w:r>
              <w:rPr>
                <w:b w:val="false"/>
                <w:bCs w:val="false"/>
              </w:rPr>
              <w:t xml:space="preserve">User</w:t>
            </w:r>
          </w:p>
        </w:tc>
        <w:tc>
          <w:tcPr>
            <w:tcW w:type="dxa" w:w="2200"/>
          </w:tcPr>
          <w:p>
            <w:r>
              <w:rPr>
                <w:b w:val="false"/>
                <w:bCs w:val="false"/>
              </w:rPr>
              <w:t xml:space="preserve">Email + password (register)</w:t>
            </w:r>
          </w:p>
        </w:tc>
        <w:tc>
          <w:tcPr>
            <w:tcW w:type="dxa" w:w="2500"/>
          </w:tcPr>
          <w:p>
            <w:r>
              <w:rPr>
                <w:b w:val="false"/>
                <w:bCs w:val="false"/>
              </w:rPr>
              <w:t xml:space="preserve">Create account, store credentials securely</w:t>
            </w:r>
          </w:p>
        </w:tc>
        <w:tc>
          <w:tcPr>
            <w:tcW w:type="dxa" w:w="1650"/>
          </w:tcPr>
          <w:p>
            <w:r>
              <w:rPr>
                <w:b w:val="false"/>
                <w:bCs w:val="false"/>
              </w:rPr>
              <w:t xml:space="preserve">Account created + session</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FR02</w:t>
            </w:r>
          </w:p>
        </w:tc>
        <w:tc>
          <w:tcPr>
            <w:tcW w:type="dxa" w:w="800"/>
          </w:tcPr>
          <w:p>
            <w:r>
              <w:rPr>
                <w:b w:val="false"/>
                <w:bCs w:val="false"/>
              </w:rPr>
              <w:t xml:space="preserve">User</w:t>
            </w:r>
          </w:p>
        </w:tc>
        <w:tc>
          <w:tcPr>
            <w:tcW w:type="dxa" w:w="2200"/>
          </w:tcPr>
          <w:p>
            <w:r>
              <w:rPr>
                <w:b w:val="false"/>
                <w:bCs w:val="false"/>
              </w:rPr>
              <w:t xml:space="preserve">Email + password (login)</w:t>
            </w:r>
          </w:p>
        </w:tc>
        <w:tc>
          <w:tcPr>
            <w:tcW w:type="dxa" w:w="2500"/>
          </w:tcPr>
          <w:p>
            <w:r>
              <w:rPr>
                <w:b w:val="false"/>
                <w:bCs w:val="false"/>
              </w:rPr>
              <w:t xml:space="preserve">Authenticate user</w:t>
            </w:r>
          </w:p>
        </w:tc>
        <w:tc>
          <w:tcPr>
            <w:tcW w:type="dxa" w:w="1650"/>
          </w:tcPr>
          <w:p>
            <w:r>
              <w:rPr>
                <w:b w:val="false"/>
                <w:bCs w:val="false"/>
              </w:rPr>
              <w:t xml:space="preserve">Token/session granted</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FR03</w:t>
            </w:r>
          </w:p>
        </w:tc>
        <w:tc>
          <w:tcPr>
            <w:tcW w:type="dxa" w:w="800"/>
          </w:tcPr>
          <w:p>
            <w:r>
              <w:rPr>
                <w:b w:val="false"/>
                <w:bCs w:val="false"/>
              </w:rPr>
              <w:t xml:space="preserve">User</w:t>
            </w:r>
          </w:p>
        </w:tc>
        <w:tc>
          <w:tcPr>
            <w:tcW w:type="dxa" w:w="2200"/>
          </w:tcPr>
          <w:p>
            <w:r>
              <w:rPr>
                <w:b w:val="false"/>
                <w:bCs w:val="false"/>
              </w:rPr>
              <w:t xml:space="preserve">Risk level, goal type, budget</w:t>
            </w:r>
          </w:p>
        </w:tc>
        <w:tc>
          <w:tcPr>
            <w:tcW w:type="dxa" w:w="2500"/>
          </w:tcPr>
          <w:p>
            <w:r>
              <w:rPr>
                <w:b w:val="false"/>
                <w:bCs w:val="false"/>
              </w:rPr>
              <w:t xml:space="preserve">Save profile, derive budget band</w:t>
            </w:r>
          </w:p>
        </w:tc>
        <w:tc>
          <w:tcPr>
            <w:tcW w:type="dxa" w:w="1650"/>
          </w:tcPr>
          <w:p>
            <w:r>
              <w:rPr>
                <w:b w:val="false"/>
                <w:bCs w:val="false"/>
              </w:rPr>
              <w:t xml:space="preserve">Profile stored</w:t>
            </w:r>
          </w:p>
        </w:tc>
        <w:tc>
          <w:tcPr>
            <w:tcW w:type="dxa" w:w="700"/>
          </w:tcPr>
          <w:p>
            <w:r>
              <w:rPr>
                <w:b w:val="false"/>
                <w:bCs w:val="false"/>
              </w:rPr>
              <w:t xml:space="preserve">High</w:t>
            </w:r>
          </w:p>
        </w:tc>
        <w:tc>
          <w:tcPr>
            <w:tcW w:type="dxa" w:w="950"/>
          </w:tcPr>
          <w:p>
            <w:r>
              <w:rPr>
                <w:b w:val="false"/>
                <w:bCs w:val="false"/>
              </w:rPr>
              <w:t xml:space="preserve">UC-02/S-02</w:t>
            </w:r>
          </w:p>
        </w:tc>
      </w:tr>
      <w:tr>
        <w:tc>
          <w:tcPr>
            <w:tcW w:type="dxa" w:w="750"/>
          </w:tcPr>
          <w:p>
            <w:r>
              <w:rPr>
                <w:b w:val="false"/>
                <w:bCs w:val="false"/>
              </w:rPr>
              <w:t xml:space="preserve">FR04</w:t>
            </w:r>
          </w:p>
        </w:tc>
        <w:tc>
          <w:tcPr>
            <w:tcW w:type="dxa" w:w="800"/>
          </w:tcPr>
          <w:p>
            <w:r>
              <w:rPr>
                <w:b w:val="false"/>
                <w:bCs w:val="false"/>
              </w:rPr>
              <w:t xml:space="preserve">User</w:t>
            </w:r>
          </w:p>
        </w:tc>
        <w:tc>
          <w:tcPr>
            <w:tcW w:type="dxa" w:w="2200"/>
          </w:tcPr>
          <w:p>
            <w:r>
              <w:rPr>
                <w:b w:val="false"/>
                <w:bCs w:val="false"/>
              </w:rPr>
              <w:t xml:space="preserve">Request templates</w:t>
            </w:r>
          </w:p>
        </w:tc>
        <w:tc>
          <w:tcPr>
            <w:tcW w:type="dxa" w:w="2500"/>
          </w:tcPr>
          <w:p>
            <w:r>
              <w:rPr>
                <w:b w:val="false"/>
                <w:bCs w:val="false"/>
              </w:rPr>
              <w:t xml:space="preserve">Return available portfolio templates</w:t>
            </w:r>
          </w:p>
        </w:tc>
        <w:tc>
          <w:tcPr>
            <w:tcW w:type="dxa" w:w="1650"/>
          </w:tcPr>
          <w:p>
            <w:r>
              <w:rPr>
                <w:b w:val="false"/>
                <w:bCs w:val="false"/>
              </w:rPr>
              <w:t xml:space="preserve">Template list</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FR05</w:t>
            </w:r>
          </w:p>
        </w:tc>
        <w:tc>
          <w:tcPr>
            <w:tcW w:type="dxa" w:w="800"/>
          </w:tcPr>
          <w:p>
            <w:r>
              <w:rPr>
                <w:b w:val="false"/>
                <w:bCs w:val="false"/>
              </w:rPr>
              <w:t xml:space="preserve">User</w:t>
            </w:r>
          </w:p>
        </w:tc>
        <w:tc>
          <w:tcPr>
            <w:tcW w:type="dxa" w:w="2200"/>
          </w:tcPr>
          <w:p>
            <w:r>
              <w:rPr>
                <w:b w:val="false"/>
                <w:bCs w:val="false"/>
              </w:rPr>
              <w:t xml:space="preserve">Template + freq + amount + duration</w:t>
            </w:r>
          </w:p>
        </w:tc>
        <w:tc>
          <w:tcPr>
            <w:tcW w:type="dxa" w:w="2500"/>
          </w:tcPr>
          <w:p>
            <w:r>
              <w:rPr>
                <w:b w:val="false"/>
                <w:bCs w:val="false"/>
              </w:rPr>
              <w:t xml:space="preserve">Validate &amp; create simulation run</w:t>
            </w:r>
          </w:p>
        </w:tc>
        <w:tc>
          <w:tcPr>
            <w:tcW w:type="dxa" w:w="1650"/>
          </w:tcPr>
          <w:p>
            <w:r>
              <w:rPr>
                <w:b w:val="false"/>
                <w:bCs w:val="false"/>
              </w:rPr>
              <w:t xml:space="preserve">Simulation created</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FR06</w:t>
            </w:r>
          </w:p>
        </w:tc>
        <w:tc>
          <w:tcPr>
            <w:tcW w:type="dxa" w:w="800"/>
          </w:tcPr>
          <w:p>
            <w:r>
              <w:rPr>
                <w:b w:val="false"/>
                <w:bCs w:val="false"/>
              </w:rPr>
              <w:t xml:space="preserve">System</w:t>
            </w:r>
          </w:p>
        </w:tc>
        <w:tc>
          <w:tcPr>
            <w:tcW w:type="dxa" w:w="2200"/>
          </w:tcPr>
          <w:p>
            <w:r>
              <w:rPr>
                <w:b w:val="false"/>
                <w:bCs w:val="false"/>
              </w:rPr>
              <w:t xml:space="preserve">Simulation parameters</w:t>
            </w:r>
          </w:p>
        </w:tc>
        <w:tc>
          <w:tcPr>
            <w:tcW w:type="dxa" w:w="2500"/>
          </w:tcPr>
          <w:p>
            <w:r>
              <w:rPr>
                <w:b w:val="false"/>
                <w:bCs w:val="false"/>
              </w:rPr>
              <w:t xml:space="preserve">Compute simulated portfolio value series (deterministic fixed-rate, §2.5)</w:t>
            </w:r>
          </w:p>
        </w:tc>
        <w:tc>
          <w:tcPr>
            <w:tcW w:type="dxa" w:w="1650"/>
          </w:tcPr>
          <w:p>
            <w:r>
              <w:rPr>
                <w:b w:val="false"/>
                <w:bCs w:val="false"/>
              </w:rPr>
              <w:t xml:space="preserve">Time-series values</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FR07</w:t>
            </w:r>
          </w:p>
        </w:tc>
        <w:tc>
          <w:tcPr>
            <w:tcW w:type="dxa" w:w="800"/>
          </w:tcPr>
          <w:p>
            <w:r>
              <w:rPr>
                <w:b w:val="false"/>
                <w:bCs w:val="false"/>
              </w:rPr>
              <w:t xml:space="preserve">System</w:t>
            </w:r>
          </w:p>
        </w:tc>
        <w:tc>
          <w:tcPr>
            <w:tcW w:type="dxa" w:w="2200"/>
          </w:tcPr>
          <w:p>
            <w:r>
              <w:rPr>
                <w:b w:val="false"/>
                <w:bCs w:val="false"/>
              </w:rPr>
              <w:t xml:space="preserve">Simulation results</w:t>
            </w:r>
          </w:p>
        </w:tc>
        <w:tc>
          <w:tcPr>
            <w:tcW w:type="dxa" w:w="2500"/>
          </w:tcPr>
          <w:p>
            <w:r>
              <w:rPr>
                <w:b w:val="false"/>
                <w:bCs w:val="false"/>
              </w:rPr>
              <w:t xml:space="preserve">Store contributions per period</w:t>
            </w:r>
          </w:p>
        </w:tc>
        <w:tc>
          <w:tcPr>
            <w:tcW w:type="dxa" w:w="1650"/>
          </w:tcPr>
          <w:p>
            <w:r>
              <w:rPr>
                <w:b w:val="false"/>
                <w:bCs w:val="false"/>
              </w:rPr>
              <w:t xml:space="preserve">Contribution records</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FR08</w:t>
            </w:r>
          </w:p>
        </w:tc>
        <w:tc>
          <w:tcPr>
            <w:tcW w:type="dxa" w:w="800"/>
          </w:tcPr>
          <w:p>
            <w:r>
              <w:rPr>
                <w:b w:val="false"/>
                <w:bCs w:val="false"/>
              </w:rPr>
              <w:t xml:space="preserve">User</w:t>
            </w:r>
          </w:p>
        </w:tc>
        <w:tc>
          <w:tcPr>
            <w:tcW w:type="dxa" w:w="2200"/>
          </w:tcPr>
          <w:p>
            <w:r>
              <w:rPr>
                <w:b w:val="false"/>
                <w:bCs w:val="false"/>
              </w:rPr>
              <w:t xml:space="preserve">Open dashboard</w:t>
            </w:r>
          </w:p>
        </w:tc>
        <w:tc>
          <w:tcPr>
            <w:tcW w:type="dxa" w:w="2500"/>
          </w:tcPr>
          <w:p>
            <w:r>
              <w:rPr>
                <w:b w:val="false"/>
                <w:bCs w:val="false"/>
              </w:rPr>
              <w:t xml:space="preserve">Retrieve latest simulation summary + ConsistencyScore (§4)</w:t>
            </w:r>
          </w:p>
        </w:tc>
        <w:tc>
          <w:tcPr>
            <w:tcW w:type="dxa" w:w="1650"/>
          </w:tcPr>
          <w:p>
            <w:r>
              <w:rPr>
                <w:b w:val="false"/>
                <w:bCs w:val="false"/>
              </w:rPr>
              <w:t xml:space="preserve">Value/growth chart</w:t>
            </w:r>
          </w:p>
        </w:tc>
        <w:tc>
          <w:tcPr>
            <w:tcW w:type="dxa" w:w="700"/>
          </w:tcPr>
          <w:p>
            <w:r>
              <w:rPr>
                <w:b w:val="false"/>
                <w:bCs w:val="false"/>
              </w:rPr>
              <w:t xml:space="preserve">High</w:t>
            </w:r>
          </w:p>
        </w:tc>
        <w:tc>
          <w:tcPr>
            <w:tcW w:type="dxa" w:w="950"/>
          </w:tcPr>
          <w:p>
            <w:r>
              <w:rPr>
                <w:b w:val="false"/>
                <w:bCs w:val="false"/>
              </w:rPr>
              <w:t xml:space="preserve">UC-04/S-04</w:t>
            </w:r>
          </w:p>
        </w:tc>
      </w:tr>
      <w:tr>
        <w:tc>
          <w:tcPr>
            <w:tcW w:type="dxa" w:w="750"/>
          </w:tcPr>
          <w:p>
            <w:r>
              <w:rPr>
                <w:b w:val="false"/>
                <w:bCs w:val="false"/>
              </w:rPr>
              <w:t xml:space="preserve">FR09</w:t>
            </w:r>
          </w:p>
        </w:tc>
        <w:tc>
          <w:tcPr>
            <w:tcW w:type="dxa" w:w="800"/>
          </w:tcPr>
          <w:p>
            <w:r>
              <w:rPr>
                <w:b w:val="false"/>
                <w:bCs w:val="false"/>
              </w:rPr>
              <w:t xml:space="preserve">System</w:t>
            </w:r>
          </w:p>
        </w:tc>
        <w:tc>
          <w:tcPr>
            <w:tcW w:type="dxa" w:w="2200"/>
          </w:tcPr>
          <w:p>
            <w:r>
              <w:rPr>
                <w:b w:val="false"/>
                <w:bCs w:val="false"/>
              </w:rPr>
              <w:t xml:space="preserve">User profile attributes</w:t>
            </w:r>
          </w:p>
        </w:tc>
        <w:tc>
          <w:tcPr>
            <w:tcW w:type="dxa" w:w="2500"/>
          </w:tcPr>
          <w:p>
            <w:r>
              <w:rPr>
                <w:b w:val="false"/>
                <w:bCs w:val="false"/>
              </w:rPr>
              <w:t xml:space="preserve">Assign user to peer group via MIN_GROUP_SIZE=10 fallback (§2.5)</w:t>
            </w:r>
          </w:p>
        </w:tc>
        <w:tc>
          <w:tcPr>
            <w:tcW w:type="dxa" w:w="1650"/>
          </w:tcPr>
          <w:p>
            <w:r>
              <w:rPr>
                <w:b w:val="false"/>
                <w:bCs w:val="false"/>
              </w:rPr>
              <w:t xml:space="preserve">Peer group ID + tier</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FR10</w:t>
            </w:r>
          </w:p>
        </w:tc>
        <w:tc>
          <w:tcPr>
            <w:tcW w:type="dxa" w:w="800"/>
          </w:tcPr>
          <w:p>
            <w:r>
              <w:rPr>
                <w:b w:val="false"/>
                <w:bCs w:val="false"/>
              </w:rPr>
              <w:t xml:space="preserve">System</w:t>
            </w:r>
          </w:p>
        </w:tc>
        <w:tc>
          <w:tcPr>
            <w:tcW w:type="dxa" w:w="2200"/>
          </w:tcPr>
          <w:p>
            <w:r>
              <w:rPr>
                <w:b w:val="false"/>
                <w:bCs w:val="false"/>
              </w:rPr>
              <w:t xml:space="preserve">Peer group data</w:t>
            </w:r>
          </w:p>
        </w:tc>
        <w:tc>
          <w:tcPr>
            <w:tcW w:type="dxa" w:w="2500"/>
          </w:tcPr>
          <w:p>
            <w:r>
              <w:rPr>
                <w:b w:val="false"/>
                <w:bCs w:val="false"/>
              </w:rPr>
              <w:t xml:space="preserve">Compute aggregated benchmark stats</w:t>
            </w:r>
          </w:p>
        </w:tc>
        <w:tc>
          <w:tcPr>
            <w:tcW w:type="dxa" w:w="1650"/>
          </w:tcPr>
          <w:p>
            <w:r>
              <w:rPr>
                <w:b w:val="false"/>
                <w:bCs w:val="false"/>
              </w:rPr>
              <w:t xml:space="preserve">Median, percentiles</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FR11</w:t>
            </w:r>
          </w:p>
        </w:tc>
        <w:tc>
          <w:tcPr>
            <w:tcW w:type="dxa" w:w="800"/>
          </w:tcPr>
          <w:p>
            <w:r>
              <w:rPr>
                <w:b w:val="false"/>
                <w:bCs w:val="false"/>
              </w:rPr>
              <w:t xml:space="preserve">User</w:t>
            </w:r>
          </w:p>
        </w:tc>
        <w:tc>
          <w:tcPr>
            <w:tcW w:type="dxa" w:w="2200"/>
          </w:tcPr>
          <w:p>
            <w:r>
              <w:rPr>
                <w:b w:val="false"/>
                <w:bCs w:val="false"/>
              </w:rPr>
              <w:t xml:space="preserve">Open peer comparison</w:t>
            </w:r>
          </w:p>
        </w:tc>
        <w:tc>
          <w:tcPr>
            <w:tcW w:type="dxa" w:w="2500"/>
          </w:tcPr>
          <w:p>
            <w:r>
              <w:rPr>
                <w:b w:val="false"/>
                <w:bCs w:val="false"/>
              </w:rPr>
              <w:t xml:space="preserve">Compare user vs peer benchmarks</w:t>
            </w:r>
          </w:p>
        </w:tc>
        <w:tc>
          <w:tcPr>
            <w:tcW w:type="dxa" w:w="1650"/>
          </w:tcPr>
          <w:p>
            <w:r>
              <w:rPr>
                <w:b w:val="false"/>
                <w:bCs w:val="false"/>
              </w:rPr>
              <w:t xml:space="preserve">Percentile + median</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FR12</w:t>
            </w:r>
          </w:p>
        </w:tc>
        <w:tc>
          <w:tcPr>
            <w:tcW w:type="dxa" w:w="800"/>
          </w:tcPr>
          <w:p>
            <w:r>
              <w:rPr>
                <w:b w:val="false"/>
                <w:bCs w:val="false"/>
              </w:rPr>
              <w:t xml:space="preserve">User</w:t>
            </w:r>
          </w:p>
        </w:tc>
        <w:tc>
          <w:tcPr>
            <w:tcW w:type="dxa" w:w="2200"/>
          </w:tcPr>
          <w:p>
            <w:r>
              <w:rPr>
                <w:b w:val="false"/>
                <w:bCs w:val="false"/>
              </w:rPr>
              <w:t xml:space="preserve">Open insights</w:t>
            </w:r>
          </w:p>
        </w:tc>
        <w:tc>
          <w:tcPr>
            <w:tcW w:type="dxa" w:w="2500"/>
          </w:tcPr>
          <w:p>
            <w:r>
              <w:rPr>
                <w:b w:val="false"/>
                <w:bCs w:val="false"/>
              </w:rPr>
              <w:t xml:space="preserve">Generate insight cards from gaps</w:t>
            </w:r>
          </w:p>
        </w:tc>
        <w:tc>
          <w:tcPr>
            <w:tcW w:type="dxa" w:w="1650"/>
          </w:tcPr>
          <w:p>
            <w:r>
              <w:rPr>
                <w:b w:val="false"/>
                <w:bCs w:val="false"/>
              </w:rPr>
              <w:t xml:space="preserve">Insight messages</w:t>
            </w:r>
          </w:p>
        </w:tc>
        <w:tc>
          <w:tcPr>
            <w:tcW w:type="dxa" w:w="700"/>
          </w:tcPr>
          <w:p>
            <w:r>
              <w:rPr>
                <w:b w:val="false"/>
                <w:bCs w:val="false"/>
              </w:rPr>
              <w:t xml:space="preserve">Med</w:t>
            </w:r>
          </w:p>
        </w:tc>
        <w:tc>
          <w:tcPr>
            <w:tcW w:type="dxa" w:w="950"/>
          </w:tcPr>
          <w:p>
            <w:r>
              <w:rPr>
                <w:b w:val="false"/>
                <w:bCs w:val="false"/>
              </w:rPr>
              <w:t xml:space="preserve">UC-06/S-06</w:t>
            </w:r>
          </w:p>
        </w:tc>
      </w:tr>
      <w:tr>
        <w:tc>
          <w:tcPr>
            <w:tcW w:type="dxa" w:w="750"/>
          </w:tcPr>
          <w:p>
            <w:r>
              <w:rPr>
                <w:b w:val="false"/>
                <w:bCs w:val="false"/>
              </w:rPr>
              <w:t xml:space="preserve">FR13</w:t>
            </w:r>
          </w:p>
        </w:tc>
        <w:tc>
          <w:tcPr>
            <w:tcW w:type="dxa" w:w="800"/>
          </w:tcPr>
          <w:p>
            <w:r>
              <w:rPr>
                <w:b w:val="false"/>
                <w:bCs w:val="false"/>
              </w:rPr>
              <w:t xml:space="preserve">User</w:t>
            </w:r>
          </w:p>
        </w:tc>
        <w:tc>
          <w:tcPr>
            <w:tcW w:type="dxa" w:w="2200"/>
          </w:tcPr>
          <w:p>
            <w:r>
              <w:rPr>
                <w:b w:val="false"/>
                <w:bCs w:val="false"/>
              </w:rPr>
              <w:t xml:space="preserve">View history</w:t>
            </w:r>
          </w:p>
        </w:tc>
        <w:tc>
          <w:tcPr>
            <w:tcW w:type="dxa" w:w="2500"/>
          </w:tcPr>
          <w:p>
            <w:r>
              <w:rPr>
                <w:b w:val="false"/>
                <w:bCs w:val="false"/>
              </w:rPr>
              <w:t xml:space="preserve">List past simulations</w:t>
            </w:r>
          </w:p>
        </w:tc>
        <w:tc>
          <w:tcPr>
            <w:tcW w:type="dxa" w:w="1650"/>
          </w:tcPr>
          <w:p>
            <w:r>
              <w:rPr>
                <w:b w:val="false"/>
                <w:bCs w:val="false"/>
              </w:rPr>
              <w:t xml:space="preserve">History list</w:t>
            </w:r>
          </w:p>
        </w:tc>
        <w:tc>
          <w:tcPr>
            <w:tcW w:type="dxa" w:w="700"/>
          </w:tcPr>
          <w:p>
            <w:r>
              <w:rPr>
                <w:b w:val="false"/>
                <w:bCs w:val="false"/>
              </w:rPr>
              <w:t xml:space="preserve">Med</w:t>
            </w:r>
          </w:p>
        </w:tc>
        <w:tc>
          <w:tcPr>
            <w:tcW w:type="dxa" w:w="950"/>
          </w:tcPr>
          <w:p>
            <w:r>
              <w:rPr>
                <w:b w:val="false"/>
                <w:bCs w:val="false"/>
              </w:rPr>
              <w:t xml:space="preserve">UC-07/S-04</w:t>
            </w:r>
          </w:p>
        </w:tc>
      </w:tr>
    </w:tbl>
    <w:p>
      <w:pPr>
        <w:pStyle w:val="Heading2"/>
        <w:spacing w:after="120" w:before="240"/>
      </w:pPr>
      <w:r>
        <w:t xml:space="preserve">3.3 Non-Functional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600"/>
        <w:gridCol w:w="2500"/>
        <w:gridCol w:w="800"/>
      </w:tblGrid>
      <w:tr>
        <w:trPr>
          <w:tblHeader/>
        </w:trPr>
        <w:tc>
          <w:tcPr>
            <w:tcW w:type="dxa" w:w="1000"/>
            <w:shd w:fill="1F2937" w:val="clear"/>
          </w:tcPr>
          <w:p>
            <w:r>
              <w:rPr>
                <w:b/>
                <w:bCs/>
                <w:color w:val="FFFFFF"/>
              </w:rPr>
              <w:t xml:space="preserve">ID</w:t>
            </w:r>
          </w:p>
        </w:tc>
        <w:tc>
          <w:tcPr>
            <w:tcW w:type="dxa" w:w="1500"/>
            <w:shd w:fill="1F2937" w:val="clear"/>
          </w:tcPr>
          <w:p>
            <w:r>
              <w:rPr>
                <w:b/>
                <w:bCs/>
                <w:color w:val="FFFFFF"/>
              </w:rPr>
              <w:t xml:space="preserve">Category</w:t>
            </w:r>
          </w:p>
        </w:tc>
        <w:tc>
          <w:tcPr>
            <w:tcW w:type="dxa" w:w="3600"/>
            <w:shd w:fill="1F2937" w:val="clear"/>
          </w:tcPr>
          <w:p>
            <w:r>
              <w:rPr>
                <w:b/>
                <w:bCs/>
                <w:color w:val="FFFFFF"/>
              </w:rPr>
              <w:t xml:space="preserve">Requirement</w:t>
            </w:r>
          </w:p>
        </w:tc>
        <w:tc>
          <w:tcPr>
            <w:tcW w:type="dxa" w:w="2500"/>
            <w:shd w:fill="1F2937" w:val="clear"/>
          </w:tcPr>
          <w:p>
            <w:r>
              <w:rPr>
                <w:b/>
                <w:bCs/>
                <w:color w:val="FFFFFF"/>
              </w:rPr>
              <w:t xml:space="preserve">Target / Measure</w:t>
            </w:r>
          </w:p>
        </w:tc>
        <w:tc>
          <w:tcPr>
            <w:tcW w:type="dxa" w:w="800"/>
            <w:shd w:fill="1F2937" w:val="clear"/>
          </w:tcPr>
          <w:p>
            <w:r>
              <w:rPr>
                <w:b/>
                <w:bCs/>
                <w:color w:val="FFFFFF"/>
              </w:rPr>
              <w:t xml:space="preserve">Pri.</w:t>
            </w:r>
          </w:p>
        </w:tc>
      </w:tr>
      <w:tr>
        <w:tc>
          <w:tcPr>
            <w:tcW w:type="dxa" w:w="1000"/>
          </w:tcPr>
          <w:p>
            <w:r>
              <w:rPr>
                <w:b w:val="false"/>
                <w:bCs w:val="false"/>
              </w:rPr>
              <w:t xml:space="preserve">NFR-01</w:t>
            </w:r>
          </w:p>
        </w:tc>
        <w:tc>
          <w:tcPr>
            <w:tcW w:type="dxa" w:w="1500"/>
          </w:tcPr>
          <w:p>
            <w:r>
              <w:rPr>
                <w:b w:val="false"/>
                <w:bCs w:val="false"/>
              </w:rPr>
              <w:t xml:space="preserve">Performance</w:t>
            </w:r>
          </w:p>
        </w:tc>
        <w:tc>
          <w:tcPr>
            <w:tcW w:type="dxa" w:w="3600"/>
          </w:tcPr>
          <w:p>
            <w:r>
              <w:rPr>
                <w:b w:val="false"/>
                <w:bCs w:val="false"/>
              </w:rPr>
              <w:t xml:space="preserve">Dashboard shall load within acceptable time</w:t>
            </w:r>
          </w:p>
        </w:tc>
        <w:tc>
          <w:tcPr>
            <w:tcW w:type="dxa" w:w="2500"/>
          </w:tcPr>
          <w:p>
            <w:r>
              <w:rPr>
                <w:b w:val="false"/>
                <w:bCs w:val="false"/>
              </w:rPr>
              <w:t xml:space="preserve">&lt; 2s under normal network</w:t>
            </w:r>
          </w:p>
        </w:tc>
        <w:tc>
          <w:tcPr>
            <w:tcW w:type="dxa" w:w="800"/>
          </w:tcPr>
          <w:p>
            <w:r>
              <w:rPr>
                <w:b w:val="false"/>
                <w:bCs w:val="false"/>
              </w:rPr>
              <w:t xml:space="preserve">High</w:t>
            </w:r>
          </w:p>
        </w:tc>
      </w:tr>
      <w:tr>
        <w:tc>
          <w:tcPr>
            <w:tcW w:type="dxa" w:w="1000"/>
          </w:tcPr>
          <w:p>
            <w:r>
              <w:rPr>
                <w:b w:val="false"/>
                <w:bCs w:val="false"/>
              </w:rPr>
              <w:t xml:space="preserve">NFR-02</w:t>
            </w:r>
          </w:p>
        </w:tc>
        <w:tc>
          <w:tcPr>
            <w:tcW w:type="dxa" w:w="1500"/>
          </w:tcPr>
          <w:p>
            <w:r>
              <w:rPr>
                <w:b w:val="false"/>
                <w:bCs w:val="false"/>
              </w:rPr>
              <w:t xml:space="preserve">Usability</w:t>
            </w:r>
          </w:p>
        </w:tc>
        <w:tc>
          <w:tcPr>
            <w:tcW w:type="dxa" w:w="3600"/>
          </w:tcPr>
          <w:p>
            <w:r>
              <w:rPr>
                <w:b w:val="false"/>
                <w:bCs w:val="false"/>
              </w:rPr>
              <w:t xml:space="preserve">UI usable by novice investors</w:t>
            </w:r>
          </w:p>
        </w:tc>
        <w:tc>
          <w:tcPr>
            <w:tcW w:type="dxa" w:w="2500"/>
          </w:tcPr>
          <w:p>
            <w:r>
              <w:rPr>
                <w:b w:val="false"/>
                <w:bCs w:val="false"/>
              </w:rPr>
              <w:t xml:space="preserve">≥80% task success in usability test</w:t>
            </w:r>
          </w:p>
        </w:tc>
        <w:tc>
          <w:tcPr>
            <w:tcW w:type="dxa" w:w="800"/>
          </w:tcPr>
          <w:p>
            <w:r>
              <w:rPr>
                <w:b w:val="false"/>
                <w:bCs w:val="false"/>
              </w:rPr>
              <w:t xml:space="preserve">High</w:t>
            </w:r>
          </w:p>
        </w:tc>
      </w:tr>
      <w:tr>
        <w:tc>
          <w:tcPr>
            <w:tcW w:type="dxa" w:w="1000"/>
          </w:tcPr>
          <w:p>
            <w:r>
              <w:rPr>
                <w:b w:val="false"/>
                <w:bCs w:val="false"/>
              </w:rPr>
              <w:t xml:space="preserve">NFR-03</w:t>
            </w:r>
          </w:p>
        </w:tc>
        <w:tc>
          <w:tcPr>
            <w:tcW w:type="dxa" w:w="1500"/>
          </w:tcPr>
          <w:p>
            <w:r>
              <w:rPr>
                <w:b w:val="false"/>
                <w:bCs w:val="false"/>
              </w:rPr>
              <w:t xml:space="preserve">Privacy</w:t>
            </w:r>
          </w:p>
        </w:tc>
        <w:tc>
          <w:tcPr>
            <w:tcW w:type="dxa" w:w="3600"/>
          </w:tcPr>
          <w:p>
            <w:r>
              <w:rPr>
                <w:b w:val="false"/>
                <w:bCs w:val="false"/>
              </w:rPr>
              <w:t xml:space="preserve">Peer comparisons shall not reveal PII</w:t>
            </w:r>
          </w:p>
        </w:tc>
        <w:tc>
          <w:tcPr>
            <w:tcW w:type="dxa" w:w="2500"/>
          </w:tcPr>
          <w:p>
            <w:r>
              <w:rPr>
                <w:b w:val="false"/>
                <w:bCs w:val="false"/>
              </w:rPr>
              <w:t xml:space="preserve">Only aggregated stats shown</w:t>
            </w:r>
          </w:p>
        </w:tc>
        <w:tc>
          <w:tcPr>
            <w:tcW w:type="dxa" w:w="800"/>
          </w:tcPr>
          <w:p>
            <w:r>
              <w:rPr>
                <w:b w:val="false"/>
                <w:bCs w:val="false"/>
              </w:rPr>
              <w:t xml:space="preserve">High</w:t>
            </w:r>
          </w:p>
        </w:tc>
      </w:tr>
      <w:tr>
        <w:tc>
          <w:tcPr>
            <w:tcW w:type="dxa" w:w="1000"/>
          </w:tcPr>
          <w:p>
            <w:r>
              <w:rPr>
                <w:b w:val="false"/>
                <w:bCs w:val="false"/>
              </w:rPr>
              <w:t xml:space="preserve">NFR-04</w:t>
            </w:r>
          </w:p>
        </w:tc>
        <w:tc>
          <w:tcPr>
            <w:tcW w:type="dxa" w:w="1500"/>
          </w:tcPr>
          <w:p>
            <w:r>
              <w:rPr>
                <w:b w:val="false"/>
                <w:bCs w:val="false"/>
              </w:rPr>
              <w:t xml:space="preserve">Reliability</w:t>
            </w:r>
          </w:p>
        </w:tc>
        <w:tc>
          <w:tcPr>
            <w:tcW w:type="dxa" w:w="3600"/>
          </w:tcPr>
          <w:p>
            <w:r>
              <w:rPr>
                <w:b w:val="false"/>
                <w:bCs w:val="false"/>
              </w:rPr>
              <w:t xml:space="preserve">System shall handle invalid inputs gracefully; simulation output shall be reproducible for identical inputs (deterministic model, §2.5)</w:t>
            </w:r>
          </w:p>
        </w:tc>
        <w:tc>
          <w:tcPr>
            <w:tcW w:type="dxa" w:w="2500"/>
          </w:tcPr>
          <w:p>
            <w:r>
              <w:rPr>
                <w:b w:val="false"/>
                <w:bCs w:val="false"/>
              </w:rPr>
              <w:t xml:space="preserve">No crash; meaningful errors; identical output on repeat runs</w:t>
            </w:r>
          </w:p>
        </w:tc>
        <w:tc>
          <w:tcPr>
            <w:tcW w:type="dxa" w:w="800"/>
          </w:tcPr>
          <w:p>
            <w:r>
              <w:rPr>
                <w:b w:val="false"/>
                <w:bCs w:val="false"/>
              </w:rPr>
              <w:t xml:space="preserve">Med</w:t>
            </w:r>
          </w:p>
        </w:tc>
      </w:tr>
      <w:tr>
        <w:tc>
          <w:tcPr>
            <w:tcW w:type="dxa" w:w="1000"/>
          </w:tcPr>
          <w:p>
            <w:r>
              <w:rPr>
                <w:b w:val="false"/>
                <w:bCs w:val="false"/>
              </w:rPr>
              <w:t xml:space="preserve">NFR-05</w:t>
            </w:r>
          </w:p>
        </w:tc>
        <w:tc>
          <w:tcPr>
            <w:tcW w:type="dxa" w:w="1500"/>
          </w:tcPr>
          <w:p>
            <w:r>
              <w:rPr>
                <w:b w:val="false"/>
                <w:bCs w:val="false"/>
              </w:rPr>
              <w:t xml:space="preserve">Maintainability</w:t>
            </w:r>
          </w:p>
        </w:tc>
        <w:tc>
          <w:tcPr>
            <w:tcW w:type="dxa" w:w="3600"/>
          </w:tcPr>
          <w:p>
            <w:r>
              <w:rPr>
                <w:b w:val="false"/>
                <w:bCs w:val="false"/>
              </w:rPr>
              <w:t xml:space="preserve">System shall be modular &amp; documented</w:t>
            </w:r>
          </w:p>
        </w:tc>
        <w:tc>
          <w:tcPr>
            <w:tcW w:type="dxa" w:w="2500"/>
          </w:tcPr>
          <w:p>
            <w:r>
              <w:rPr>
                <w:b w:val="false"/>
                <w:bCs w:val="false"/>
              </w:rPr>
              <w:t xml:space="preserve">Clear API separation</w:t>
            </w:r>
          </w:p>
        </w:tc>
        <w:tc>
          <w:tcPr>
            <w:tcW w:type="dxa" w:w="800"/>
          </w:tcPr>
          <w:p>
            <w:r>
              <w:rPr>
                <w:b w:val="false"/>
                <w:bCs w:val="false"/>
              </w:rPr>
              <w:t xml:space="preserve">Med</w:t>
            </w:r>
          </w:p>
        </w:tc>
      </w:tr>
      <w:tr>
        <w:tc>
          <w:tcPr>
            <w:tcW w:type="dxa" w:w="1000"/>
          </w:tcPr>
          <w:p>
            <w:r>
              <w:rPr>
                <w:b w:val="false"/>
                <w:bCs w:val="false"/>
              </w:rPr>
              <w:t xml:space="preserve">NFR-06</w:t>
            </w:r>
          </w:p>
        </w:tc>
        <w:tc>
          <w:tcPr>
            <w:tcW w:type="dxa" w:w="1500"/>
          </w:tcPr>
          <w:p>
            <w:r>
              <w:rPr>
                <w:b w:val="false"/>
                <w:bCs w:val="false"/>
              </w:rPr>
              <w:t xml:space="preserve">Security</w:t>
            </w:r>
          </w:p>
        </w:tc>
        <w:tc>
          <w:tcPr>
            <w:tcW w:type="dxa" w:w="3600"/>
          </w:tcPr>
          <w:p>
            <w:r>
              <w:rPr>
                <w:b w:val="false"/>
                <w:bCs w:val="false"/>
              </w:rPr>
              <w:t xml:space="preserve">Passwords shall not be stored in plaintext</w:t>
            </w:r>
          </w:p>
        </w:tc>
        <w:tc>
          <w:tcPr>
            <w:tcW w:type="dxa" w:w="2500"/>
          </w:tcPr>
          <w:p>
            <w:r>
              <w:rPr>
                <w:b w:val="false"/>
                <w:bCs w:val="false"/>
              </w:rPr>
              <w:t xml:space="preserve">Stored as salted hash</w:t>
            </w:r>
          </w:p>
        </w:tc>
        <w:tc>
          <w:tcPr>
            <w:tcW w:type="dxa" w:w="800"/>
          </w:tcPr>
          <w:p>
            <w:r>
              <w:rPr>
                <w:b w:val="false"/>
                <w:bCs w:val="false"/>
              </w:rPr>
              <w:t xml:space="preserve">High</w:t>
            </w:r>
          </w:p>
        </w:tc>
      </w:tr>
    </w:tbl>
    <w:p>
      <w:pPr>
        <w:pStyle w:val="Heading1"/>
        <w:spacing w:after="160" w:before="320"/>
      </w:pPr>
      <w:r>
        <w:t xml:space="preserve">4. Data Dictionary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3200"/>
        <w:gridCol w:w="2100"/>
      </w:tblGrid>
      <w:tr>
        <w:trPr>
          <w:tblHeader/>
        </w:trPr>
        <w:tc>
          <w:tcPr>
            <w:tcW w:type="dxa" w:w="1500"/>
            <w:shd w:fill="1F2937" w:val="clear"/>
          </w:tcPr>
          <w:p>
            <w:r>
              <w:rPr>
                <w:b/>
                <w:bCs/>
                <w:color w:val="FFFFFF"/>
              </w:rPr>
              <w:t xml:space="preserve">Term</w:t>
            </w:r>
          </w:p>
        </w:tc>
        <w:tc>
          <w:tcPr>
            <w:tcW w:type="dxa" w:w="2700"/>
            <w:shd w:fill="1F2937" w:val="clear"/>
          </w:tcPr>
          <w:p>
            <w:r>
              <w:rPr>
                <w:b/>
                <w:bCs/>
                <w:color w:val="FFFFFF"/>
              </w:rPr>
              <w:t xml:space="preserve">Description</w:t>
            </w:r>
          </w:p>
        </w:tc>
        <w:tc>
          <w:tcPr>
            <w:tcW w:type="dxa" w:w="3200"/>
            <w:shd w:fill="1F2937" w:val="clear"/>
          </w:tcPr>
          <w:p>
            <w:r>
              <w:rPr>
                <w:b/>
                <w:bCs/>
                <w:color w:val="FFFFFF"/>
              </w:rPr>
              <w:t xml:space="preserve">Attributes (examples)</w:t>
            </w:r>
          </w:p>
        </w:tc>
        <w:tc>
          <w:tcPr>
            <w:tcW w:type="dxa" w:w="2100"/>
            <w:shd w:fill="1F2937" w:val="clear"/>
          </w:tcPr>
          <w:p>
            <w:r>
              <w:rPr>
                <w:b/>
                <w:bCs/>
                <w:color w:val="FFFFFF"/>
              </w:rPr>
              <w:t xml:space="preserve">Relationships</w:t>
            </w:r>
          </w:p>
        </w:tc>
      </w:tr>
      <w:tr>
        <w:tc>
          <w:tcPr>
            <w:tcW w:type="dxa" w:w="1500"/>
          </w:tcPr>
          <w:p>
            <w:r>
              <w:rPr>
                <w:b w:val="false"/>
                <w:bCs w:val="false"/>
              </w:rPr>
              <w:t xml:space="preserve">User</w:t>
            </w:r>
          </w:p>
        </w:tc>
        <w:tc>
          <w:tcPr>
            <w:tcW w:type="dxa" w:w="2700"/>
          </w:tcPr>
          <w:p>
            <w:r>
              <w:rPr>
                <w:b w:val="false"/>
                <w:bCs w:val="false"/>
              </w:rPr>
              <w:t xml:space="preserve">A registered individual using the application</w:t>
            </w:r>
          </w:p>
        </w:tc>
        <w:tc>
          <w:tcPr>
            <w:tcW w:type="dxa" w:w="3200"/>
          </w:tcPr>
          <w:p>
            <w:r>
              <w:rPr>
                <w:b w:val="false"/>
                <w:bCs w:val="false"/>
              </w:rPr>
              <w:t xml:space="preserve">user_id, email, created_at, is_synthetic (bool)</w:t>
            </w:r>
          </w:p>
        </w:tc>
        <w:tc>
          <w:tcPr>
            <w:tcW w:type="dxa" w:w="2100"/>
          </w:tcPr>
          <w:p>
            <w:r>
              <w:rPr>
                <w:b w:val="false"/>
                <w:bCs w:val="false"/>
              </w:rPr>
              <w:t xml:space="preserve">Has one UserProfile; has many Simulations</w:t>
            </w:r>
          </w:p>
        </w:tc>
      </w:tr>
      <w:tr>
        <w:tc>
          <w:tcPr>
            <w:tcW w:type="dxa" w:w="1500"/>
          </w:tcPr>
          <w:p>
            <w:r>
              <w:rPr>
                <w:b w:val="false"/>
                <w:bCs w:val="false"/>
              </w:rPr>
              <w:t xml:space="preserve">UserProfile</w:t>
            </w:r>
          </w:p>
        </w:tc>
        <w:tc>
          <w:tcPr>
            <w:tcW w:type="dxa" w:w="2700"/>
          </w:tcPr>
          <w:p>
            <w:r>
              <w:rPr>
                <w:b w:val="false"/>
                <w:bCs w:val="false"/>
              </w:rPr>
              <w:t xml:space="preserve">User preferences for simulation and peer grouping</w:t>
            </w:r>
          </w:p>
        </w:tc>
        <w:tc>
          <w:tcPr>
            <w:tcW w:type="dxa" w:w="3200"/>
          </w:tcPr>
          <w:p>
            <w:r>
              <w:rPr>
                <w:b w:val="false"/>
                <w:bCs w:val="false"/>
              </w:rPr>
              <w:t xml:space="preserve">risk_level, goal_type, budget_band</w:t>
            </w:r>
          </w:p>
        </w:tc>
        <w:tc>
          <w:tcPr>
            <w:tcW w:type="dxa" w:w="2100"/>
          </w:tcPr>
          <w:p>
            <w:r>
              <w:rPr>
                <w:b w:val="false"/>
                <w:bCs w:val="false"/>
              </w:rPr>
              <w:t xml:space="preserve">Belongs to User; determines PeerGroup</w:t>
            </w:r>
          </w:p>
        </w:tc>
      </w:tr>
      <w:tr>
        <w:tc>
          <w:tcPr>
            <w:tcW w:type="dxa" w:w="1500"/>
          </w:tcPr>
          <w:p>
            <w:r>
              <w:rPr>
                <w:b w:val="false"/>
                <w:bCs w:val="false"/>
              </w:rPr>
              <w:t xml:space="preserve">PortfolioTemplate</w:t>
            </w:r>
          </w:p>
        </w:tc>
        <w:tc>
          <w:tcPr>
            <w:tcW w:type="dxa" w:w="2700"/>
          </w:tcPr>
          <w:p>
            <w:r>
              <w:rPr>
                <w:b w:val="false"/>
                <w:bCs w:val="false"/>
              </w:rPr>
              <w:t xml:space="preserve">Predefined investment strategy option</w:t>
            </w:r>
          </w:p>
        </w:tc>
        <w:tc>
          <w:tcPr>
            <w:tcW w:type="dxa" w:w="3200"/>
          </w:tcPr>
          <w:p>
            <w:r>
              <w:rPr>
                <w:b w:val="false"/>
                <w:bCs w:val="false"/>
              </w:rPr>
              <w:t xml:space="preserve">name, risk_level, expected_return, volatility (unused by MVP simulation — see §2.5)</w:t>
            </w:r>
          </w:p>
        </w:tc>
        <w:tc>
          <w:tcPr>
            <w:tcW w:type="dxa" w:w="2100"/>
          </w:tcPr>
          <w:p>
            <w:r>
              <w:rPr>
                <w:b w:val="false"/>
                <w:bCs w:val="false"/>
              </w:rPr>
              <w:t xml:space="preserve">Used by Simulation</w:t>
            </w:r>
          </w:p>
        </w:tc>
      </w:tr>
      <w:tr>
        <w:tc>
          <w:tcPr>
            <w:tcW w:type="dxa" w:w="1500"/>
          </w:tcPr>
          <w:p>
            <w:r>
              <w:rPr>
                <w:b w:val="false"/>
                <w:bCs w:val="false"/>
              </w:rPr>
              <w:t xml:space="preserve">Simulation</w:t>
            </w:r>
          </w:p>
        </w:tc>
        <w:tc>
          <w:tcPr>
            <w:tcW w:type="dxa" w:w="2700"/>
          </w:tcPr>
          <w:p>
            <w:r>
              <w:rPr>
                <w:b w:val="false"/>
                <w:bCs w:val="false"/>
              </w:rPr>
              <w:t xml:space="preserve">A simulation run configured by the user</w:t>
            </w:r>
          </w:p>
        </w:tc>
        <w:tc>
          <w:tcPr>
            <w:tcW w:type="dxa" w:w="3200"/>
          </w:tcPr>
          <w:p>
            <w:r>
              <w:rPr>
                <w:b w:val="false"/>
                <w:bCs w:val="false"/>
              </w:rPr>
              <w:t xml:space="preserve">frequency, contribution_amount, duration_months, final_value</w:t>
            </w:r>
          </w:p>
        </w:tc>
        <w:tc>
          <w:tcPr>
            <w:tcW w:type="dxa" w:w="2100"/>
          </w:tcPr>
          <w:p>
            <w:r>
              <w:rPr>
                <w:b w:val="false"/>
                <w:bCs w:val="false"/>
              </w:rPr>
              <w:t xml:space="preserve">Belongs to User; uses PortfolioTemplate; has many Contributions</w:t>
            </w:r>
          </w:p>
        </w:tc>
      </w:tr>
      <w:tr>
        <w:tc>
          <w:tcPr>
            <w:tcW w:type="dxa" w:w="1500"/>
          </w:tcPr>
          <w:p>
            <w:r>
              <w:rPr>
                <w:b w:val="false"/>
                <w:bCs w:val="false"/>
              </w:rPr>
              <w:t xml:space="preserve">Contribution</w:t>
            </w:r>
          </w:p>
        </w:tc>
        <w:tc>
          <w:tcPr>
            <w:tcW w:type="dxa" w:w="2700"/>
          </w:tcPr>
          <w:p>
            <w:r>
              <w:rPr>
                <w:b w:val="false"/>
                <w:bCs w:val="false"/>
              </w:rPr>
              <w:t xml:space="preserve">A per-period simulated contribution record</w:t>
            </w:r>
          </w:p>
        </w:tc>
        <w:tc>
          <w:tcPr>
            <w:tcW w:type="dxa" w:w="3200"/>
          </w:tcPr>
          <w:p>
            <w:r>
              <w:rPr>
                <w:b w:val="false"/>
                <w:bCs w:val="false"/>
              </w:rPr>
              <w:t xml:space="preserve">period_index, amount, portfolio_value</w:t>
            </w:r>
          </w:p>
        </w:tc>
        <w:tc>
          <w:tcPr>
            <w:tcW w:type="dxa" w:w="2100"/>
          </w:tcPr>
          <w:p>
            <w:r>
              <w:rPr>
                <w:b w:val="false"/>
                <w:bCs w:val="false"/>
              </w:rPr>
              <w:t xml:space="preserve">Belongs to Simulation</w:t>
            </w:r>
          </w:p>
        </w:tc>
      </w:tr>
      <w:tr>
        <w:tc>
          <w:tcPr>
            <w:tcW w:type="dxa" w:w="1500"/>
          </w:tcPr>
          <w:p>
            <w:r>
              <w:rPr>
                <w:b w:val="false"/>
                <w:bCs w:val="false"/>
              </w:rPr>
              <w:t xml:space="preserve">PeerGroup</w:t>
            </w:r>
          </w:p>
        </w:tc>
        <w:tc>
          <w:tcPr>
            <w:tcW w:type="dxa" w:w="2700"/>
          </w:tcPr>
          <w:p>
            <w:r>
              <w:rPr>
                <w:b w:val="false"/>
                <w:bCs w:val="false"/>
              </w:rPr>
              <w:t xml:space="preserve">A logical grouping definition for benchmarking</w:t>
            </w:r>
          </w:p>
        </w:tc>
        <w:tc>
          <w:tcPr>
            <w:tcW w:type="dxa" w:w="3200"/>
          </w:tcPr>
          <w:p>
            <w:r>
              <w:rPr>
                <w:b w:val="false"/>
                <w:bCs w:val="false"/>
              </w:rPr>
              <w:t xml:space="preserve">risk_level, budget_band (nullable), goal_type (nullable), tier (FULL / RISK_BUDGET / RISK_ONLY)</w:t>
            </w:r>
          </w:p>
        </w:tc>
        <w:tc>
          <w:tcPr>
            <w:tcW w:type="dxa" w:w="2100"/>
          </w:tcPr>
          <w:p>
            <w:r>
              <w:rPr>
                <w:b w:val="false"/>
                <w:bCs w:val="false"/>
              </w:rPr>
              <w:t xml:space="preserve">Has PeerGroupStats</w:t>
            </w:r>
          </w:p>
        </w:tc>
      </w:tr>
      <w:tr>
        <w:tc>
          <w:tcPr>
            <w:tcW w:type="dxa" w:w="1500"/>
          </w:tcPr>
          <w:p>
            <w:r>
              <w:rPr>
                <w:b w:val="false"/>
                <w:bCs w:val="false"/>
              </w:rPr>
              <w:t xml:space="preserve">PeerGroupStats</w:t>
            </w:r>
          </w:p>
        </w:tc>
        <w:tc>
          <w:tcPr>
            <w:tcW w:type="dxa" w:w="2700"/>
          </w:tcPr>
          <w:p>
            <w:r>
              <w:rPr>
                <w:b w:val="false"/>
                <w:bCs w:val="false"/>
              </w:rPr>
              <w:t xml:space="preserve">Aggregated statistics for a peer group</w:t>
            </w:r>
          </w:p>
        </w:tc>
        <w:tc>
          <w:tcPr>
            <w:tcW w:type="dxa" w:w="3200"/>
          </w:tcPr>
          <w:p>
            <w:r>
              <w:rPr>
                <w:b w:val="false"/>
                <w:bCs w:val="false"/>
              </w:rPr>
              <w:t xml:space="preserve">median_value, p25, p50, p75, median_consistency, member_count</w:t>
            </w:r>
          </w:p>
        </w:tc>
        <w:tc>
          <w:tcPr>
            <w:tcW w:type="dxa" w:w="2100"/>
          </w:tcPr>
          <w:p>
            <w:r>
              <w:rPr>
                <w:b w:val="false"/>
                <w:bCs w:val="false"/>
              </w:rPr>
              <w:t xml:space="preserve">Belongs to PeerGroup</w:t>
            </w:r>
          </w:p>
        </w:tc>
      </w:tr>
      <w:tr>
        <w:tc>
          <w:tcPr>
            <w:tcW w:type="dxa" w:w="1500"/>
          </w:tcPr>
          <w:p>
            <w:r>
              <w:rPr>
                <w:b w:val="false"/>
                <w:bCs w:val="false"/>
              </w:rPr>
              <w:t xml:space="preserve">Dashboard</w:t>
            </w:r>
          </w:p>
        </w:tc>
        <w:tc>
          <w:tcPr>
            <w:tcW w:type="dxa" w:w="2700"/>
          </w:tcPr>
          <w:p>
            <w:r>
              <w:rPr>
                <w:b w:val="false"/>
                <w:bCs w:val="false"/>
              </w:rPr>
              <w:t xml:space="preserve">Main UI visualising performance, behaviour, peer stats</w:t>
            </w:r>
          </w:p>
        </w:tc>
        <w:tc>
          <w:tcPr>
            <w:tcW w:type="dxa" w:w="3200"/>
          </w:tcPr>
          <w:p>
            <w:r>
              <w:rPr>
                <w:b w:val="false"/>
                <w:bCs w:val="false"/>
              </w:rPr>
              <w:t xml:space="preserve">portfolio_value, charts, peer_percentile</w:t>
            </w:r>
          </w:p>
        </w:tc>
        <w:tc>
          <w:tcPr>
            <w:tcW w:type="dxa" w:w="2100"/>
          </w:tcPr>
          <w:p>
            <w:r>
              <w:rPr>
                <w:b w:val="false"/>
                <w:bCs w:val="false"/>
              </w:rPr>
              <w:t xml:space="preserve">Consumes Simulation + PeerGroupStats</w:t>
            </w:r>
          </w:p>
        </w:tc>
      </w:tr>
      <w:tr>
        <w:tc>
          <w:tcPr>
            <w:tcW w:type="dxa" w:w="1500"/>
          </w:tcPr>
          <w:p>
            <w:r>
              <w:rPr>
                <w:b w:val="false"/>
                <w:bCs w:val="false"/>
              </w:rPr>
              <w:t xml:space="preserve">Insight Card</w:t>
            </w:r>
          </w:p>
        </w:tc>
        <w:tc>
          <w:tcPr>
            <w:tcW w:type="dxa" w:w="2700"/>
          </w:tcPr>
          <w:p>
            <w:r>
              <w:rPr>
                <w:b w:val="false"/>
                <w:bCs w:val="false"/>
              </w:rPr>
              <w:t xml:space="preserve">Short explanation + suggestion from comparisons</w:t>
            </w:r>
          </w:p>
        </w:tc>
        <w:tc>
          <w:tcPr>
            <w:tcW w:type="dxa" w:w="3200"/>
          </w:tcPr>
          <w:p>
            <w:r>
              <w:rPr>
                <w:b w:val="false"/>
                <w:bCs w:val="false"/>
              </w:rPr>
              <w:t xml:space="preserve">message, suggestion, type</w:t>
            </w:r>
          </w:p>
        </w:tc>
        <w:tc>
          <w:tcPr>
            <w:tcW w:type="dxa" w:w="2100"/>
          </w:tcPr>
          <w:p>
            <w:r>
              <w:rPr>
                <w:b w:val="false"/>
                <w:bCs w:val="false"/>
              </w:rPr>
              <w:t xml:space="preserve">Derived from Simulation + PeerGroupStats</w:t>
            </w:r>
          </w:p>
        </w:tc>
      </w:tr>
    </w:tbl>
    <w:p>
      <w:pPr>
        <w:shd w:fill="DBEAFE" w:val="clear"/>
        <w:spacing w:after="120"/>
      </w:pPr>
      <w:r>
        <w:rPr>
          <w:b/>
          <w:bCs/>
          <w:color w:val="1D4ED8"/>
        </w:rPr>
        <w:t xml:space="preserve">[v1.2] </w:t>
      </w:r>
      <w:r>
        <w:t xml:space="preserve">User.is_synthetic marks users created by the peer-data seed script (see below) to fill peer groups up to MIN_GROUP_SIZE. Synthetic users participate in peer-group counts and percentile computation but are excluded from every endpoint or view that lists individual real users, and cannot authenticate.</w:t>
      </w:r>
    </w:p>
    <w:p>
      <w:pPr>
        <w:shd w:fill="FEF3C7" w:val="clear"/>
        <w:spacing w:after="120"/>
      </w:pPr>
      <w:r>
        <w:rPr>
          <w:b/>
          <w:bCs/>
          <w:color w:val="B45309"/>
        </w:rPr>
        <w:t xml:space="preserve">[v1.1] </w:t>
      </w:r>
      <w:r>
        <w:t xml:space="preserve">New term added in v1.1: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ConsistencyScore</w:t>
            </w:r>
          </w:p>
        </w:tc>
        <w:tc>
          <w:tcPr>
            <w:tcW w:type="dxa" w:w="4600"/>
          </w:tcPr>
          <w:p>
            <w:r>
              <w:rPr>
                <w:b w:val="false"/>
                <w:bCs w:val="false"/>
              </w:rPr>
              <w:t xml:space="preserve">Behavioural metric measuring how regularly a user creates or re-runs simulations over time. Used in Dashboard behaviour metrics (FR08) and peer benchmarking (FR10, PeerGroupStats.median_consistency).</w:t>
            </w:r>
          </w:p>
        </w:tc>
        <w:tc>
          <w:tcPr>
            <w:tcW w:type="dxa" w:w="3000"/>
          </w:tcPr>
          <w:p>
            <w:r>
              <w:rPr>
                <w:b w:val="false"/>
                <w:bCs w:val="false"/>
              </w:rPr>
              <w:t xml:space="preserve">(months with ≥1 Simulation run) ÷ (months since first Simulation run) × 100. A user with only one simulation scores 100 (cold-start case).</w:t>
            </w:r>
          </w:p>
        </w:tc>
      </w:tr>
    </w:tbl>
    <w:p>
      <w:pPr>
        <w:pStyle w:val="Heading1"/>
        <w:spacing w:after="160" w:before="320"/>
      </w:pPr>
      <w:r>
        <w:t xml:space="preserve">5. Initial Use Case Model</w:t>
      </w:r>
    </w:p>
    <w:p>
      <w:pPr>
        <w:pStyle w:val="Heading2"/>
        <w:spacing w:after="120" w:before="240"/>
      </w:pPr>
      <w:r>
        <w:t xml:space="preserve">5.1 Actors</w:t>
      </w:r>
    </w:p>
    <w:p>
      <w:pPr>
        <w:spacing w:after="120"/>
      </w:pPr>
      <w:r>
        <w:t xml:space="preserve">User (primary actor — sole actor at this stage; the system has no admin-facing functionality in the MVP)</w:t>
      </w:r>
    </w:p>
    <w:p>
      <w:pPr>
        <w:pStyle w:val="Heading2"/>
        <w:spacing w:after="120" w:before="240"/>
      </w:pPr>
      <w:r>
        <w:t xml:space="preserve">5.2 Use Cases (Preliminary)</w:t>
      </w:r>
    </w:p>
    <w:p>
      <w:pPr>
        <w:pStyle w:val="ListParagraph"/>
        <w:numPr>
          <w:ilvl w:val="0"/>
          <w:numId w:val="1"/>
        </w:numPr>
        <w:spacing w:after="60"/>
      </w:pPr>
      <w:r>
        <w:t xml:space="preserve">UC-01 Register/Login</w:t>
      </w:r>
    </w:p>
    <w:p>
      <w:pPr>
        <w:pStyle w:val="ListParagraph"/>
        <w:numPr>
          <w:ilvl w:val="0"/>
          <w:numId w:val="1"/>
        </w:numPr>
        <w:spacing w:after="60"/>
      </w:pPr>
      <w:r>
        <w:t xml:space="preserve">UC-02 Set Up Profile</w:t>
      </w:r>
    </w:p>
    <w:p>
      <w:pPr>
        <w:pStyle w:val="ListParagraph"/>
        <w:numPr>
          <w:ilvl w:val="0"/>
          <w:numId w:val="1"/>
        </w:numPr>
        <w:spacing w:after="60"/>
      </w:pPr>
      <w:r>
        <w:t xml:space="preserve">UC-03 Configure &amp; Run Simulation</w:t>
      </w:r>
    </w:p>
    <w:p>
      <w:pPr>
        <w:pStyle w:val="ListParagraph"/>
        <w:numPr>
          <w:ilvl w:val="0"/>
          <w:numId w:val="1"/>
        </w:numPr>
        <w:spacing w:after="60"/>
      </w:pPr>
      <w:r>
        <w:t xml:space="preserve">UC-04 View Dashboard</w:t>
      </w:r>
    </w:p>
    <w:p>
      <w:pPr>
        <w:pStyle w:val="ListParagraph"/>
        <w:numPr>
          <w:ilvl w:val="0"/>
          <w:numId w:val="1"/>
        </w:numPr>
        <w:spacing w:after="60"/>
      </w:pPr>
      <w:r>
        <w:t xml:space="preserve">UC-05 View Peer Comparison</w:t>
      </w:r>
    </w:p>
    <w:p>
      <w:pPr>
        <w:pStyle w:val="ListParagraph"/>
        <w:numPr>
          <w:ilvl w:val="0"/>
          <w:numId w:val="1"/>
        </w:numPr>
        <w:spacing w:after="60"/>
      </w:pPr>
      <w:r>
        <w:t xml:space="preserve">UC-06 View Insights</w:t>
      </w:r>
    </w:p>
    <w:p>
      <w:pPr>
        <w:pStyle w:val="ListParagraph"/>
        <w:numPr>
          <w:ilvl w:val="0"/>
          <w:numId w:val="1"/>
        </w:numPr>
        <w:spacing w:after="60"/>
      </w:pPr>
      <w:r>
        <w:t xml:space="preserve">UC-07 View Simulation History</w:t>
      </w:r>
    </w:p>
    <w:p>
      <w:pPr>
        <w:pStyle w:val="Heading2"/>
        <w:spacing w:after="120" w:before="240"/>
      </w:pPr>
      <w:r>
        <w:t xml:space="preserve">5.3 Use Case Diagram</w:t>
      </w:r>
    </w:p>
    <w:p>
      <w:pPr>
        <w:spacing w:after="120"/>
      </w:pPr>
      <w:r>
        <w:t xml:space="preserve">(See companion use case diagram image, unchanged from v1.0 — Phase 1 did not alter actor/use-case structure, only the underlying algorithms.)</w:t>
      </w:r>
    </w:p>
    <w:p>
      <w:pPr>
        <w:pStyle w:val="Heading1"/>
        <w:spacing w:after="160" w:before="320"/>
      </w:pPr>
      <w:r>
        <w:t xml:space="preserve">6. Use Case Descriptions</w:t>
      </w:r>
    </w:p>
    <w:p>
      <w:pPr>
        <w:pStyle w:val="Heading3"/>
        <w:spacing w:after="100" w:before="200"/>
      </w:pPr>
      <w:r>
        <w:t xml:space="preserve">UC-01 Register/Login</w:t>
      </w:r>
    </w:p>
    <w:p>
      <w:pPr>
        <w:spacing w:after="120"/>
      </w:pPr>
      <w:r>
        <w:t xml:space="preserve">Actor: User</w:t>
      </w:r>
    </w:p>
    <w:p>
      <w:pPr>
        <w:spacing w:after="120"/>
      </w:pPr>
      <w:r>
        <w:t xml:space="preserve">Description: User creates an account or logs in to access simulation and dashboard features.</w:t>
      </w:r>
    </w:p>
    <w:p>
      <w:pPr>
        <w:spacing w:after="80"/>
      </w:pPr>
      <w:r>
        <w:rPr>
          <w:b/>
          <w:bCs/>
        </w:rPr>
        <w:t xml:space="preserve">Preconditions:</w:t>
      </w:r>
    </w:p>
    <w:p>
      <w:pPr>
        <w:pStyle w:val="ListParagraph"/>
        <w:numPr>
          <w:ilvl w:val="0"/>
          <w:numId w:val="2"/>
        </w:numPr>
        <w:spacing w:after="60"/>
      </w:pPr>
      <w:r>
        <w:t xml:space="preserve">User has the mobile app installed.</w:t>
      </w:r>
    </w:p>
    <w:p>
      <w:pPr>
        <w:pStyle w:val="ListParagraph"/>
        <w:numPr>
          <w:ilvl w:val="0"/>
          <w:numId w:val="2"/>
        </w:numPr>
        <w:spacing w:after="60"/>
      </w:pPr>
      <w:r>
        <w:t xml:space="preserve">User has network connectivity.</w:t>
      </w:r>
    </w:p>
    <w:p>
      <w:pPr>
        <w:spacing w:after="80"/>
      </w:pPr>
      <w:r>
        <w:rPr>
          <w:b/>
          <w:bCs/>
        </w:rPr>
        <w:t xml:space="preserve">Postconditions:</w:t>
      </w:r>
    </w:p>
    <w:p>
      <w:pPr>
        <w:spacing w:after="120"/>
      </w:pPr>
      <w:r>
        <w:t xml:space="preserve">1. User is authenticated and has access to the main navigation.</w:t>
      </w:r>
    </w:p>
    <w:p>
      <w:pPr>
        <w:spacing w:after="120"/>
      </w:pPr>
      <w:r>
        <w:t xml:space="preserve">Priority: High    Frequency of Use: Low (register), High (login)</w:t>
      </w:r>
    </w:p>
    <w:p>
      <w:pPr>
        <w:spacing w:after="80"/>
      </w:pPr>
      <w:r>
        <w:rPr>
          <w:b/>
          <w:bCs/>
        </w:rPr>
        <w:t xml:space="preserve">Flow of Events (Main Success Scenario):</w:t>
      </w:r>
    </w:p>
    <w:p>
      <w:pPr>
        <w:spacing w:after="120"/>
      </w:pPr>
      <w:r>
        <w:t xml:space="preserve">1. User opens the app and selects Register or Login. 2. User enters email and password. 3. System validates input format. 4. System creates a new account (Register) or verifies credentials (Login). 5. System establishes an authenticated session/token. 6. System navigates to Profile Setup (first-time) or Dashboard (returning user).</w:t>
      </w:r>
    </w:p>
    <w:p>
      <w:pPr>
        <w:spacing w:after="80"/>
      </w:pPr>
      <w:r>
        <w:rPr>
          <w:b/>
          <w:bCs/>
        </w:rPr>
        <w:t xml:space="preserve">Exceptions:</w:t>
      </w:r>
    </w:p>
    <w:p>
      <w:pPr>
        <w:pStyle w:val="ListParagraph"/>
        <w:numPr>
          <w:ilvl w:val="0"/>
          <w:numId w:val="1"/>
        </w:numPr>
        <w:spacing w:after="60"/>
      </w:pPr>
      <w:r>
        <w:t xml:space="preserve">Invalid credentials: system displays error and allows retry.</w:t>
      </w:r>
    </w:p>
    <w:p>
      <w:pPr>
        <w:pStyle w:val="ListParagraph"/>
        <w:numPr>
          <w:ilvl w:val="0"/>
          <w:numId w:val="1"/>
        </w:numPr>
        <w:spacing w:after="60"/>
      </w:pPr>
      <w:r>
        <w:t xml:space="preserve">Email already used during registration: system prompts user to log in instead.</w:t>
      </w:r>
    </w:p>
    <w:p>
      <w:pPr>
        <w:spacing w:after="120"/>
      </w:pPr>
      <w:r>
        <w:t xml:space="preserve">Special Requirements: Passwords shall be stored as salted hashes (NFR-06).</w:t>
      </w:r>
    </w:p>
    <w:p>
      <w:pPr>
        <w:pStyle w:val="Heading3"/>
        <w:spacing w:after="100" w:before="200"/>
      </w:pPr>
      <w:r>
        <w:t xml:space="preserve">UC-02 Set Up Profile</w:t>
      </w:r>
    </w:p>
    <w:p>
      <w:pPr>
        <w:spacing w:after="120"/>
      </w:pPr>
      <w:r>
        <w:t xml:space="preserve">Actor: User</w:t>
      </w:r>
    </w:p>
    <w:p>
      <w:pPr>
        <w:spacing w:after="120"/>
      </w:pPr>
      <w:r>
        <w:t xml:space="preserve">Description: User defines investing preferences used for simulation and peer grouping.</w:t>
      </w:r>
    </w:p>
    <w:p>
      <w:pPr>
        <w:spacing w:after="120"/>
      </w:pPr>
      <w:r>
        <w:t xml:space="preserve">Preconditions: 1. User is authenticated.</w:t>
      </w:r>
    </w:p>
    <w:p>
      <w:pPr>
        <w:spacing w:after="120"/>
      </w:pPr>
      <w:r>
        <w:t xml:space="preserve">Postconditions: 1. User profile is stored with risk level, goal type, and budget band.</w:t>
      </w:r>
    </w:p>
    <w:p>
      <w:pPr>
        <w:spacing w:after="120"/>
      </w:pPr>
      <w:r>
        <w:t xml:space="preserve">Priority: High    Frequency of Use: Medium</w:t>
      </w:r>
    </w:p>
    <w:p>
      <w:pPr>
        <w:spacing w:after="120"/>
      </w:pPr>
      <w:r>
        <w:t xml:space="preserve">Flow of Events: 1. User selects a risk level. 2. User selects a goal type. 3. User inputs a monthly budget amount. 4. System maps the budget to a budget band (B1–B4). 5. System stores the profile. 6. System confirms setup completion and navigates to Simulation Setup.</w:t>
      </w:r>
    </w:p>
    <w:p>
      <w:pPr>
        <w:spacing w:after="120"/>
      </w:pPr>
      <w:r>
        <w:t xml:space="preserve">Exceptions: Missing required fields — system highlights missing inputs and blocks submission.</w:t>
      </w:r>
    </w:p>
    <w:p>
      <w:pPr>
        <w:pStyle w:val="Heading3"/>
        <w:spacing w:after="100" w:before="200"/>
      </w:pPr>
      <w:r>
        <w:t xml:space="preserve">UC-03 Configure &amp; Run Simulation</w:t>
      </w:r>
    </w:p>
    <w:p>
      <w:pPr>
        <w:spacing w:after="120"/>
      </w:pPr>
      <w:r>
        <w:t xml:space="preserve">Actor: User</w:t>
      </w:r>
    </w:p>
    <w:p>
      <w:pPr>
        <w:spacing w:after="120"/>
      </w:pPr>
      <w:r>
        <w:t xml:space="preserve">Description: User configures a micro-investment plan and runs a simulation to obtain portfolio growth over time.</w:t>
      </w:r>
    </w:p>
    <w:p>
      <w:pPr>
        <w:spacing w:after="120"/>
      </w:pPr>
      <w:r>
        <w:t xml:space="preserve">Preconditions: 1. User is authenticated. 2. User profile exists.</w:t>
      </w:r>
    </w:p>
    <w:p>
      <w:pPr>
        <w:spacing w:after="120"/>
      </w:pPr>
      <w:r>
        <w:t xml:space="preserve">Postconditions: 1. A new simulation run and its time-series contribution records are stored.</w:t>
      </w:r>
    </w:p>
    <w:p>
      <w:pPr>
        <w:spacing w:after="120"/>
      </w:pPr>
      <w:r>
        <w:t xml:space="preserve">Priority: High    Frequency of Use: High</w:t>
      </w:r>
    </w:p>
    <w:p>
      <w:pPr>
        <w:spacing w:after="120"/>
      </w:pPr>
      <w:r>
        <w:t xml:space="preserve">Flow of Events: 1. User opens the Simulate tab. 2. System displays portfolio templates. 3. User selects a template. 4. User sets contribution amount, frequency, and duration. 5. System validates inputs and runs the simulation model. 6. System stores simulation summary and per-period contribution records. 7. System navigates to Dashboard with the latest results.</w:t>
      </w:r>
    </w:p>
    <w:p>
      <w:pPr>
        <w:spacing w:after="120"/>
      </w:pPr>
      <w:r>
        <w:t xml:space="preserve">Exceptions: Invalid amount/duration — system displays error and requests correction. Network failure — system prompts to retry.</w:t>
      </w:r>
    </w:p>
    <w:p>
      <w:pPr>
        <w:spacing w:after="120"/>
      </w:pPr>
      <w:r>
        <w:t xml:space="preserve">Includes: View Portfolio Templates</w:t>
      </w:r>
    </w:p>
    <w:p>
      <w:pPr>
        <w:shd w:fill="FEF3C7" w:val="clear"/>
        <w:spacing w:after="120"/>
      </w:pPr>
      <w:r>
        <w:rPr>
          <w:b/>
          <w:bCs/>
          <w:color w:val="B45309"/>
        </w:rPr>
        <w:t xml:space="preserve">[v1.1] </w:t>
      </w:r>
      <w:r>
        <w:t xml:space="preserve">Special Requirements: Simulation uses deterministic fixed-rate compounding (§2.5) and is therefore exactly reproducible for identical inputs (NFR-04) — no seeding or tolerance window is required when verifying this in Lab #4 test cases.</w:t>
      </w:r>
    </w:p>
    <w:p>
      <w:pPr>
        <w:shd w:fill="EDE9FE" w:val="clear"/>
        <w:spacing w:after="120"/>
      </w:pPr>
      <w:r>
        <w:rPr>
          <w:b/>
          <w:bCs/>
          <w:color w:val="6D28D9"/>
        </w:rPr>
        <w:t xml:space="preserve">[v1.4] </w:t>
      </w:r>
      <w:r>
        <w:t xml:space="preserve">AMENDED (Phase 4, 19 Aug 2026): Flow of Events steps 2–3 are superseded — System displays the fund catalog and available portfolios (presets plus the user’s own); User either selects an existing portfolio or builds a new one, choosing one or more funds and setting a weight for each (must sum to 100%), then saves it before proceeding to step 4. “Includes: View Portfolio Templates” is superseded by “View Funds &amp; Compose Portfolio”. See DECISIONS.md #1 second amendment.</w:t>
      </w:r>
    </w:p>
    <w:p>
      <w:pPr>
        <w:shd w:fill="CCFBF1" w:val="clear"/>
        <w:spacing w:after="120"/>
      </w:pPr>
      <w:r>
        <w:rPr>
          <w:b/>
          <w:bCs/>
          <w:color w:val="0F766E"/>
        </w:rPr>
        <w:t xml:space="preserve">[v1.5] </w:t>
      </w:r>
      <w:r>
        <w:t xml:space="preserve">ADDED (Phase 4, 20 Aug 2026): Flow of Events step 4 (“User sets contribution amount, frequency, and duration”) is extended — User first selects a contribution mechanism, scheduled deposit or round-up. Scheduled deposit sets a contribution amount directly, as before. Round-up sets average transactions per week and average round-up per transaction instead, from which the system derives an equivalent per-period contribution. Frequency and duration are set the same as before either way. See DECISIONS.md #6.</w:t>
      </w:r>
    </w:p>
    <w:p>
      <w:pPr>
        <w:pStyle w:val="Heading3"/>
        <w:spacing w:after="100" w:before="200"/>
      </w:pPr>
      <w:r>
        <w:t xml:space="preserve">UC-04 View Dashboard</w:t>
      </w:r>
    </w:p>
    <w:p>
      <w:pPr>
        <w:spacing w:after="120"/>
      </w:pPr>
      <w:r>
        <w:t xml:space="preserve">Actor: User</w:t>
      </w:r>
    </w:p>
    <w:p>
      <w:pPr>
        <w:spacing w:after="120"/>
      </w:pPr>
      <w:r>
        <w:t xml:space="preserve">Description: User views a summary of simulated performance and behaviour on the dashboard.</w:t>
      </w:r>
    </w:p>
    <w:p>
      <w:pPr>
        <w:spacing w:after="120"/>
      </w:pPr>
      <w:r>
        <w:t xml:space="preserve">Preconditions: 1. User is authenticated. 2. At least one simulation exists.</w:t>
      </w:r>
    </w:p>
    <w:p>
      <w:pPr>
        <w:spacing w:after="120"/>
      </w:pPr>
      <w:r>
        <w:t xml:space="preserve">Postconditions: 1. Dashboard metrics are displayed.</w:t>
      </w:r>
    </w:p>
    <w:p>
      <w:pPr>
        <w:spacing w:after="120"/>
      </w:pPr>
      <w:r>
        <w:t xml:space="preserve">Priority: High    Frequency of Use: High</w:t>
      </w:r>
    </w:p>
    <w:p>
      <w:pPr>
        <w:spacing w:after="120"/>
      </w:pPr>
      <w:r>
        <w:t xml:space="preserve">Flow of Events: 1. User opens the Dashboard tab. 2. System retrieves the latest simulation summary. 3. System retrieves growth time-series for charting. 4. System computes or retrieves behaviour metrics (ConsistencyScore, risk level). 5. System displays metrics and charts in a single scrollable view. 6. User may navigate to Peer Comparison or Insights.</w:t>
      </w:r>
    </w:p>
    <w:p>
      <w:pPr>
        <w:spacing w:after="120"/>
      </w:pPr>
      <w:r>
        <w:t xml:space="preserve">Exceptions: No simulation exists — system prompts user to create a simulation.</w:t>
      </w:r>
    </w:p>
    <w:p>
      <w:pPr>
        <w:spacing w:after="120"/>
      </w:pPr>
      <w:r>
        <w:t xml:space="preserve">Special Requirements: Dashboard load time target &lt; 2 seconds (NFR-01).</w:t>
      </w:r>
    </w:p>
    <w:p>
      <w:pPr>
        <w:pStyle w:val="Heading3"/>
        <w:spacing w:after="100" w:before="200"/>
      </w:pPr>
      <w:r>
        <w:t xml:space="preserve">UC-05 View Peer Comparison</w:t>
      </w:r>
    </w:p>
    <w:p>
      <w:pPr>
        <w:spacing w:after="120"/>
      </w:pPr>
      <w:r>
        <w:t xml:space="preserve">Actor: User</w:t>
      </w:r>
    </w:p>
    <w:p>
      <w:pPr>
        <w:spacing w:after="120"/>
      </w:pPr>
      <w:r>
        <w:t xml:space="preserve">Description: User compares their investing behaviour and performance against an anonymised peer group.</w:t>
      </w:r>
    </w:p>
    <w:p>
      <w:pPr>
        <w:spacing w:after="120"/>
      </w:pPr>
      <w:r>
        <w:t xml:space="preserve">Preconditions: 1. User is authenticated. 2. User profile exists. 3. At least one simulation exists.</w:t>
      </w:r>
    </w:p>
    <w:p>
      <w:pPr>
        <w:spacing w:after="120"/>
      </w:pPr>
      <w:r>
        <w:t xml:space="preserve">Postconditions: 1. Peer percentile and comparison metrics are displayed.</w:t>
      </w:r>
    </w:p>
    <w:p>
      <w:pPr>
        <w:spacing w:after="120"/>
      </w:pPr>
      <w:r>
        <w:t xml:space="preserve">Priority: High    Frequency of Use: Medium</w:t>
      </w:r>
    </w:p>
    <w:p>
      <w:pPr>
        <w:spacing w:after="120"/>
      </w:pPr>
      <w:r>
        <w:t xml:space="preserve">Flow of Events: 1. User taps Peer Comparison from the dashboard. 2. System assigns the user to a peer group (risk level + budget band + goal type, subject to fallback — see below). 3. System retrieves aggregated peer statistics. 4. System calculates the user's percentile rank relative to peers. 5. System displays peer percentile and peer median comparisons. 6. System displays a brief peer group description, including which fallback tier was used, for transparency.</w:t>
      </w:r>
    </w:p>
    <w:p>
      <w:pPr>
        <w:spacing w:after="80"/>
      </w:pPr>
      <w:r>
        <w:rPr>
          <w:b/>
          <w:bCs/>
        </w:rPr>
        <w:t xml:space="preserve">Exceptions:</w:t>
      </w:r>
    </w:p>
    <w:p>
      <w:pPr>
        <w:shd w:fill="FEF3C7" w:val="clear"/>
        <w:spacing w:after="120"/>
      </w:pPr>
      <w:r>
        <w:rPr>
          <w:b/>
          <w:bCs/>
          <w:color w:val="B45309"/>
        </w:rPr>
        <w:t xml:space="preserve">[v1.1] </w:t>
      </w:r>
      <w:r>
        <w:t xml:space="preserve">Peer group below minimum size (MIN_GROUP_SIZE = 10): system relaxes grouping rules through a three-tier fallback — FULL (risk level + budget band + goal type) → RISK_BUDGET (risk level + budget band) → RISK_ONLY (risk level only). Each tier is used only if the previous tier's member count is below 10; RISK_ONLY is the floor and is used regardless of its own count, since no further relaxation is possible.</w:t>
      </w:r>
    </w:p>
    <w:p>
      <w:pPr>
        <w:spacing w:after="120"/>
      </w:pPr>
      <w:r>
        <w:t xml:space="preserve">Special Requirements: Peer comparisons must not expose any peer identities (NFR-03).</w:t>
      </w:r>
    </w:p>
    <w:p>
      <w:pPr>
        <w:pStyle w:val="Heading3"/>
        <w:spacing w:after="100" w:before="200"/>
      </w:pPr>
      <w:r>
        <w:t xml:space="preserve">UC-06 View Insights</w:t>
      </w:r>
    </w:p>
    <w:p>
      <w:pPr>
        <w:spacing w:after="120"/>
      </w:pPr>
      <w:r>
        <w:t xml:space="preserve">Actor: User</w:t>
      </w:r>
    </w:p>
    <w:p>
      <w:pPr>
        <w:spacing w:after="120"/>
      </w:pPr>
      <w:r>
        <w:t xml:space="preserve">Description: User views short insight cards and suggested actions derived from user vs peer comparisons.</w:t>
      </w:r>
    </w:p>
    <w:p>
      <w:pPr>
        <w:spacing w:after="120"/>
      </w:pPr>
      <w:r>
        <w:t xml:space="preserve">Preconditions: 1. User is authenticated. 2. Peer comparison metrics are available.</w:t>
      </w:r>
    </w:p>
    <w:p>
      <w:pPr>
        <w:spacing w:after="120"/>
      </w:pPr>
      <w:r>
        <w:t xml:space="preserve">Postconditions: 1. Insights are displayed and can influence subsequent simulation configurations.</w:t>
      </w:r>
    </w:p>
    <w:p>
      <w:pPr>
        <w:spacing w:after="120"/>
      </w:pPr>
      <w:r>
        <w:t xml:space="preserve">Priority: Medium    Frequency of Use: Medium</w:t>
      </w:r>
    </w:p>
    <w:p>
      <w:pPr>
        <w:spacing w:after="120"/>
      </w:pPr>
      <w:r>
        <w:t xml:space="preserve">Flow of Events: 1. User taps Insights from the dashboard. 2. System retrieves user behaviour metrics and peer benchmark stats. 3. System applies insight rules to detect meaningful gaps (e.g., below peer median ConsistencyScore). 4. System generates 1–3 insight cards with a short message and suggestion. 5. System displays insight cards in a list. 6. User may tap Adjust Plan to return to Simulation Setup.</w:t>
      </w:r>
    </w:p>
    <w:p>
      <w:pPr>
        <w:spacing w:after="120"/>
      </w:pPr>
      <w:r>
        <w:t xml:space="preserve">Alternative Flows: If no significant gaps are detected, system displays a positive reinforcement insight.</w:t>
      </w:r>
    </w:p>
    <w:p>
      <w:pPr>
        <w:pStyle w:val="Heading3"/>
        <w:spacing w:after="100" w:before="200"/>
      </w:pPr>
      <w:r>
        <w:t xml:space="preserve">UC-07 View Simulation History</w:t>
      </w:r>
    </w:p>
    <w:p>
      <w:pPr>
        <w:spacing w:after="120"/>
      </w:pPr>
      <w:r>
        <w:t xml:space="preserve">Actor: User</w:t>
      </w:r>
    </w:p>
    <w:p>
      <w:pPr>
        <w:spacing w:after="120"/>
      </w:pPr>
      <w:r>
        <w:t xml:space="preserve">Description: User reviews past simulation runs to compare scenarios and outcomes.</w:t>
      </w:r>
    </w:p>
    <w:p>
      <w:pPr>
        <w:spacing w:after="120"/>
      </w:pPr>
      <w:r>
        <w:t xml:space="preserve">Preconditions: 1. User is authenticated.</w:t>
      </w:r>
    </w:p>
    <w:p>
      <w:pPr>
        <w:spacing w:after="120"/>
      </w:pPr>
      <w:r>
        <w:t xml:space="preserve">Postconditions: 1. A list of simulations is shown; user can open one for details.</w:t>
      </w:r>
    </w:p>
    <w:p>
      <w:pPr>
        <w:spacing w:after="120"/>
      </w:pPr>
      <w:r>
        <w:t xml:space="preserve">Priority: Medium    Frequency of Use: Low</w:t>
      </w:r>
    </w:p>
    <w:p>
      <w:pPr>
        <w:spacing w:after="120"/>
      </w:pPr>
      <w:r>
        <w:t xml:space="preserve">Flow of Events: 1. User opens Simulation History. 2. System fetches simulation run summaries sorted by date. 3. System displays a list of past simulations. 4. User selects a simulation run. 5. System displays that run's summary and growth chart. 6. User returns to dashboard or starts a new simulation.</w:t>
      </w:r>
    </w:p>
    <w:p>
      <w:pPr>
        <w:pStyle w:val="Heading1"/>
        <w:spacing w:after="160" w:before="320"/>
      </w:pPr>
      <w:r>
        <w:t xml:space="preserve">7. UI Mockups (Low-Fidelity)</w:t>
      </w:r>
    </w:p>
    <w:p>
      <w:pPr>
        <w:spacing w:after="120"/>
      </w:pPr>
      <w:r>
        <w:t xml:space="preserve">A storyboard-style sequence of screens is provided to visualise and refine requirements. Mockups are low-fidelity and focus on layout and information hierarchy, per Lab #1 §3.4. Unchanged from v1.0 — Phase 1 did not alter the screen list.</w:t>
      </w:r>
    </w:p>
    <w:p>
      <w:pPr>
        <w:pStyle w:val="Heading2"/>
        <w:spacing w:after="120" w:before="240"/>
      </w:pPr>
      <w:r>
        <w:t xml:space="preserve">7.1 Screen List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200"/>
      </w:tblGrid>
      <w:tr>
        <w:trPr>
          <w:tblHeader/>
        </w:trPr>
        <w:tc>
          <w:tcPr>
            <w:tcW w:type="dxa" w:w="1500"/>
            <w:shd w:fill="1F2937" w:val="clear"/>
          </w:tcPr>
          <w:p>
            <w:r>
              <w:rPr>
                <w:b/>
                <w:bCs/>
                <w:color w:val="FFFFFF"/>
              </w:rPr>
              <w:t xml:space="preserve">Screen ID</w:t>
            </w:r>
          </w:p>
        </w:tc>
        <w:tc>
          <w:tcPr>
            <w:tcW w:type="dxa" w:w="2400"/>
            <w:shd w:fill="1F2937" w:val="clear"/>
          </w:tcPr>
          <w:p>
            <w:r>
              <w:rPr>
                <w:b/>
                <w:bCs/>
                <w:color w:val="FFFFFF"/>
              </w:rPr>
              <w:t xml:space="preserve">Screen Name</w:t>
            </w:r>
          </w:p>
        </w:tc>
        <w:tc>
          <w:tcPr>
            <w:tcW w:type="dxa" w:w="5200"/>
            <w:shd w:fill="1F2937" w:val="clear"/>
          </w:tcPr>
          <w:p>
            <w:r>
              <w:rPr>
                <w:b/>
                <w:bCs/>
                <w:color w:val="FFFFFF"/>
              </w:rPr>
              <w:t xml:space="preserve">Purpose</w:t>
            </w:r>
          </w:p>
        </w:tc>
      </w:tr>
      <w:tr>
        <w:tc>
          <w:tcPr>
            <w:tcW w:type="dxa" w:w="1500"/>
          </w:tcPr>
          <w:p>
            <w:r>
              <w:rPr>
                <w:b w:val="false"/>
                <w:bCs w:val="false"/>
              </w:rPr>
              <w:t xml:space="preserve">S-01</w:t>
            </w:r>
          </w:p>
        </w:tc>
        <w:tc>
          <w:tcPr>
            <w:tcW w:type="dxa" w:w="2400"/>
          </w:tcPr>
          <w:p>
            <w:r>
              <w:rPr>
                <w:b w:val="false"/>
                <w:bCs w:val="false"/>
              </w:rPr>
              <w:t xml:space="preserve">Welcome / Login</w:t>
            </w:r>
          </w:p>
        </w:tc>
        <w:tc>
          <w:tcPr>
            <w:tcW w:type="dxa" w:w="5200"/>
          </w:tcPr>
          <w:p>
            <w:r>
              <w:rPr>
                <w:b w:val="false"/>
                <w:bCs w:val="false"/>
              </w:rPr>
              <w:t xml:space="preserve">Authenticate user and enter system</w:t>
            </w:r>
          </w:p>
        </w:tc>
      </w:tr>
      <w:tr>
        <w:tc>
          <w:tcPr>
            <w:tcW w:type="dxa" w:w="1500"/>
          </w:tcPr>
          <w:p>
            <w:r>
              <w:rPr>
                <w:b w:val="false"/>
                <w:bCs w:val="false"/>
              </w:rPr>
              <w:t xml:space="preserve">S-02</w:t>
            </w:r>
          </w:p>
        </w:tc>
        <w:tc>
          <w:tcPr>
            <w:tcW w:type="dxa" w:w="2400"/>
          </w:tcPr>
          <w:p>
            <w:r>
              <w:rPr>
                <w:b w:val="false"/>
                <w:bCs w:val="false"/>
              </w:rPr>
              <w:t xml:space="preserve">Profile Setup</w:t>
            </w:r>
          </w:p>
        </w:tc>
        <w:tc>
          <w:tcPr>
            <w:tcW w:type="dxa" w:w="5200"/>
          </w:tcPr>
          <w:p>
            <w:r>
              <w:rPr>
                <w:b w:val="false"/>
                <w:bCs w:val="false"/>
              </w:rPr>
              <w:t xml:space="preserve">Collect risk, goal, and budget band</w:t>
            </w:r>
          </w:p>
        </w:tc>
      </w:tr>
      <w:tr>
        <w:tc>
          <w:tcPr>
            <w:tcW w:type="dxa" w:w="1500"/>
          </w:tcPr>
          <w:p>
            <w:r>
              <w:rPr>
                <w:b w:val="false"/>
                <w:bCs w:val="false"/>
              </w:rPr>
              <w:t xml:space="preserve">S-03</w:t>
            </w:r>
          </w:p>
        </w:tc>
        <w:tc>
          <w:tcPr>
            <w:tcW w:type="dxa" w:w="2400"/>
          </w:tcPr>
          <w:p>
            <w:r>
              <w:rPr>
                <w:b w:val="false"/>
                <w:bCs w:val="false"/>
              </w:rPr>
              <w:t xml:space="preserve">Simulation Setup</w:t>
            </w:r>
          </w:p>
        </w:tc>
        <w:tc>
          <w:tcPr>
            <w:tcW w:type="dxa" w:w="5200"/>
          </w:tcPr>
          <w:p>
            <w:r>
              <w:rPr>
                <w:b w:val="false"/>
                <w:bCs w:val="false"/>
              </w:rPr>
              <w:t xml:space="preserve">Select portfolio template and plan parameters</w:t>
            </w:r>
          </w:p>
        </w:tc>
      </w:tr>
      <w:tr>
        <w:tc>
          <w:tcPr>
            <w:tcW w:type="dxa" w:w="1500"/>
          </w:tcPr>
          <w:p>
            <w:r>
              <w:rPr>
                <w:b w:val="false"/>
                <w:bCs w:val="false"/>
              </w:rPr>
              <w:t xml:space="preserve">S-04</w:t>
            </w:r>
          </w:p>
        </w:tc>
        <w:tc>
          <w:tcPr>
            <w:tcW w:type="dxa" w:w="2400"/>
          </w:tcPr>
          <w:p>
            <w:r>
              <w:rPr>
                <w:b w:val="false"/>
                <w:bCs w:val="false"/>
              </w:rPr>
              <w:t xml:space="preserve">Dashboard</w:t>
            </w:r>
          </w:p>
        </w:tc>
        <w:tc>
          <w:tcPr>
            <w:tcW w:type="dxa" w:w="5200"/>
          </w:tcPr>
          <w:p>
            <w:r>
              <w:rPr>
                <w:b w:val="false"/>
                <w:bCs w:val="false"/>
              </w:rPr>
              <w:t xml:space="preserve">Show performance summary and growth chart</w:t>
            </w:r>
          </w:p>
        </w:tc>
      </w:tr>
      <w:tr>
        <w:tc>
          <w:tcPr>
            <w:tcW w:type="dxa" w:w="1500"/>
          </w:tcPr>
          <w:p>
            <w:r>
              <w:rPr>
                <w:b w:val="false"/>
                <w:bCs w:val="false"/>
              </w:rPr>
              <w:t xml:space="preserve">S-05</w:t>
            </w:r>
          </w:p>
        </w:tc>
        <w:tc>
          <w:tcPr>
            <w:tcW w:type="dxa" w:w="2400"/>
          </w:tcPr>
          <w:p>
            <w:r>
              <w:rPr>
                <w:b w:val="false"/>
                <w:bCs w:val="false"/>
              </w:rPr>
              <w:t xml:space="preserve">Peer Comparison</w:t>
            </w:r>
          </w:p>
        </w:tc>
        <w:tc>
          <w:tcPr>
            <w:tcW w:type="dxa" w:w="5200"/>
          </w:tcPr>
          <w:p>
            <w:r>
              <w:rPr>
                <w:b w:val="false"/>
                <w:bCs w:val="false"/>
              </w:rPr>
              <w:t xml:space="preserve">Show percentile and peer medians, incl. fallback tier used</w:t>
            </w:r>
          </w:p>
        </w:tc>
      </w:tr>
      <w:tr>
        <w:tc>
          <w:tcPr>
            <w:tcW w:type="dxa" w:w="1500"/>
          </w:tcPr>
          <w:p>
            <w:r>
              <w:rPr>
                <w:b w:val="false"/>
                <w:bCs w:val="false"/>
              </w:rPr>
              <w:t xml:space="preserve">S-06</w:t>
            </w:r>
          </w:p>
        </w:tc>
        <w:tc>
          <w:tcPr>
            <w:tcW w:type="dxa" w:w="2400"/>
          </w:tcPr>
          <w:p>
            <w:r>
              <w:rPr>
                <w:b w:val="false"/>
                <w:bCs w:val="false"/>
              </w:rPr>
              <w:t xml:space="preserve">Insights</w:t>
            </w:r>
          </w:p>
        </w:tc>
        <w:tc>
          <w:tcPr>
            <w:tcW w:type="dxa" w:w="5200"/>
          </w:tcPr>
          <w:p>
            <w:r>
              <w:rPr>
                <w:b w:val="false"/>
                <w:bCs w:val="false"/>
              </w:rPr>
              <w:t xml:space="preserve">Provide actionable suggestions</w:t>
            </w:r>
          </w:p>
        </w:tc>
      </w:tr>
    </w:tbl>
    <w:p>
      <w:pPr>
        <w:pStyle w:val="Heading1"/>
        <w:spacing w:after="160" w:before="320"/>
      </w:pPr>
      <w:r>
        <w:t xml:space="preserve">Appendix A: Backend API Summary (MVP, indicative)</w:t>
      </w:r>
    </w:p>
    <w:p>
      <w:pPr>
        <w:pStyle w:val="ListParagraph"/>
        <w:numPr>
          <w:ilvl w:val="0"/>
          <w:numId w:val="1"/>
        </w:numPr>
        <w:spacing w:after="60"/>
      </w:pPr>
      <w:r>
        <w:t xml:space="preserve">/auth/register, /auth/login</w:t>
      </w:r>
    </w:p>
    <w:p>
      <w:pPr>
        <w:pStyle w:val="ListParagraph"/>
        <w:numPr>
          <w:ilvl w:val="0"/>
          <w:numId w:val="1"/>
        </w:numPr>
        <w:spacing w:after="60"/>
      </w:pPr>
      <w:r>
        <w:t xml:space="preserve">/user/profile (GET/POST)</w:t>
      </w:r>
    </w:p>
    <w:p>
      <w:pPr>
        <w:pStyle w:val="ListParagraph"/>
        <w:numPr>
          <w:ilvl w:val="0"/>
          <w:numId w:val="1"/>
        </w:numPr>
        <w:spacing w:after="60"/>
      </w:pPr>
      <w:r>
        <w:t xml:space="preserve">/portfolio/templates</w:t>
      </w:r>
    </w:p>
    <w:p>
      <w:pPr>
        <w:pStyle w:val="ListParagraph"/>
        <w:numPr>
          <w:ilvl w:val="0"/>
          <w:numId w:val="1"/>
        </w:numPr>
        <w:spacing w:after="60"/>
      </w:pPr>
      <w:r>
        <w:t xml:space="preserve">/simulation/run, /simulation/history</w:t>
      </w:r>
    </w:p>
    <w:p>
      <w:pPr>
        <w:pStyle w:val="ListParagraph"/>
        <w:numPr>
          <w:ilvl w:val="0"/>
          <w:numId w:val="1"/>
        </w:numPr>
        <w:spacing w:after="60"/>
      </w:pPr>
      <w:r>
        <w:t xml:space="preserve">/dashboard/summary, /dashboard/growth, /dashboard/behaviour</w:t>
      </w:r>
    </w:p>
    <w:p>
      <w:pPr>
        <w:pStyle w:val="ListParagraph"/>
        <w:numPr>
          <w:ilvl w:val="0"/>
          <w:numId w:val="1"/>
        </w:numPr>
        <w:spacing w:after="60"/>
      </w:pPr>
      <w:r>
        <w:t xml:space="preserve">/peers/summary, /peers/distribution</w:t>
      </w:r>
    </w:p>
    <w:p>
      <w:pPr>
        <w:pStyle w:val="ListParagraph"/>
        <w:numPr>
          <w:ilvl w:val="0"/>
          <w:numId w:val="1"/>
        </w:numPr>
        <w:spacing w:after="60"/>
      </w:pPr>
      <w:r>
        <w:t xml:space="preserve">/insights</w:t>
      </w:r>
    </w:p>
    <w:p>
      <w:pPr>
        <w:pStyle w:val="Heading1"/>
        <w:spacing w:after="160" w:before="320"/>
      </w:pPr>
      <w:r>
        <w:t xml:space="preserve">Appendix B: Database Tables (MVP, indicative)</w:t>
      </w:r>
    </w:p>
    <w:p>
      <w:pPr>
        <w:pStyle w:val="ListParagraph"/>
        <w:numPr>
          <w:ilvl w:val="0"/>
          <w:numId w:val="1"/>
        </w:numPr>
        <w:spacing w:after="60"/>
      </w:pPr>
      <w:r>
        <w:t xml:space="preserve">users</w:t>
      </w:r>
    </w:p>
    <w:p>
      <w:pPr>
        <w:pStyle w:val="ListParagraph"/>
        <w:numPr>
          <w:ilvl w:val="0"/>
          <w:numId w:val="1"/>
        </w:numPr>
        <w:spacing w:after="60"/>
      </w:pPr>
      <w:r>
        <w:t xml:space="preserve">user_profiles</w:t>
      </w:r>
    </w:p>
    <w:p>
      <w:pPr>
        <w:pStyle w:val="ListParagraph"/>
        <w:numPr>
          <w:ilvl w:val="0"/>
          <w:numId w:val="1"/>
        </w:numPr>
        <w:spacing w:after="60"/>
      </w:pPr>
      <w:r>
        <w:t xml:space="preserve">portfolio_templates</w:t>
      </w:r>
    </w:p>
    <w:p>
      <w:pPr>
        <w:pStyle w:val="ListParagraph"/>
        <w:numPr>
          <w:ilvl w:val="0"/>
          <w:numId w:val="1"/>
        </w:numPr>
        <w:spacing w:after="60"/>
      </w:pPr>
      <w:r>
        <w:t xml:space="preserve">simulations</w:t>
      </w:r>
    </w:p>
    <w:p>
      <w:pPr>
        <w:pStyle w:val="ListParagraph"/>
        <w:numPr>
          <w:ilvl w:val="0"/>
          <w:numId w:val="1"/>
        </w:numPr>
        <w:spacing w:after="60"/>
      </w:pPr>
      <w:r>
        <w:t xml:space="preserve">contributions</w:t>
      </w:r>
    </w:p>
    <w:p>
      <w:pPr>
        <w:pStyle w:val="ListParagraph"/>
        <w:numPr>
          <w:ilvl w:val="0"/>
          <w:numId w:val="1"/>
        </w:numPr>
        <w:spacing w:after="60"/>
      </w:pPr>
      <w:r>
        <w:t xml:space="preserve">peer_groups</w:t>
      </w:r>
    </w:p>
    <w:p>
      <w:pPr>
        <w:pStyle w:val="ListParagraph"/>
        <w:numPr>
          <w:ilvl w:val="0"/>
          <w:numId w:val="1"/>
        </w:numPr>
        <w:spacing w:after="60"/>
      </w:pPr>
      <w:r>
        <w:t xml:space="preserve">peer_group_stats</w:t>
      </w:r>
    </w:p>
    <w:p>
      <w:pPr>
        <w:pStyle w:val="Heading1"/>
        <w:spacing w:after="160" w:before="320"/>
      </w:pPr>
      <w:r>
        <w:t xml:space="preserve">Appendix C: To-Be-Determined List</w:t>
      </w:r>
    </w:p>
    <w:p>
      <w:pPr>
        <w:spacing w:after="120"/>
      </w:pPr>
      <w:r>
        <w:rPr>
          <w:strike/>
        </w:rPr>
        <w:t xml:space="preserve">TBD-01: Exact simulation return model (fixed-rate vs. stochastic).</w:t>
      </w:r>
    </w:p>
    <w:p>
      <w:pPr>
        <w:shd w:fill="FEF3C7" w:val="clear"/>
        <w:spacing w:after="120"/>
      </w:pPr>
      <w:r>
        <w:rPr>
          <w:b/>
          <w:bCs/>
          <w:color w:val="B45309"/>
        </w:rPr>
        <w:t xml:space="preserve">[v1.1] </w:t>
      </w:r>
      <w:r>
        <w:t xml:space="preserve">TBD-01: RESOLVED in v1.1 — deterministic fixed-rate compounding. See §2.5.</w:t>
      </w:r>
    </w:p>
    <w:p>
      <w:pPr>
        <w:shd w:fill="D1FAE5" w:val="clear"/>
        <w:spacing w:after="120"/>
      </w:pPr>
      <w:r>
        <w:rPr>
          <w:b/>
          <w:bCs/>
          <w:color w:val="047857"/>
        </w:rPr>
        <w:t xml:space="preserve">[v1.3] </w:t>
      </w:r>
      <w:r>
        <w:t xml:space="preserve">TBD-01: REOPENED in v1.3 — the fixed-rate model is amended to deterministic historical-return replay grounded in real fund data (A35/CFA/ES3). See §2.5 and DECISIONS.md #1 amendment.</w:t>
      </w:r>
    </w:p>
    <w:p>
      <w:pPr>
        <w:shd w:fill="EDE9FE" w:val="clear"/>
        <w:spacing w:after="120"/>
      </w:pPr>
      <w:r>
        <w:rPr>
          <w:b/>
          <w:bCs/>
          <w:color w:val="6D28D9"/>
        </w:rPr>
        <w:t xml:space="preserve">[v1.4] </w:t>
      </w:r>
      <w:r>
        <w:t xml:space="preserve">TBD-01: further amended in v1.4 — the historical-return replay from v1.3 now runs per-fund across a user-composed multi-fund Portfolio (weighted blend) rather than one fund per fixed template. See §2.5 and DECISIONS.md #1 second amendment.</w:t>
      </w:r>
    </w:p>
    <w:p>
      <w:pPr>
        <w:spacing w:after="120"/>
      </w:pPr>
      <w:r>
        <w:rPr>
          <w:strike/>
        </w:rPr>
        <w:t xml:space="preserve">TBD-02: Peer grouping fallback hierarchy when a group is too small.</w:t>
      </w:r>
    </w:p>
    <w:p>
      <w:pPr>
        <w:shd w:fill="FEF3C7" w:val="clear"/>
        <w:spacing w:after="120"/>
      </w:pPr>
      <w:r>
        <w:rPr>
          <w:b/>
          <w:bCs/>
          <w:color w:val="B45309"/>
        </w:rPr>
        <w:t xml:space="preserve">[v1.1] </w:t>
      </w:r>
      <w:r>
        <w:t xml:space="preserve">TBD-02: RESOLVED in v1.1 — MIN_GROUP_SIZE = 10, three-tier fallback (FULL → RISK_BUDGET → RISK_ONLY). See §2.5 and §6 UC-05.</w:t>
      </w:r>
    </w:p>
    <w:p>
      <w:pPr>
        <w:spacing w:after="120"/>
      </w:pPr>
      <w:r>
        <w:rPr>
          <w:strike/>
        </w:rPr>
        <w:t xml:space="preserve">TBD-03: Synthetic peer data generation strategy for seeding — to be resolved before Phase 4/5 testing.</w:t>
      </w:r>
    </w:p>
    <w:p>
      <w:pPr>
        <w:shd w:fill="DBEAFE" w:val="clear"/>
        <w:spacing w:after="120"/>
      </w:pPr>
      <w:r>
        <w:rPr>
          <w:b/>
          <w:bCs/>
          <w:color w:val="1D4ED8"/>
        </w:rPr>
        <w:t xml:space="preserve">[v1.2] </w:t>
      </w:r>
      <w:r>
        <w:t xml:space="preserve">TBD-03: RESOLVED in v1.2 — ~30 synthetic peers per FULL-tier group (riskLevel × budgetBand × goalType), flagged via User.isSynthetic. See §4 Data Dictionary, §2.6, and DECISIONS.md #4. All TBDs are now closed.</w:t>
      </w:r>
    </w:p>
    <w:p>
      <w:pPr>
        <w:spacing w:after="120"/>
      </w:pPr>
      <w:r>
        <w:rPr>
          <w:strike/>
        </w:rPr>
        <w:t xml:space="preserve">TBD-04: ConsistencyScore formula — currently undefined.</w:t>
      </w:r>
    </w:p>
    <w:p>
      <w:pPr>
        <w:shd w:fill="FEF3C7" w:val="clear"/>
        <w:spacing w:after="120"/>
      </w:pPr>
      <w:r>
        <w:rPr>
          <w:b/>
          <w:bCs/>
          <w:color w:val="B45309"/>
        </w:rPr>
        <w:t xml:space="preserve">[v1.1] </w:t>
      </w:r>
      <w:r>
        <w:t xml:space="preserve">TBD-04: RESOLVED in v1.1 — app engagement cadence formula. See §4 Data Dictionary.</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2026-08-14T03:39:37.913Z</dcterms:created>
  <dcterms:modified xsi:type="dcterms:W3CDTF">2026-08-14T03:39:37.926Z</dcterms:modified>
</cp:coreProperties>
</file>

<file path=docProps/custom.xml><?xml version="1.0" encoding="utf-8"?>
<Properties xmlns="http://schemas.openxmlformats.org/officeDocument/2006/custom-properties" xmlns:vt="http://schemas.openxmlformats.org/officeDocument/2006/docPropsVTypes"/>
</file>