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sz w:val="32"/>
          <w:szCs w:val="32"/>
        </w:rPr>
        <w:t xml:space="preserve">Analysis Model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Conceptual Model, Dialog Map &amp; Locked Algorithm Decisions</w:t>
      </w:r>
    </w:p>
    <w:p>
      <w:pPr>
        <w:spacing w:after="100"/>
        <w:jc w:val="center"/>
      </w:pPr>
      <w:r>
        <w:rPr>
          <w:sz w:val="24"/>
          <w:szCs w:val="24"/>
        </w:rPr>
        <w:t xml:space="preserve">Micro-Investment Behaviour Simulation &amp; Peer Benchmarking Dashboard (Mobile App)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Prepared for: Final Year Project CCDS25-1124</w:t>
      </w:r>
    </w:p>
    <w:p>
      <w:pPr>
        <w:jc w:val="center"/>
      </w:pPr>
      <w:r>
        <w:rPr>
          <w:sz w:val="22"/>
          <w:szCs w:val="22"/>
        </w:rPr>
        <w:t xml:space="preserve">Prepared by: Leong Hao Jie</w:t>
      </w:r>
    </w:p>
    <w:p>
      <w:pPr>
        <w:jc w:val="center"/>
      </w:pPr>
      <w:r>
        <w:rPr>
          <w:sz w:val="22"/>
          <w:szCs w:val="22"/>
        </w:rPr>
        <w:t xml:space="preserve">Supervisor: Dr Gu Chloe</w:t>
      </w:r>
    </w:p>
    <w:p>
      <w:pPr>
        <w:spacing w:after="600"/>
        <w:jc w:val="center"/>
      </w:pPr>
      <w:r>
        <w:rPr>
          <w:sz w:val="22"/>
          <w:szCs w:val="22"/>
        </w:rPr>
        <w:t xml:space="preserve">Date: 09 February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Author(s)</w:t>
            </w:r>
          </w:p>
        </w:tc>
        <w:tc>
          <w:tcPr>
            <w:tcW w:type="dxa" w:w="35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Reason for Changes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 Feb 2026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Leong Hao Jie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Analysis Model — Phase 1 / Lab #2 deliverable</w:t>
            </w:r>
          </w:p>
        </w:tc>
      </w:tr>
    </w:tbl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document is the Phase 1 (Analysis, February 2026) deliverable, aligned with SE course Lab #2: Requirements Analysis. It builds directly on the Phase 0 SRS v1.0 and Use Case Model (January 2026) and on the AI Critique Report, one finding of which is acted on here (Section 2).</w:t>
      </w:r>
    </w:p>
    <w:p>
      <w:pPr>
        <w:spacing w:after="120"/>
      </w:pPr>
      <w:r>
        <w:t xml:space="preserve">Phase 1 covers three things, per the FYP roadmap: (1) the conceptual model — entity, boundary, and control classes derived from FR01–FR13; (2) the dynamic model — a dialog map of UI screens S-01→S-06; and (3) the single most important technical decision in the project, the simulation returns algorithm, which is locked and documented in Section 5. The peer-grouping minimum-size decision that depends on the same trade-off discussion is also recorded here (Section 6), ahead of its full detailed design in Phase 2.</w:t>
      </w:r>
    </w:p>
    <w:p>
      <w:pPr>
        <w:pStyle w:val="Heading1"/>
        <w:spacing w:after="150" w:before="300"/>
      </w:pPr>
      <w:r>
        <w:t xml:space="preserve">2. Use Case Model Refinement</w:t>
      </w:r>
    </w:p>
    <w:p>
      <w:pPr>
        <w:spacing w:after="120"/>
      </w:pPr>
      <w:r>
        <w:t xml:space="preserve">The AI Critique Report (Lab #1 §3.5) flagged that the Phase 0 use case diagram omitted the &lt;&lt;include&gt;&gt; and &lt;&lt;extend&gt;&gt; relationships already implied by the use case descriptions. Both are now added: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UC-03 (Configure &amp; Run Simulation) &lt;&lt;include&gt;&gt; a new UC-08 (View Portfolio Templates), matching the “Includes” field already present in the UC-03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UC-05 (View Peer Comparison) gains an &lt;&lt;extend&gt;&gt; point for the “peer group too small → relax grouping rules” exception flow.</w:t>
      </w:r>
    </w:p>
    <w:p>
      <w:pPr>
        <w:spacing w:after="2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 other use cases changed. UC-01–UC-07 descriptions from the Phase 0 SRS remain valid as written; UC-08 is a short, self-contained use case (system displays available portfolio templates on request) and is not written out in full since it has no independent trigger — it only ever runs as part of UC-03.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Conceptual Model (Entity / Boundary / Control)</w:t>
      </w:r>
    </w:p>
    <w:p>
      <w:pPr>
        <w:spacing w:after="120"/>
      </w:pPr>
      <w:r>
        <w:t xml:space="preserve">Following Bruegge Ch.5 and the Lab #2 procedure, classes are identified from the Use Case Descriptions and the Data Dictionary, then stereotyped as entity, boundary, or control.</w:t>
      </w:r>
    </w:p>
    <w:p>
      <w:pPr>
        <w:pStyle w:val="Heading2"/>
        <w:spacing w:after="100" w:before="220"/>
      </w:pPr>
      <w:r>
        <w:t xml:space="preserve">3.1 Class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Stereotype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Classes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«boundary»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WelcomeLoginUI, ProfileSetupUI, SimulationSetupUI, DashboardUI, PeerComparisonUI, InsightsUI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per screen S-01–S-06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«control»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AuthController, ProfileController, SimulationController, PeerGroupingService, PeerBenchmarkService, InsightService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per major system response in the FR table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«entity»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User, UserProfile, PortfolioTemplate, Simulation, Contribution, PeerGroup, PeerGroupStats, InsightCard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Dictionary (SRS §4)</w:t>
            </w:r>
          </w:p>
        </w:tc>
      </w:tr>
    </w:tbl>
    <w:p>
      <w:pPr>
        <w:pStyle w:val="Heading2"/>
        <w:spacing w:after="100" w:before="220"/>
      </w:pPr>
      <w:r>
        <w:t xml:space="preserve">3.2 Class Diagram</w:t>
      </w:r>
    </w:p>
    <w:p>
      <w:pPr>
        <w:spacing w:after="20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Associations shown are illustrative rather than exhaustive (e.g. AuthController–User, SimulationController–Simulation, PeerGroupingService–PeerGroup, InsightService–InsightCard); the full multiplicities and attribute lists are carried over unchanged from the Data Dictionary and will be elaborated into a design-level class diagram in Phase 2.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Dynamic Model (Dialog Map)</w:t>
      </w:r>
    </w:p>
    <w:p>
      <w:pPr>
        <w:spacing w:after="120"/>
      </w:pPr>
      <w:r>
        <w:t xml:space="preserve">The dialog map models the UI as a state machine, built from the Phase 0 low-fidelity mockups (S-01–S-06) plus one additional state (Simulation History list view, FR13/UC-07) that was implicit in the mockups but not drawn as its own screen.</w:t>
      </w:r>
    </w:p>
    <w:p>
      <w:pPr>
        <w:spacing w:after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Key transitions: a first-time login routes through Profile Setup before Simulation Setup; a returning user goes straight to the Dashboard. The Dashboard is the hub state, with direct transitions out to Peer Comparison, Insights, and Simulation History, and back again. Logout (grey/red path) is reachable from the Dashboard hub and returns to Welcome/Login from any authenticated state — this closes a gap the Phase 0 SRS review had flagged (no logout/session-expiry requirement); it is now added to the dialog map and should be written up as a new FR/UC in the next SRS revision.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Locked Decision 1 — Simulation Returns Model (FR06)</w:t>
      </w:r>
    </w:p>
    <w:p>
      <w:pPr>
        <w:spacing w:after="120"/>
      </w:pPr>
      <w:r>
        <w:t xml:space="preserve">This is the single most important technical decision in the project (roadmap.md, Phase 1) and is now locked.</w:t>
      </w:r>
    </w:p>
    <w:p>
      <w:pPr>
        <w:pStyle w:val="Heading2"/>
        <w:spacing w:after="100" w:before="220"/>
      </w:pPr>
      <w:r>
        <w:t xml:space="preserve">5.1 Decision</w:t>
      </w:r>
    </w:p>
    <w:p>
      <w:pPr>
        <w:spacing w:after="80"/>
      </w:pPr>
      <w:r>
        <w:rPr>
          <w:b/>
          <w:bCs/>
        </w:rPr>
        <w:t xml:space="preserve">Deterministic fixed-rate periodic compounding.</w:t>
      </w:r>
    </w:p>
    <w:p>
      <w:pPr>
        <w:spacing w:after="120"/>
      </w:pPr>
      <w:r>
        <w:t xml:space="preserve">Each portfolio grows every period by a periodic rate derived from the portfolio template's annualised expected return, compounded on top of that period's contribution. The same inputs always produce the same output — this satisfies NFR-04 (reproducibility) by construction, with no random seeding required.</w:t>
      </w:r>
    </w:p>
    <w:p>
      <w:pPr>
        <w:pStyle w:val="Heading2"/>
        <w:spacing w:after="100" w:before="220"/>
      </w:pPr>
      <w:r>
        <w:t xml:space="preserve">5.2 Formula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periodicRate = (1 + expectedReturn) ^ (1 / periodsPerYear) − 1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balance[n] = (balance[n-1] + contributionAmount) × (1 + periodicRate)</w:t>
      </w:r>
    </w:p>
    <w:p>
      <w:pPr>
        <w:spacing w:after="120"/>
      </w:pPr>
      <w:r>
        <w:t xml:space="preserve">periodsPerYear is 12 for monthly contributions and 52 for weekly. Duration is expressed in months and converted to a whole number of periods (weekly duration is rounded to the nearest week).</w:t>
      </w:r>
    </w:p>
    <w:p>
      <w:pPr>
        <w:pStyle w:val="Heading2"/>
        <w:spacing w:after="100" w:before="220"/>
      </w:pPr>
      <w:r>
        <w:t xml:space="preserve">5.3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0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Why not chosen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+ volatility smoothing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rate ± a seeded, smoothed variation curve derived from template.volatility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testable, and would have used every Data Dictionary field, but added complexity not justified for an MVP on a single-developer timeline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Stochastic seeded random walk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 random-walk simulation, seeded per run for reproducibility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Harder to unit test cleanly (Lab #4 black-box target) and harder to justify “why these numbers” in the demo</w:t>
            </w:r>
          </w:p>
        </w:tc>
      </w:tr>
    </w:tbl>
    <w:p>
      <w:pPr>
        <w:pStyle w:val="Heading2"/>
        <w:spacing w:after="100" w:before="220"/>
      </w:pPr>
      <w:r>
        <w:t xml:space="preserve">5.4 Consequence for the Data Dictionary</w:t>
      </w:r>
    </w:p>
    <w:p>
      <w:pPr>
        <w:spacing w:after="120"/>
      </w:pPr>
      <w:r>
        <w:t xml:space="preserve">PortfolioTemplate.volatility is retained in the schema for a possible future extension but is intentionally unused by the MVP simulation function — flagged in code so it is not accidentally wired in without re-opening this decision. Suggested SRS wording: “FR06: the system shall compute portfolio value as a deterministic function of contribution amount, frequency, duration, and the selected template's annualised expected return, using fixed periodic compounding; the same inputs shall always yield the same output (NFR-04).”</w:t>
      </w:r>
    </w:p>
    <w:p>
      <w:pPr>
        <w:pStyle w:val="Heading1"/>
        <w:spacing w:after="150" w:before="300"/>
      </w:pPr>
      <w:r>
        <w:t xml:space="preserve">6. Locked Decision 2 — Peer Group Minimum Size &amp; Fallback (FR09)</w:t>
      </w:r>
    </w:p>
    <w:p>
      <w:pPr>
        <w:spacing w:after="120"/>
      </w:pPr>
      <w:r>
        <w:t xml:space="preserve">This decision was made alongside Decision 1, since both flow from the same trade-off conversation (accuracy of matching vs. how much synthetic seed data is needed). The full grouping/percentile algorithm design belongs to Phase 2 (roadmap.md); this section locks only the threshold and fallback shape so Phase 2 design has a fixed starting point.</w:t>
      </w:r>
    </w:p>
    <w:p>
      <w:pPr>
        <w:pStyle w:val="Heading2"/>
        <w:spacing w:after="100" w:before="220"/>
      </w:pPr>
      <w:r>
        <w:t xml:space="preserve">6.1 Decision</w:t>
      </w:r>
    </w:p>
    <w:p>
      <w:pPr>
        <w:spacing w:after="80"/>
      </w:pPr>
      <w:r>
        <w:rPr>
          <w:b/>
          <w:bCs/>
        </w:rPr>
        <w:t xml:space="preserve">MIN_GROUP_SIZE = 10, with a three-tier fallback: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— riskLevel + budgetBand + goalType (most specific match)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RISK_BUDGET — riskLevel + budgetBand (goalType relaxed)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RISK_ONLY — riskLevel only (floor tier; returned even if still below MIN_GROUP_SIZE, since there is nothing broader to fall back to)</w:t>
      </w:r>
    </w:p>
    <w:p>
      <w:pPr>
        <w:spacing w:after="120"/>
      </w:pPr>
      <w:r>
        <w:t xml:space="preserve">The system walks FULL → RISK_BUDGET → RISK_ONLY and stops at the first tier whose member count meets the threshold. A small threshold (10) was chosen deliberately so groups are reachable without heavy synthetic seeding, at the cost of looser peer matches for users in sparsely-populated segments.</w:t>
      </w:r>
    </w:p>
    <w:p>
      <w:pPr>
        <w:pStyle w:val="Heading2"/>
        <w:spacing w:after="100" w:before="220"/>
      </w:pPr>
      <w:r>
        <w:t xml:space="preserve">6.2 Consequence for the Data Dictionary</w:t>
      </w:r>
    </w:p>
    <w:p>
      <w:pPr>
        <w:spacing w:after="120"/>
      </w:pPr>
      <w:r>
        <w:t xml:space="preserve">PeerGroup.budgetBand and PeerGroup.goalType become nullable (null once relaxed past FULL / RISK_BUDGET respectively), and a tier field (FULL | RISK_BUDGET | RISK_ONLY) is added so the UI can show “peer group description” transparency text (UC-05 step 6) that reflects which tier actually matched.</w:t>
      </w:r>
    </w:p>
    <w:p>
      <w:pPr>
        <w:pStyle w:val="Heading2"/>
        <w:spacing w:after="100" w:before="220"/>
      </w:pPr>
      <w:r>
        <w:t xml:space="preserve">6.3 Note for Phase 2</w:t>
      </w:r>
    </w:p>
    <w:p>
      <w:pPr>
        <w:spacing w:after="120"/>
      </w:pPr>
      <w:r>
        <w:t xml:space="preserve">The percentile computation itself (median, p25/p75) is deferred to Phase 2 detailed design, where PostgreSQL's native PERCENTILE_CONT/PERCENTILE_DISC window functions will be used directly in SQL rather than hand-rolled in application code.</w:t>
      </w:r>
    </w:p>
    <w:p>
      <w:pPr>
        <w:pStyle w:val="Heading1"/>
        <w:spacing w:after="150" w:before="300"/>
      </w:pPr>
      <w:r>
        <w:t xml:space="preserve">7. Open Items Carried Forward</w:t>
      </w:r>
    </w:p>
    <w:p>
      <w:pPr>
        <w:spacing w:after="120"/>
      </w:pPr>
      <w:r>
        <w:t xml:space="preserve">Unchanged from the Phase 0 SRS Appendix C, still unresolved: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ConsistencyScore formula — still undefined; blocks the medianConsistency half of computePeerGroupStats().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peer data generation strategy for seeding — needed to make MIN_GROUP_SIZE=10 reliably reachable in demo/test data; to be resolved before Phase 2 design closes.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d3e45926fded53e559185410a814b3ca93d2a9.png"/><Relationship Id="rId8" Type="http://schemas.openxmlformats.org/officeDocument/2006/relationships/image" Target="media/bd83fbd486aad0d58687f083345397317e9bf4f4.png"/><Relationship Id="rId9" Type="http://schemas.openxmlformats.org/officeDocument/2006/relationships/image" Target="media/46810ae604996030bab560d2da26f39f10da2f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2026-08-10T08:13:50.275Z</dcterms:created>
  <dcterms:modified xsi:type="dcterms:W3CDTF">2026-08-10T08:13:50.289Z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