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sz w:val="32"/>
          <w:szCs w:val="32"/>
        </w:rPr>
        <w:t xml:space="preserve">Design Model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Design Class Diagram, System Architecture, DB Schema &amp; Detailed Peer-Grouping Algorithm</w:t>
      </w:r>
    </w:p>
    <w:p>
      <w:pPr>
        <w:spacing w:after="100"/>
        <w:jc w:val="center"/>
      </w:pPr>
      <w:r>
        <w:rPr>
          <w:sz w:val="24"/>
          <w:szCs w:val="24"/>
        </w:rPr>
        <w:t xml:space="preserve">Micro-Investment Behaviour Simulation &amp; Peer Benchmarking Dashboard (Mobile App)</w:t>
      </w:r>
    </w:p>
    <w:p>
      <w:pPr>
        <w:spacing w:after="600"/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Prepared for: Final Year Project CCDS25-1124</w:t>
      </w:r>
    </w:p>
    <w:p>
      <w:pPr>
        <w:jc w:val="center"/>
      </w:pPr>
      <w:r>
        <w:rPr>
          <w:sz w:val="22"/>
          <w:szCs w:val="22"/>
        </w:rPr>
        <w:t xml:space="preserve">Prepared by: Leong Hao Jie</w:t>
      </w:r>
    </w:p>
    <w:p>
      <w:pPr>
        <w:jc w:val="center"/>
      </w:pPr>
      <w:r>
        <w:rPr>
          <w:sz w:val="22"/>
          <w:szCs w:val="22"/>
        </w:rPr>
        <w:t xml:space="preserve">Supervisor: Dr Gu Chloe</w:t>
      </w:r>
    </w:p>
    <w:p>
      <w:pPr>
        <w:spacing w:after="600"/>
        <w:jc w:val="center"/>
      </w:pPr>
      <w:r>
        <w:rPr>
          <w:sz w:val="22"/>
          <w:szCs w:val="22"/>
        </w:rPr>
        <w:t xml:space="preserve">Date: 09 March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Version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Author(s)</w:t>
            </w:r>
          </w:p>
        </w:tc>
        <w:tc>
          <w:tcPr>
            <w:tcW w:type="dxa" w:w="356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Reason for Changes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09 Mar 2026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Leong Hao Jie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Initial Design Model — Phase 2 / Lab #3 deliverable</w:t>
            </w:r>
          </w:p>
        </w:tc>
      </w:tr>
    </w:tbl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is the Phase 2 (Design, March 2026) deliverable, aligned with SE course Lab #3: Design and Implementation. It transforms the Phase 1 analysis model (entity/boundary/control classes, dialog map) into a design model: system architecture, a design-level class diagram with a start-up class and design patterns, the full database schema, and the detailed peer-grouping/benchmarking algorithm design that Phase 1 deferred.</w:t>
      </w:r>
    </w:p>
    <w:p>
      <w:pPr>
        <w:spacing w:after="120"/>
      </w:pPr>
      <w:r>
        <w:t xml:space="preserve">The tech stack decision from Phase 0/1 is reaffirmed here rather than re-litigated (Section 6), and the skeleton repository referenced throughout this document was scaffolded directly from this design — it already exists and is not being regenerated from scratch (see Lab3_AI_Project_Init_Report.docx for the companion AI-based project-initialisation exercise required by Lab #3 §3.3).</w:t>
      </w:r>
    </w:p>
    <w:p>
      <w:pPr>
        <w:pStyle w:val="Heading1"/>
        <w:spacing w:after="150" w:before="300"/>
      </w:pPr>
      <w:r>
        <w:t xml:space="preserve">2. System Architecture</w:t>
      </w:r>
    </w:p>
    <w:p>
      <w:pPr>
        <w:spacing w:after="120"/>
      </w:pPr>
      <w:r>
        <w:t xml:space="preserve">The system is a four-layer architecture: mobile client, backend API, ORM, and database, communicating strictly downward (each layer only talks to the one directly below it).</w:t>
      </w:r>
    </w:p>
    <w:p>
      <w:pPr>
        <w:spacing w:after="200"/>
        <w:jc w:val="center"/>
      </w:pPr>
      <w:r>
        <w:drawing>
          <wp:inline distT="0" distB="0" distL="0" distR="0">
            <wp:extent cx="4381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3. Design Class Diagram</w:t>
      </w:r>
    </w:p>
    <w:p>
      <w:pPr>
        <w:spacing w:after="120"/>
      </w:pPr>
      <w:r>
        <w:t xml:space="preserve">Per Fox pp.341–345, the analysis model is extended with a start-up class (AppServer, wiring Express routes and middleware) and a container/repository class (PrismaClient) that mediates all access to entity data — this keeps controllers and services free of raw SQL/ORM calls scattered across the codebase. PeerGroupingService is marked «strategy»: it walks a fixed sequence of matching strategies (FULL → RISK_BUDGET → RISK_ONLY) and returns the first one that satisfies the minimum-group-size constraint, which is the Strategy pattern applied to a fallback chain.</w:t>
      </w:r>
    </w:p>
    <w:p>
      <w:pPr>
        <w:spacing w:after="200"/>
        <w:jc w:val="center"/>
      </w:pPr>
      <w:r>
        <w:drawing>
          <wp:inline distT="0" distB="0" distL="0" distR="0">
            <wp:extent cx="6096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t xml:space="preserve">3.1 Key Design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control: all routes except /auth/register and /auth/login require a valid JWT, checked once in Express middleware (requireAuth) before any controller runs — controllers never re-check auth themselves.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data: all persistence goes through Prisma; no controller or service issues raw SQL except PeerBenchmarkService, which uses $queryRaw specifically for PERCENTILE_CONT/PERCENTILE_DISC (Section 5.3).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pattern: PrismaClient is instantiated once (backend/src/config/prisma.ts) and imported wherever needed, rather than each service creating its own connection.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Database Schema</w:t>
      </w:r>
    </w:p>
    <w:p>
      <w:pPr>
        <w:spacing w:after="120"/>
      </w:pPr>
      <w:r>
        <w:t xml:space="preserve">Derived directly from the SRS Data Dictionary (§4) and the Phase 1 locked decisions. Enums first, then tables.</w:t>
      </w:r>
    </w:p>
    <w:p>
      <w:pPr>
        <w:pStyle w:val="Heading2"/>
        <w:spacing w:after="100" w:before="220"/>
      </w:pPr>
      <w:r>
        <w:t xml:space="preserve">4.1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Enum</w:t>
            </w:r>
          </w:p>
        </w:tc>
        <w:tc>
          <w:tcPr>
            <w:tcW w:type="dxa" w:w="686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Values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RiskLevel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LOW, MEDIUM, HIGH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GoalType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LEARN, HABIT, GROWTH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BudgetBand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B1, B2, B3, B4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ContributionFrequency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WEEKLY, MONTHLY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PeerGroupTier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FULL, RISK_BUDGET, RISK_ONLY</w:t>
            </w:r>
          </w:p>
        </w:tc>
      </w:tr>
    </w:tbl>
    <w:p>
      <w:pPr>
        <w:pStyle w:val="Heading2"/>
        <w:spacing w:after="100" w:before="220"/>
      </w:pPr>
      <w:r>
        <w:t xml:space="preserve">4.2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560"/>
      </w:tblGrid>
      <w:tr>
        <w:tc>
          <w:tcPr>
            <w:tcW w:type="dxa" w:w="17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Table</w:t>
            </w:r>
          </w:p>
        </w:tc>
        <w:tc>
          <w:tcPr>
            <w:tcW w:type="dxa" w:w="41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Key Columns</w:t>
            </w:r>
          </w:p>
        </w:tc>
        <w:tc>
          <w:tcPr>
            <w:tcW w:type="dxa" w:w="356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users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 (PK), email (unique), passwordHash, createdAt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passwordHash is a bcrypt salted hash (NFR-06); never stores plaintext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user_profiles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 (PK), userId (FK→users, unique), riskLevel, goalType, budgetBand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1:1 with users; budgetBand derived server-side from raw monthly budget input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portfolio_templates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 (PK), name, riskLevel, expectedReturn, volatility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volatility is unused by the MVP simulation (locked Phase 1 decision); retained for a possible future extension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simulations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 (PK), userId (FK), templateId (FK), frequency, contributionAmount, durationMonths, finalValue?, createdAt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finalValue populated once the run completes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contributions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 (PK), simulationId (FK), periodIndex, amount, portfolioValue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row per period; ordered by periodIndex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peer_groups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 (PK), riskLevel, budgetBand?, goalType?, tier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budgetBand/goalType nullable — null once relaxed past FULL/RISK_BUDGET (Phase 1 §6)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peer_group_stats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id (PK), peerGroupId (FK→peer_groups, unique), medianValue, p25, p50, p75, medianConsistency, memberCount, lastComputedAt</w:t>
            </w:r>
          </w:p>
        </w:tc>
        <w:tc>
          <w:tcPr>
            <w:tcW w:type="dxa" w:w="35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medianConsistency still blocked on the ConsistencyScore formula (open item)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Peer-Grouping &amp; Benchmarking Algorithm — Detailed Design</w:t>
      </w:r>
    </w:p>
    <w:p>
      <w:pPr>
        <w:spacing w:after="120"/>
      </w:pPr>
      <w:r>
        <w:t xml:space="preserve">Phase 1 locked the threshold and fallback shape (MIN_GROUP_SIZE = 10, FULL → RISK_BUDGET → RISK_ONLY). This section completes the design: the exact grouping keys, the walk implementation, and the percentile computation strategy.</w:t>
      </w:r>
    </w:p>
    <w:p>
      <w:pPr>
        <w:pStyle w:val="Heading2"/>
        <w:spacing w:after="100" w:before="220"/>
      </w:pPr>
      <w:r>
        <w:t xml:space="preserve">5.1 Grouping Keys per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Tier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riskLevel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budgetBand</w:t>
            </w:r>
          </w:p>
        </w:tc>
        <w:tc>
          <w:tcPr>
            <w:tcW w:type="dxa" w:w="236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goalType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RISK_BUDGET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relaxed (null)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RISK_ONLY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relaxed (null)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relaxed (null)</w:t>
            </w:r>
          </w:p>
        </w:tc>
      </w:tr>
    </w:tbl>
    <w:p>
      <w:pPr>
        <w:pStyle w:val="Heading2"/>
        <w:spacing w:after="100" w:before="220"/>
      </w:pPr>
      <w:r>
        <w:t xml:space="preserve">5.2 Fallback Walk (assignPeerGroup)</w:t>
      </w:r>
    </w:p>
    <w:p>
      <w:pPr>
        <w:spacing w:after="120"/>
      </w:pPr>
      <w:r>
        <w:t xml:space="preserve">Implemented as three separable branches on purpose — this is the Lab #4 basis-path testing target (roadmap.md, Phase 5), so each branch needs to be independently exercisable in a test: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countFull = count(riskLevel, budgetBand, goalType)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if countFull &gt;= MIN_GROUP_SIZE: return { tier: FULL, ... }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countRiskBudget = count(riskLevel, budgetBand, null)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if countRiskBudget &gt;= MIN_GROUP_SIZE: return { tier: RISK_BUDGET, ... }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countRiskOnly = count(riskLevel, null, null)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return { tier: RISK_ONLY, ... }   // floor tier — returned even if still below threshold</w:t>
      </w:r>
    </w:p>
    <w:p>
      <w:pPr>
        <w:spacing w:after="120"/>
      </w:pPr>
      <w:r>
        <w:t xml:space="preserve">RISK_ONLY is deliberately not an error case: with nothing broader left to fall back to, the design treats a below-threshold RISK_ONLY result as “best available”, and leaves it to PeerComparisonUI (S-05) to show the tier-appropriate transparency text from UC-05 step 6 (e.g. a caption noting the match was broadened).</w:t>
      </w:r>
    </w:p>
    <w:p>
      <w:pPr>
        <w:pStyle w:val="Heading2"/>
        <w:spacing w:after="100" w:before="220"/>
      </w:pPr>
      <w:r>
        <w:t xml:space="preserve">5.3 Percentile Computation Strategy (computePeerGroupStats)</w:t>
      </w:r>
    </w:p>
    <w:p>
      <w:pPr>
        <w:spacing w:after="120"/>
      </w:pPr>
      <w:r>
        <w:t xml:space="preserve">Rather than pulling every peer's simulation rows into application memory and computing percentiles in JavaScript, this design pushes the computation into PostgreSQL directly, using its native window functions — the reason Postgres was chosen over the alternatives in the first place (Lab2_AI_TechStack_Report.docx):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SELECT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PERCENTILE_CONT(0.25) WITHIN GROUP (ORDER BY finalValue) AS p25,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PERCENTILE_CONT(0.5)  WITHIN GROUP (ORDER BY finalValue) AS p50,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PERCENTILE_CONT(0.75) WITHIN GROUP (ORDER BY finalValue) AS p75,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COUNT(*) AS memberCount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FROM simulations s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JOIN user_profiles up ON up."userId" = s."userId"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WHERE up."riskLevel" = $1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AND ($2::text IS NULL OR up."budgetBand" = $2)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AND ($3::text IS NULL OR up."goalType" = $3);</w:t>
      </w:r>
    </w:p>
    <w:p>
      <w:pPr>
        <w:spacing w:after="120"/>
      </w:pPr>
      <w:r>
        <w:t xml:space="preserve">The three WHERE clauses are parameterised so the same query serves all three tiers — budgetBand/goalType are passed as null once a tier has relaxed them, matching the fallback walk in §5.2. medianConsistency is deliberately left out of this query; it is still blocked on the ConsistencyScore formula (Section 7).</w:t>
      </w:r>
    </w:p>
    <w:p>
      <w:pPr>
        <w:spacing w:after="120"/>
      </w:pPr>
      <w:r>
        <w:t xml:space="preserve">This is issued via Prisma's $queryRaw, since PERCENTILE_CONT is not exposed through Prisma's query builder — the one place in the codebase where raw SQL is intentional rather than a workaround (see §3.1).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Technology Stack (Reaffirmed)</w:t>
      </w:r>
    </w:p>
    <w:p>
      <w:pPr>
        <w:spacing w:after="120"/>
      </w:pPr>
      <w:r>
        <w:t xml:space="preserve">Unchanged from Phase 0/1: React Native (Expo) · Node.js/Express/TypeScript · Prisma · PostgreSQL · JWT + bcrypt · Jest. See Lab3_AI_Project_Init_Report.docx §2 for the repeated AI recommendation exercise against this design-level class diagram, required by Lab #3 §3.3.1.</w:t>
      </w:r>
    </w:p>
    <w:p>
      <w:pPr>
        <w:pStyle w:val="Heading1"/>
        <w:spacing w:after="150" w:before="300"/>
      </w:pPr>
      <w:r>
        <w:t xml:space="preserve">7. Skeleton Repository Structure</w:t>
      </w:r>
    </w:p>
    <w:p>
      <w:pPr>
        <w:spacing w:after="120"/>
      </w:pPr>
      <w:r>
        <w:t xml:space="preserve">The application skeleton was scaffolded from this design and already exists as a monorepo: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micro-invest-app/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├─ backend/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│  ├─ prisma/schema.prisma        (Section 4 schema)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│  ├─ src/routes/                 (auth, profile, simulation, peers, insights)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│  ├─ src/controllers/            (thin — delegate to services)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│  ├─ src/services/               (simulation.service.ts, peerGrouping.service.ts, ...)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│  ├─ src/middleware/auth.middleware.ts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│  └─ src/config/prisma.ts        (PrismaClient singleton)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└─ mobile/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├─ src/screens/                (S-01 – S-06)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├─ src/navigation/AppNavigator.tsx   (dialog map, Phase 1 §4)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└─ src/api/client.ts           (apiFetch wrapper)</w:t>
      </w:r>
    </w:p>
    <w:p>
      <w:pPr>
        <w:spacing w:after="120"/>
      </w:pPr>
      <w:r>
        <w:t xml:space="preserve">DECISIONS.md at the repo root records the Phase 1 locked decisions (Sections 5–6 of this document) with the exact SRS wording suggested for each.</w:t>
      </w:r>
    </w:p>
    <w:p>
      <w:pPr>
        <w:pStyle w:val="Heading1"/>
        <w:spacing w:after="150" w:before="300"/>
      </w:pPr>
      <w:r>
        <w:t xml:space="preserve">8. Open Items Carried Forward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ConsistencyScore formula — still undefined; blocks medianConsistency in the query in §5.3.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peer data generation strategy for seeding — needed so MIN_GROUP_SIZE=10 is reliably reachable across all three tiers during Lab #4 testing and the final demo.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ee346b74f794bf064328659aae47e489f6bf3b.png"/><Relationship Id="rId8" Type="http://schemas.openxmlformats.org/officeDocument/2006/relationships/image" Target="media/f82c467d2e4cf14705f4c3972c40c548ec9599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2026-08-12T11:26:07.329Z</dcterms:created>
  <dcterms:modified xsi:type="dcterms:W3CDTF">2026-08-12T11:26:07.343Z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