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3EB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Es un esqueleto sólido y bien razonado. La lógica narrativa de las nueve subsecciones tiene sentido, el ordenamiento por "cadena causal" (productividad → calidad → interacción → carga cognitiva → organización → economía → percepción → síntesis) es coherente, y la decisión de no agrupar las cinco dimensiones pequeñas es correcta — mantiene la simetría metodológica con las 7 dimensiones declaradas.</w:t>
      </w:r>
    </w:p>
    <w:p w14:paraId="48C4F1C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Dicho esto, hay algunas cosas que ajustaría:</w:t>
      </w:r>
    </w:p>
    <w:p w14:paraId="467C76CC"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1. El orden Productivity → CQTD invierte la lógica de nuestro propio framework.</w:t>
      </w:r>
    </w:p>
    <w:p w14:paraId="2FE65497"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Nuestro marco de equilibrio sociotécnico dice explícitamente que </w:t>
      </w:r>
      <w:r w:rsidRPr="00E80C05">
        <w:rPr>
          <w:rFonts w:ascii="Times New Roman" w:eastAsia="Times New Roman" w:hAnsi="Times New Roman" w:cs="Times New Roman"/>
          <w:i/>
          <w:iCs/>
          <w:kern w:val="0"/>
          <w14:ligatures w14:val="none"/>
        </w:rPr>
        <w:t>generation efficiency</w:t>
      </w:r>
      <w:r w:rsidRPr="00E80C05">
        <w:rPr>
          <w:rFonts w:ascii="Times New Roman" w:eastAsia="Times New Roman" w:hAnsi="Times New Roman" w:cs="Times New Roman"/>
          <w:kern w:val="0"/>
          <w14:ligatures w14:val="none"/>
        </w:rPr>
        <w:t xml:space="preserve"> se acompaña </w:t>
      </w:r>
      <w:r w:rsidRPr="00E80C05">
        <w:rPr>
          <w:rFonts w:ascii="Times New Roman" w:eastAsia="Times New Roman" w:hAnsi="Times New Roman" w:cs="Times New Roman"/>
          <w:i/>
          <w:iCs/>
          <w:kern w:val="0"/>
          <w14:ligatures w14:val="none"/>
        </w:rPr>
        <w:t>estructuralmente</w:t>
      </w:r>
      <w:r w:rsidRPr="00E80C05">
        <w:rPr>
          <w:rFonts w:ascii="Times New Roman" w:eastAsia="Times New Roman" w:hAnsi="Times New Roman" w:cs="Times New Roman"/>
          <w:kern w:val="0"/>
          <w14:ligatures w14:val="none"/>
        </w:rPr>
        <w:t xml:space="preserve"> de </w:t>
      </w:r>
      <w:r w:rsidRPr="00E80C05">
        <w:rPr>
          <w:rFonts w:ascii="Times New Roman" w:eastAsia="Times New Roman" w:hAnsi="Times New Roman" w:cs="Times New Roman"/>
          <w:i/>
          <w:iCs/>
          <w:kern w:val="0"/>
          <w14:ligatures w14:val="none"/>
        </w:rPr>
        <w:t>verification overhead</w:t>
      </w:r>
      <w:r w:rsidRPr="00E80C05">
        <w:rPr>
          <w:rFonts w:ascii="Times New Roman" w:eastAsia="Times New Roman" w:hAnsi="Times New Roman" w:cs="Times New Roman"/>
          <w:kern w:val="0"/>
          <w14:ligatures w14:val="none"/>
        </w:rPr>
        <w:t xml:space="preserve"> — no que primero ocurre uno y después el otro como fases separadas. Poner Productivity primero y CQTD segundo sugiere una secuencia temporal ("primero aceleras, luego revisas la calidad") cuando el argumento real es que son simultáneos y co-determinantes. Esto es menor, pero como CQTD es nuestra dimensión más fuerte y mejor desarrollada (Phase 0-4 completo, mayor corpus, el Theoretical Contribution más maduro), hay un caso para que </w:t>
      </w:r>
      <w:r w:rsidRPr="00E80C05">
        <w:rPr>
          <w:rFonts w:ascii="Times New Roman" w:eastAsia="Times New Roman" w:hAnsi="Times New Roman" w:cs="Times New Roman"/>
          <w:b/>
          <w:bCs/>
          <w:kern w:val="0"/>
          <w14:ligatures w14:val="none"/>
        </w:rPr>
        <w:t>CQTD abra</w:t>
      </w:r>
      <w:r w:rsidRPr="00E80C05">
        <w:rPr>
          <w:rFonts w:ascii="Times New Roman" w:eastAsia="Times New Roman" w:hAnsi="Times New Roman" w:cs="Times New Roman"/>
          <w:kern w:val="0"/>
          <w14:ligatures w14:val="none"/>
        </w:rPr>
        <w:t xml:space="preserve"> la sección de Results — establece el terreno empírico (qué pasa con el artefacto generado) antes de hablar de velocidad.</w:t>
      </w:r>
    </w:p>
    <w:p w14:paraId="3247EE96"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No es un cambio crítico, pero vale la pena decidirlo conscientemente en lugar de por inercia.</w:t>
      </w:r>
    </w:p>
    <w:p w14:paraId="0C98C025"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2. HAI y Cognitive Load tienen riesgo real de solapamiento que el esqueleto no resuelve del todo.</w:t>
      </w:r>
    </w:p>
    <w:p w14:paraId="5B100223"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ChatGPT lo reconoce ("Cognitive Load... se relaciona fuertemente con HAI") pero la resolución propuesta — HAI explica la interacción, Cognitive Load explica el costo humano de esa interacción — es una distinción fina que puede no sostenerse en la prosa real sin contaminación. Dado que </w:t>
      </w:r>
      <w:r w:rsidRPr="00E80C05">
        <w:rPr>
          <w:rFonts w:ascii="Times New Roman" w:eastAsia="Times New Roman" w:hAnsi="Times New Roman" w:cs="Times New Roman"/>
          <w:b/>
          <w:bCs/>
          <w:kern w:val="0"/>
          <w14:ligatures w14:val="none"/>
        </w:rPr>
        <w:t>ya tenemos</w:t>
      </w:r>
      <w:r w:rsidRPr="00E80C05">
        <w:rPr>
          <w:rFonts w:ascii="Times New Roman" w:eastAsia="Times New Roman" w:hAnsi="Times New Roman" w:cs="Times New Roman"/>
          <w:kern w:val="0"/>
          <w14:ligatures w14:val="none"/>
        </w:rPr>
        <w:t xml:space="preserve"> los Phase 3.4/4.4 de HAI completos y el Phase 1.3 de NB5 de Cognitive Load completo, antes de comprometernos al esqueleto deberíamos hacer un pase rápido de "qué bibkeys/anchors aparecen en ambos" para verificar que el solapamiento es manejable y no requiere reescritura.</w:t>
      </w:r>
    </w:p>
    <w:p w14:paraId="102EE97C"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3. Perception &amp; Trust al final es defendible pero crea una tensión con HAI 4.4.3 (Trust, verification and reliance behaviour).</w:t>
      </w:r>
    </w:p>
    <w:p w14:paraId="72BFFBAE"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ChatGPT lo nota — "evitar duplicación: HAI cubre trust as interaction behaviour; Perception and Trust cubre attitudes, perceived usefulness, adoption and calibration" — pero esta es exactamente la misma distinción fina del punto 2, aplicada a un par de dimensiones diferente. Dos pares de dimensiones con la misma tensión sin resolver es una señal de que el corpus real puede no separarse tan limpiamente como el esqueleto conceptual sugiere.</w:t>
      </w:r>
    </w:p>
    <w:p w14:paraId="4A2746E9"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596173E1">
          <v:rect id="_x0000_i1036" alt="" style="width:468pt;height:.05pt;mso-width-percent:0;mso-height-percent:0;mso-width-percent:0;mso-height-percent:0" o:hralign="center" o:hrstd="t" o:hr="t" fillcolor="#a0a0a0" stroked="f"/>
        </w:pict>
      </w:r>
    </w:p>
    <w:p w14:paraId="095D31BA" w14:textId="1CA1ABC3"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Mi sugerencia concreta:</w:t>
      </w:r>
      <w:r w:rsidRPr="00E80C05">
        <w:rPr>
          <w:rFonts w:ascii="Times New Roman" w:eastAsia="Times New Roman" w:hAnsi="Times New Roman" w:cs="Times New Roman"/>
          <w:kern w:val="0"/>
          <w14:ligatures w14:val="none"/>
        </w:rPr>
        <w:t xml:space="preserve"> antes de aceptar el esqueleto completo, hagamos un ejercicio corto — para cada uno de los dos pares problemáticos (HAI↔Cognitive Load, HAI↔Perception&amp;Trust), listar los bibkeys que aparecen en ambos lados (ya tenemos esos audit logs de HAI Phase 2.3 y </w:t>
      </w:r>
      <w:r w:rsidRPr="00E80C05">
        <w:rPr>
          <w:rFonts w:ascii="Times New Roman" w:eastAsia="Times New Roman" w:hAnsi="Times New Roman" w:cs="Times New Roman"/>
          <w:kern w:val="0"/>
          <w14:ligatures w14:val="none"/>
        </w:rPr>
        <w:lastRenderedPageBreak/>
        <w:t>NB5 Phase 1.2/1.3) y decidir, paper por paper, en qué sección "vive" cada hallazgo. Esto evitaría descubrir la duplicación a mitad de la redacción.</w:t>
      </w:r>
    </w:p>
    <w:p w14:paraId="6F3D3FF6" w14:textId="28E58CF4"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Result of the audit</w:t>
      </w:r>
    </w:p>
    <w:p w14:paraId="1BCBB38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Perception &amp; Trust (NB5 1.2): zero overlap detected</w:t>
      </w:r>
      <w:r w:rsidRPr="00E80C05">
        <w:rPr>
          <w:rFonts w:ascii="Times New Roman" w:eastAsia="Times New Roman" w:hAnsi="Times New Roman" w:cs="Times New Roman"/>
          <w:kern w:val="0"/>
          <w14:ligatures w14:val="none"/>
        </w:rPr>
        <w:t xml:space="preserve"> with the 14 candidate bibkeys checked. None of </w:t>
      </w:r>
      <w:r w:rsidRPr="00E80C05">
        <w:rPr>
          <w:rFonts w:ascii="Courier New" w:eastAsia="Times New Roman" w:hAnsi="Courier New" w:cs="Courier New"/>
          <w:kern w:val="0"/>
          <w:sz w:val="20"/>
          <w:szCs w:val="20"/>
          <w14:ligatures w14:val="none"/>
        </w:rPr>
        <w:t>mozannar_reading_2024</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qiao_comprehension-performance_2025</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dibia_aligning_2023</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hicks_new_2024</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santos_model-assisted_2025</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wang_investigating_2024</w:t>
      </w:r>
      <w:r w:rsidRPr="00E80C05">
        <w:rPr>
          <w:rFonts w:ascii="Times New Roman" w:eastAsia="Times New Roman" w:hAnsi="Times New Roman" w:cs="Times New Roman"/>
          <w:kern w:val="0"/>
          <w14:ligatures w14:val="none"/>
        </w:rPr>
        <w:t>, etc. appear in the NB5 Perception &amp; Trust evidence matrix or references. That's reassuring — concern #3 from the skeleton (HAI 4.4.3 trust vs. Perception &amp; Trust 4.8) may not be as severe as feared, at least for this set of papers. The Perception &amp; Trust section appears to draw on a different slice of NB1/NB5 papers.</w:t>
      </w:r>
    </w:p>
    <w:p w14:paraId="70B3494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Cognitive Load (NB5 1.3 v2): substantial overlap — 8 of 14 candidates appear</w:t>
      </w:r>
      <w:r w:rsidRPr="00E80C05">
        <w:rPr>
          <w:rFonts w:ascii="Times New Roman" w:eastAsia="Times New Roman" w:hAnsi="Times New Roman" w:cs="Times New Roman"/>
          <w:kern w:val="0"/>
          <w14:ligatures w14:val="none"/>
        </w:rPr>
        <w:t>, all tagged "NB3" or "NB4" (cross-corpus, HAI-sourced):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gridCol w:w="1849"/>
        <w:gridCol w:w="4010"/>
      </w:tblGrid>
      <w:tr w:rsidR="00E80C05" w:rsidRPr="00E80C05" w14:paraId="00C3D1D2" w14:textId="77777777">
        <w:trPr>
          <w:tblHeader/>
          <w:tblCellSpacing w:w="15" w:type="dxa"/>
        </w:trPr>
        <w:tc>
          <w:tcPr>
            <w:tcW w:w="0" w:type="auto"/>
            <w:vAlign w:val="center"/>
            <w:hideMark/>
          </w:tcPr>
          <w:p w14:paraId="290F7067" w14:textId="77777777" w:rsidR="00E80C05" w:rsidRPr="00E80C05" w:rsidRDefault="00E80C05" w:rsidP="00E80C05">
            <w:pPr>
              <w:spacing w:after="0" w:line="240" w:lineRule="auto"/>
              <w:jc w:val="center"/>
              <w:rPr>
                <w:rFonts w:ascii="Times New Roman" w:eastAsia="Times New Roman" w:hAnsi="Times New Roman" w:cs="Times New Roman"/>
                <w:b/>
                <w:bCs/>
                <w:kern w:val="0"/>
                <w14:ligatures w14:val="none"/>
              </w:rPr>
            </w:pPr>
            <w:r w:rsidRPr="00E80C05">
              <w:rPr>
                <w:rFonts w:ascii="Times New Roman" w:eastAsia="Times New Roman" w:hAnsi="Times New Roman" w:cs="Times New Roman"/>
                <w:b/>
                <w:bCs/>
                <w:kern w:val="0"/>
                <w14:ligatures w14:val="none"/>
              </w:rPr>
              <w:t>Bibkey</w:t>
            </w:r>
          </w:p>
        </w:tc>
        <w:tc>
          <w:tcPr>
            <w:tcW w:w="0" w:type="auto"/>
            <w:vAlign w:val="center"/>
            <w:hideMark/>
          </w:tcPr>
          <w:p w14:paraId="5057F50F" w14:textId="77777777" w:rsidR="00E80C05" w:rsidRPr="00E80C05" w:rsidRDefault="00E80C05" w:rsidP="00E80C05">
            <w:pPr>
              <w:spacing w:after="0" w:line="240" w:lineRule="auto"/>
              <w:jc w:val="center"/>
              <w:rPr>
                <w:rFonts w:ascii="Times New Roman" w:eastAsia="Times New Roman" w:hAnsi="Times New Roman" w:cs="Times New Roman"/>
                <w:b/>
                <w:bCs/>
                <w:kern w:val="0"/>
                <w14:ligatures w14:val="none"/>
              </w:rPr>
            </w:pPr>
            <w:r w:rsidRPr="00E80C05">
              <w:rPr>
                <w:rFonts w:ascii="Times New Roman" w:eastAsia="Times New Roman" w:hAnsi="Times New Roman" w:cs="Times New Roman"/>
                <w:b/>
                <w:bCs/>
                <w:kern w:val="0"/>
                <w14:ligatures w14:val="none"/>
              </w:rPr>
              <w:t>HAI sub-topic (NB3 Phase 0.2)</w:t>
            </w:r>
          </w:p>
        </w:tc>
        <w:tc>
          <w:tcPr>
            <w:tcW w:w="0" w:type="auto"/>
            <w:vAlign w:val="center"/>
            <w:hideMark/>
          </w:tcPr>
          <w:p w14:paraId="596131E4" w14:textId="77777777" w:rsidR="00E80C05" w:rsidRPr="00E80C05" w:rsidRDefault="00E80C05" w:rsidP="00E80C05">
            <w:pPr>
              <w:spacing w:after="0" w:line="240" w:lineRule="auto"/>
              <w:jc w:val="center"/>
              <w:rPr>
                <w:rFonts w:ascii="Times New Roman" w:eastAsia="Times New Roman" w:hAnsi="Times New Roman" w:cs="Times New Roman"/>
                <w:b/>
                <w:bCs/>
                <w:kern w:val="0"/>
                <w14:ligatures w14:val="none"/>
              </w:rPr>
            </w:pPr>
            <w:r w:rsidRPr="00E80C05">
              <w:rPr>
                <w:rFonts w:ascii="Times New Roman" w:eastAsia="Times New Roman" w:hAnsi="Times New Roman" w:cs="Times New Roman"/>
                <w:b/>
                <w:bCs/>
                <w:kern w:val="0"/>
                <w14:ligatures w14:val="none"/>
              </w:rPr>
              <w:t>NB5 Cognitive Load framing</w:t>
            </w:r>
          </w:p>
        </w:tc>
      </w:tr>
      <w:tr w:rsidR="00E80C05" w:rsidRPr="00E80C05" w14:paraId="2B6D82FF" w14:textId="77777777">
        <w:trPr>
          <w:tblCellSpacing w:w="15" w:type="dxa"/>
        </w:trPr>
        <w:tc>
          <w:tcPr>
            <w:tcW w:w="0" w:type="auto"/>
            <w:vAlign w:val="center"/>
            <w:hideMark/>
          </w:tcPr>
          <w:p w14:paraId="73551E88"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mozannar_reading_2024</w:t>
            </w:r>
          </w:p>
        </w:tc>
        <w:tc>
          <w:tcPr>
            <w:tcW w:w="0" w:type="auto"/>
            <w:vAlign w:val="center"/>
            <w:hideMark/>
          </w:tcPr>
          <w:p w14:paraId="23813EEC"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developer experience</w:t>
            </w:r>
          </w:p>
        </w:tc>
        <w:tc>
          <w:tcPr>
            <w:tcW w:w="0" w:type="auto"/>
            <w:vAlign w:val="center"/>
            <w:hideMark/>
          </w:tcPr>
          <w:p w14:paraId="305797F6"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attention allocation / metacognition — 51.5% time in AI-activities, 22.4% verification</w:t>
            </w:r>
          </w:p>
        </w:tc>
      </w:tr>
      <w:tr w:rsidR="00E80C05" w:rsidRPr="00E80C05" w14:paraId="42313710" w14:textId="77777777">
        <w:trPr>
          <w:tblCellSpacing w:w="15" w:type="dxa"/>
        </w:trPr>
        <w:tc>
          <w:tcPr>
            <w:tcW w:w="0" w:type="auto"/>
            <w:vAlign w:val="center"/>
            <w:hideMark/>
          </w:tcPr>
          <w:p w14:paraId="2347472E"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qiao_comprehension-performance_2025</w:t>
            </w:r>
          </w:p>
        </w:tc>
        <w:tc>
          <w:tcPr>
            <w:tcW w:w="0" w:type="auto"/>
            <w:vAlign w:val="center"/>
            <w:hideMark/>
          </w:tcPr>
          <w:p w14:paraId="008281B0"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cognitive aspects of interaction</w:t>
            </w:r>
          </w:p>
        </w:tc>
        <w:tc>
          <w:tcPr>
            <w:tcW w:w="0" w:type="auto"/>
            <w:vAlign w:val="center"/>
            <w:hideMark/>
          </w:tcPr>
          <w:p w14:paraId="29B5E57A"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comprehension / skill development — comprehension-performance gap</w:t>
            </w:r>
          </w:p>
        </w:tc>
      </w:tr>
      <w:tr w:rsidR="00E80C05" w:rsidRPr="00E80C05" w14:paraId="107E429D" w14:textId="77777777">
        <w:trPr>
          <w:tblCellSpacing w:w="15" w:type="dxa"/>
        </w:trPr>
        <w:tc>
          <w:tcPr>
            <w:tcW w:w="0" w:type="auto"/>
            <w:vAlign w:val="center"/>
            <w:hideMark/>
          </w:tcPr>
          <w:p w14:paraId="751A3990"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gardella_performance_2024</w:t>
            </w:r>
          </w:p>
        </w:tc>
        <w:tc>
          <w:tcPr>
            <w:tcW w:w="0" w:type="auto"/>
            <w:vAlign w:val="center"/>
            <w:hideMark/>
          </w:tcPr>
          <w:p w14:paraId="0A1F3C42"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developer experience</w:t>
            </w:r>
          </w:p>
        </w:tc>
        <w:tc>
          <w:tcPr>
            <w:tcW w:w="0" w:type="auto"/>
            <w:vAlign w:val="center"/>
            <w:hideMark/>
          </w:tcPr>
          <w:p w14:paraId="6B5755AA"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cognitive load / mental effort — NASA-TLX workload</w:t>
            </w:r>
          </w:p>
        </w:tc>
      </w:tr>
      <w:tr w:rsidR="00E80C05" w:rsidRPr="00E80C05" w14:paraId="743CC103" w14:textId="77777777">
        <w:trPr>
          <w:tblCellSpacing w:w="15" w:type="dxa"/>
        </w:trPr>
        <w:tc>
          <w:tcPr>
            <w:tcW w:w="0" w:type="auto"/>
            <w:vAlign w:val="center"/>
            <w:hideMark/>
          </w:tcPr>
          <w:p w14:paraId="56CE2B38"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hicks_new_2024</w:t>
            </w:r>
          </w:p>
        </w:tc>
        <w:tc>
          <w:tcPr>
            <w:tcW w:w="0" w:type="auto"/>
            <w:vAlign w:val="center"/>
            <w:hideMark/>
          </w:tcPr>
          <w:p w14:paraId="3E5CE74C"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trust and adoption</w:t>
            </w:r>
          </w:p>
        </w:tc>
        <w:tc>
          <w:tcPr>
            <w:tcW w:w="0" w:type="auto"/>
            <w:vAlign w:val="center"/>
            <w:hideMark/>
          </w:tcPr>
          <w:p w14:paraId="0D22344A"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task performance — 45% anxiety, 74% upskilling</w:t>
            </w:r>
          </w:p>
        </w:tc>
      </w:tr>
      <w:tr w:rsidR="00E80C05" w:rsidRPr="00E80C05" w14:paraId="6A3D9093" w14:textId="77777777">
        <w:trPr>
          <w:tblCellSpacing w:w="15" w:type="dxa"/>
        </w:trPr>
        <w:tc>
          <w:tcPr>
            <w:tcW w:w="0" w:type="auto"/>
            <w:vAlign w:val="center"/>
            <w:hideMark/>
          </w:tcPr>
          <w:p w14:paraId="59C590E4"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otten_prompting_2026</w:t>
            </w:r>
          </w:p>
        </w:tc>
        <w:tc>
          <w:tcPr>
            <w:tcW w:w="0" w:type="auto"/>
            <w:vAlign w:val="center"/>
            <w:hideMark/>
          </w:tcPr>
          <w:p w14:paraId="0B545DF6"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prompting dynamics</w:t>
            </w:r>
          </w:p>
        </w:tc>
        <w:tc>
          <w:tcPr>
            <w:tcW w:w="0" w:type="auto"/>
            <w:vAlign w:val="center"/>
            <w:hideMark/>
          </w:tcPr>
          <w:p w14:paraId="3EA565C2"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attention allocation / metacognition — prompting reliability</w:t>
            </w:r>
          </w:p>
        </w:tc>
      </w:tr>
      <w:tr w:rsidR="00E80C05" w:rsidRPr="00E80C05" w14:paraId="2ABE5040" w14:textId="77777777">
        <w:trPr>
          <w:tblCellSpacing w:w="15" w:type="dxa"/>
        </w:trPr>
        <w:tc>
          <w:tcPr>
            <w:tcW w:w="0" w:type="auto"/>
            <w:vAlign w:val="center"/>
            <w:hideMark/>
          </w:tcPr>
          <w:p w14:paraId="56E05415"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dibia_aligning_2023</w:t>
            </w:r>
          </w:p>
        </w:tc>
        <w:tc>
          <w:tcPr>
            <w:tcW w:w="0" w:type="auto"/>
            <w:vAlign w:val="center"/>
            <w:hideMark/>
          </w:tcPr>
          <w:p w14:paraId="77068D0E"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developer experience</w:t>
            </w:r>
          </w:p>
        </w:tc>
        <w:tc>
          <w:tcPr>
            <w:tcW w:w="0" w:type="auto"/>
            <w:vAlign w:val="center"/>
            <w:hideMark/>
          </w:tcPr>
          <w:p w14:paraId="515E53B6"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task performance — value vs. pass rate</w:t>
            </w:r>
          </w:p>
        </w:tc>
      </w:tr>
      <w:tr w:rsidR="00E80C05" w:rsidRPr="00E80C05" w14:paraId="1B41217A" w14:textId="77777777">
        <w:trPr>
          <w:tblCellSpacing w:w="15" w:type="dxa"/>
        </w:trPr>
        <w:tc>
          <w:tcPr>
            <w:tcW w:w="0" w:type="auto"/>
            <w:vAlign w:val="center"/>
            <w:hideMark/>
          </w:tcPr>
          <w:p w14:paraId="621966A3"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santos_model-assisted_2025</w:t>
            </w:r>
          </w:p>
        </w:tc>
        <w:tc>
          <w:tcPr>
            <w:tcW w:w="0" w:type="auto"/>
            <w:vAlign w:val="center"/>
            <w:hideMark/>
          </w:tcPr>
          <w:p w14:paraId="03836EAF"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trust and adoption</w:t>
            </w:r>
          </w:p>
        </w:tc>
        <w:tc>
          <w:tcPr>
            <w:tcW w:w="0" w:type="auto"/>
            <w:vAlign w:val="center"/>
            <w:hideMark/>
          </w:tcPr>
          <w:p w14:paraId="6439DF87"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task performance — active supervision behaviours</w:t>
            </w:r>
          </w:p>
        </w:tc>
      </w:tr>
      <w:tr w:rsidR="00E80C05" w:rsidRPr="00E80C05" w14:paraId="7EC06B6F" w14:textId="77777777">
        <w:trPr>
          <w:tblCellSpacing w:w="15" w:type="dxa"/>
        </w:trPr>
        <w:tc>
          <w:tcPr>
            <w:tcW w:w="0" w:type="auto"/>
            <w:vAlign w:val="center"/>
            <w:hideMark/>
          </w:tcPr>
          <w:p w14:paraId="2CADFA39"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Courier New" w:eastAsia="Times New Roman" w:hAnsi="Courier New" w:cs="Courier New"/>
                <w:kern w:val="0"/>
                <w:sz w:val="20"/>
                <w:szCs w:val="20"/>
                <w14:ligatures w14:val="none"/>
              </w:rPr>
              <w:t>rahe_how_2025</w:t>
            </w:r>
          </w:p>
        </w:tc>
        <w:tc>
          <w:tcPr>
            <w:tcW w:w="0" w:type="auto"/>
            <w:vAlign w:val="center"/>
            <w:hideMark/>
          </w:tcPr>
          <w:p w14:paraId="29651953"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(NB4, learning-related)</w:t>
            </w:r>
          </w:p>
        </w:tc>
        <w:tc>
          <w:tcPr>
            <w:tcW w:w="0" w:type="auto"/>
            <w:vAlign w:val="center"/>
            <w:hideMark/>
          </w:tcPr>
          <w:p w14:paraId="26895CF8"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attention allocation / metacognition — 8.8% accuracy, 54% copying</w:t>
            </w:r>
          </w:p>
        </w:tc>
      </w:tr>
    </w:tbl>
    <w:p w14:paraId="36E67D42"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7AB3BE42">
          <v:rect id="_x0000_i1035" alt="" style="width:468pt;height:.05pt;mso-width-percent:0;mso-height-percent:0;mso-width-percent:0;mso-height-percent:0" o:hralign="center" o:hrstd="t" o:hr="t" fillcolor="#a0a0a0" stroked="f"/>
        </w:pict>
      </w:r>
    </w:p>
    <w:p w14:paraId="4360113D"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What this means</w:t>
      </w:r>
    </w:p>
    <w:p w14:paraId="578216D8"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The overlap is real but </w:t>
      </w:r>
      <w:r w:rsidRPr="00E80C05">
        <w:rPr>
          <w:rFonts w:ascii="Times New Roman" w:eastAsia="Times New Roman" w:hAnsi="Times New Roman" w:cs="Times New Roman"/>
          <w:b/>
          <w:bCs/>
          <w:kern w:val="0"/>
          <w14:ligatures w14:val="none"/>
        </w:rPr>
        <w:t>not a duplication problem in the way the skeleton worried about</w:t>
      </w:r>
      <w:r w:rsidRPr="00E80C05">
        <w:rPr>
          <w:rFonts w:ascii="Times New Roman" w:eastAsia="Times New Roman" w:hAnsi="Times New Roman" w:cs="Times New Roman"/>
          <w:kern w:val="0"/>
          <w14:ligatures w14:val="none"/>
        </w:rPr>
        <w:t xml:space="preserve">. Looking at the actual framings: HAI's treatment of these papers (in Phase 3.4/4.4) focuses on </w:t>
      </w:r>
      <w:r w:rsidRPr="00E80C05">
        <w:rPr>
          <w:rFonts w:ascii="Times New Roman" w:eastAsia="Times New Roman" w:hAnsi="Times New Roman" w:cs="Times New Roman"/>
          <w:i/>
          <w:iCs/>
          <w:kern w:val="0"/>
          <w14:ligatures w14:val="none"/>
        </w:rPr>
        <w:t>interaction-level findings</w:t>
      </w:r>
      <w:r w:rsidRPr="00E80C05">
        <w:rPr>
          <w:rFonts w:ascii="Times New Roman" w:eastAsia="Times New Roman" w:hAnsi="Times New Roman" w:cs="Times New Roman"/>
          <w:kern w:val="0"/>
          <w14:ligatures w14:val="none"/>
        </w:rPr>
        <w:t xml:space="preserve"> — what the paper says about prompting, trust, or developer-experience as an interaction phenomenon. NB5 Cognitive Load's treatment of the </w:t>
      </w:r>
      <w:r w:rsidRPr="00E80C05">
        <w:rPr>
          <w:rFonts w:ascii="Times New Roman" w:eastAsia="Times New Roman" w:hAnsi="Times New Roman" w:cs="Times New Roman"/>
          <w:i/>
          <w:iCs/>
          <w:kern w:val="0"/>
          <w14:ligatures w14:val="none"/>
        </w:rPr>
        <w:t>same papers</w:t>
      </w:r>
      <w:r w:rsidRPr="00E80C05">
        <w:rPr>
          <w:rFonts w:ascii="Times New Roman" w:eastAsia="Times New Roman" w:hAnsi="Times New Roman" w:cs="Times New Roman"/>
          <w:kern w:val="0"/>
          <w14:ligatures w14:val="none"/>
        </w:rPr>
        <w:t xml:space="preserve"> extracts a </w:t>
      </w:r>
      <w:r w:rsidRPr="00E80C05">
        <w:rPr>
          <w:rFonts w:ascii="Times New Roman" w:eastAsia="Times New Roman" w:hAnsi="Times New Roman" w:cs="Times New Roman"/>
          <w:i/>
          <w:iCs/>
          <w:kern w:val="0"/>
          <w14:ligatures w14:val="none"/>
        </w:rPr>
        <w:t>different facet</w:t>
      </w:r>
      <w:r w:rsidRPr="00E80C05">
        <w:rPr>
          <w:rFonts w:ascii="Times New Roman" w:eastAsia="Times New Roman" w:hAnsi="Times New Roman" w:cs="Times New Roman"/>
          <w:kern w:val="0"/>
          <w14:ligatures w14:val="none"/>
        </w:rPr>
        <w:t xml:space="preserve"> — the cognitive/attentional/workload consequence of the same study.</w:t>
      </w:r>
    </w:p>
    <w:p w14:paraId="34B33376"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lastRenderedPageBreak/>
        <w:t xml:space="preserve">For example, </w:t>
      </w:r>
      <w:r w:rsidRPr="00E80C05">
        <w:rPr>
          <w:rFonts w:ascii="Courier New" w:eastAsia="Times New Roman" w:hAnsi="Courier New" w:cs="Courier New"/>
          <w:kern w:val="0"/>
          <w:sz w:val="20"/>
          <w:szCs w:val="20"/>
          <w14:ligatures w14:val="none"/>
        </w:rPr>
        <w:t>mozannar_reading_2024</w:t>
      </w:r>
      <w:r w:rsidRPr="00E80C05">
        <w:rPr>
          <w:rFonts w:ascii="Times New Roman" w:eastAsia="Times New Roman" w:hAnsi="Times New Roman" w:cs="Times New Roman"/>
          <w:kern w:val="0"/>
          <w14:ligatures w14:val="none"/>
        </w:rPr>
        <w:t xml:space="preserve">'s 51.5%/22.4% split could appear in </w:t>
      </w:r>
      <w:r w:rsidRPr="00E80C05">
        <w:rPr>
          <w:rFonts w:ascii="Times New Roman" w:eastAsia="Times New Roman" w:hAnsi="Times New Roman" w:cs="Times New Roman"/>
          <w:b/>
          <w:bCs/>
          <w:kern w:val="0"/>
          <w14:ligatures w14:val="none"/>
        </w:rPr>
        <w:t>both</w:t>
      </w:r>
      <w:r w:rsidRPr="00E80C05">
        <w:rPr>
          <w:rFonts w:ascii="Times New Roman" w:eastAsia="Times New Roman" w:hAnsi="Times New Roman" w:cs="Times New Roman"/>
          <w:kern w:val="0"/>
          <w14:ligatures w14:val="none"/>
        </w:rPr>
        <w:t xml:space="preserve"> sections without true duplication: HAI could use it to characterize the </w:t>
      </w:r>
      <w:r w:rsidRPr="00E80C05">
        <w:rPr>
          <w:rFonts w:ascii="Times New Roman" w:eastAsia="Times New Roman" w:hAnsi="Times New Roman" w:cs="Times New Roman"/>
          <w:i/>
          <w:iCs/>
          <w:kern w:val="0"/>
          <w14:ligatures w14:val="none"/>
        </w:rPr>
        <w:t>interaction pattern</w:t>
      </w:r>
      <w:r w:rsidRPr="00E80C05">
        <w:rPr>
          <w:rFonts w:ascii="Times New Roman" w:eastAsia="Times New Roman" w:hAnsi="Times New Roman" w:cs="Times New Roman"/>
          <w:kern w:val="0"/>
          <w14:ligatures w14:val="none"/>
        </w:rPr>
        <w:t xml:space="preserve"> (developers spend time on AI-related activities as part of their workflow), while Cognitive Load uses it to characterize the </w:t>
      </w:r>
      <w:r w:rsidRPr="00E80C05">
        <w:rPr>
          <w:rFonts w:ascii="Times New Roman" w:eastAsia="Times New Roman" w:hAnsi="Times New Roman" w:cs="Times New Roman"/>
          <w:i/>
          <w:iCs/>
          <w:kern w:val="0"/>
          <w14:ligatures w14:val="none"/>
        </w:rPr>
        <w:t>attentional cost</w:t>
      </w:r>
      <w:r w:rsidRPr="00E80C05">
        <w:rPr>
          <w:rFonts w:ascii="Times New Roman" w:eastAsia="Times New Roman" w:hAnsi="Times New Roman" w:cs="Times New Roman"/>
          <w:kern w:val="0"/>
          <w14:ligatures w14:val="none"/>
        </w:rPr>
        <w:t xml:space="preserve"> (22.4% specifically on verification = cognitive redistribution). These are different claims drawn from the same empirical anchor — which is legitimate triangulation, not double-counting, </w:t>
      </w:r>
      <w:r w:rsidRPr="00E80C05">
        <w:rPr>
          <w:rFonts w:ascii="Times New Roman" w:eastAsia="Times New Roman" w:hAnsi="Times New Roman" w:cs="Times New Roman"/>
          <w:b/>
          <w:bCs/>
          <w:kern w:val="0"/>
          <w14:ligatures w14:val="none"/>
        </w:rPr>
        <w:t>as long as each section cites it for a distinct claim</w:t>
      </w:r>
      <w:r w:rsidRPr="00E80C05">
        <w:rPr>
          <w:rFonts w:ascii="Times New Roman" w:eastAsia="Times New Roman" w:hAnsi="Times New Roman" w:cs="Times New Roman"/>
          <w:kern w:val="0"/>
          <w14:ligatures w14:val="none"/>
        </w:rPr>
        <w:t>.</w:t>
      </w:r>
    </w:p>
    <w:p w14:paraId="59CA0B4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The risk is narrower than the skeleton suggested: it's not "these two sections will say the same thing," it's "if both sections quote the </w:t>
      </w:r>
      <w:r w:rsidRPr="00E80C05">
        <w:rPr>
          <w:rFonts w:ascii="Times New Roman" w:eastAsia="Times New Roman" w:hAnsi="Times New Roman" w:cs="Times New Roman"/>
          <w:i/>
          <w:iCs/>
          <w:kern w:val="0"/>
          <w14:ligatures w14:val="none"/>
        </w:rPr>
        <w:t>same statistic</w:t>
      </w:r>
      <w:r w:rsidRPr="00E80C05">
        <w:rPr>
          <w:rFonts w:ascii="Times New Roman" w:eastAsia="Times New Roman" w:hAnsi="Times New Roman" w:cs="Times New Roman"/>
          <w:kern w:val="0"/>
          <w14:ligatures w14:val="none"/>
        </w:rPr>
        <w:t xml:space="preserve"> for the </w:t>
      </w:r>
      <w:r w:rsidRPr="00E80C05">
        <w:rPr>
          <w:rFonts w:ascii="Times New Roman" w:eastAsia="Times New Roman" w:hAnsi="Times New Roman" w:cs="Times New Roman"/>
          <w:i/>
          <w:iCs/>
          <w:kern w:val="0"/>
          <w14:ligatures w14:val="none"/>
        </w:rPr>
        <w:t>same claim</w:t>
      </w:r>
      <w:r w:rsidRPr="00E80C05">
        <w:rPr>
          <w:rFonts w:ascii="Times New Roman" w:eastAsia="Times New Roman" w:hAnsi="Times New Roman" w:cs="Times New Roman"/>
          <w:kern w:val="0"/>
          <w14:ligatures w14:val="none"/>
        </w:rPr>
        <w:t xml:space="preserve">, that's redundant." Given 8 shared bibkeys, there's a real chance 2-3 of them get used for overlapping claims (most likely </w:t>
      </w:r>
      <w:r w:rsidRPr="00E80C05">
        <w:rPr>
          <w:rFonts w:ascii="Courier New" w:eastAsia="Times New Roman" w:hAnsi="Courier New" w:cs="Courier New"/>
          <w:kern w:val="0"/>
          <w:sz w:val="20"/>
          <w:szCs w:val="20"/>
          <w14:ligatures w14:val="none"/>
        </w:rPr>
        <w:t>mozannar_reading_2024</w:t>
      </w:r>
      <w:r w:rsidRPr="00E80C05">
        <w:rPr>
          <w:rFonts w:ascii="Times New Roman" w:eastAsia="Times New Roman" w:hAnsi="Times New Roman" w:cs="Times New Roman"/>
          <w:kern w:val="0"/>
          <w14:ligatures w14:val="none"/>
        </w:rPr>
        <w:t xml:space="preserve"> and </w:t>
      </w:r>
      <w:r w:rsidRPr="00E80C05">
        <w:rPr>
          <w:rFonts w:ascii="Courier New" w:eastAsia="Times New Roman" w:hAnsi="Courier New" w:cs="Courier New"/>
          <w:kern w:val="0"/>
          <w:sz w:val="20"/>
          <w:szCs w:val="20"/>
          <w14:ligatures w14:val="none"/>
        </w:rPr>
        <w:t>dibia_aligning_2023</w:t>
      </w:r>
      <w:r w:rsidRPr="00E80C05">
        <w:rPr>
          <w:rFonts w:ascii="Times New Roman" w:eastAsia="Times New Roman" w:hAnsi="Times New Roman" w:cs="Times New Roman"/>
          <w:kern w:val="0"/>
          <w14:ligatures w14:val="none"/>
        </w:rPr>
        <w:t>, since both are central anchors in HAI's developer-experience narrative AND prominently featured in Cognitive Load's matrix).</w:t>
      </w:r>
    </w:p>
    <w:p w14:paraId="371FCC0F"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3395B3E8">
          <v:rect id="_x0000_i1034" alt="" style="width:468pt;height:.05pt;mso-width-percent:0;mso-height-percent:0;mso-width-percent:0;mso-height-percent:0" o:hralign="center" o:hrstd="t" o:hr="t" fillcolor="#a0a0a0" stroked="f"/>
        </w:pict>
      </w:r>
    </w:p>
    <w:p w14:paraId="59E41B70"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Recommendation</w:t>
      </w:r>
    </w:p>
    <w:p w14:paraId="1EFD762D"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Rather than a full paper-by-paper assignment exercise now, I'd suggest a lighter-weight check once both sections are drafted: scan the final HAI 4.4 and Cognitive Load 4.5 prose specifically for these 8 bibkeys, and if any single bibkey anchors what reads as the </w:t>
      </w:r>
      <w:r w:rsidRPr="00E80C05">
        <w:rPr>
          <w:rFonts w:ascii="Times New Roman" w:eastAsia="Times New Roman" w:hAnsi="Times New Roman" w:cs="Times New Roman"/>
          <w:i/>
          <w:iCs/>
          <w:kern w:val="0"/>
          <w14:ligatures w14:val="none"/>
        </w:rPr>
        <w:t>same claim</w:t>
      </w:r>
      <w:r w:rsidRPr="00E80C05">
        <w:rPr>
          <w:rFonts w:ascii="Times New Roman" w:eastAsia="Times New Roman" w:hAnsi="Times New Roman" w:cs="Times New Roman"/>
          <w:kern w:val="0"/>
          <w14:ligatures w14:val="none"/>
        </w:rPr>
        <w:t xml:space="preserve"> in both sections, rewrite one occurrence to either (a) cite a different anchor, or (b) explicitly frame it as "as discussed in §4.4, X also shows Y from a cognitive-load perspective" — making the cross-reference a feature rather than a flaw.</w:t>
      </w:r>
    </w:p>
    <w:p w14:paraId="7CAB51B1"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This is a much smaller and more tractable task than the upfront mapping originally proposed, and it can happen naturally during the writing of 4.5 once 4.4 already exists.</w:t>
      </w:r>
    </w:p>
    <w:p w14:paraId="536A0017"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On the Perception &amp; Trust concern</w:t>
      </w:r>
      <w:r w:rsidRPr="00E80C05">
        <w:rPr>
          <w:rFonts w:ascii="Times New Roman" w:eastAsia="Times New Roman" w:hAnsi="Times New Roman" w:cs="Times New Roman"/>
          <w:kern w:val="0"/>
          <w14:ligatures w14:val="none"/>
        </w:rPr>
        <w:t xml:space="preserve"> (point 3 in your earlier critique): given zero overlap detected with this candidate set, I'd deprioritize that worry for now — it can be checked the same lightweight way once both sections are drafted.</w:t>
      </w:r>
    </w:p>
    <w:p w14:paraId="249257E3"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This means the original Results skeleton can proceed largely as-is, with the only adjustment being: </w:t>
      </w:r>
      <w:r w:rsidRPr="00E80C05">
        <w:rPr>
          <w:rFonts w:ascii="Times New Roman" w:eastAsia="Times New Roman" w:hAnsi="Times New Roman" w:cs="Times New Roman"/>
          <w:b/>
          <w:bCs/>
          <w:kern w:val="0"/>
          <w14:ligatures w14:val="none"/>
        </w:rPr>
        <w:t>when drafting 4.5 (Cognitive Load), keep a running note of which of those 8 bibkeys get used and for what claim</w:t>
      </w:r>
      <w:r w:rsidRPr="00E80C05">
        <w:rPr>
          <w:rFonts w:ascii="Times New Roman" w:eastAsia="Times New Roman" w:hAnsi="Times New Roman" w:cs="Times New Roman"/>
          <w:kern w:val="0"/>
          <w14:ligatures w14:val="none"/>
        </w:rPr>
        <w:t>, so the final pass can catch any true duplication against 4.4.</w:t>
      </w:r>
    </w:p>
    <w:p w14:paraId="5B410B66" w14:textId="77777777" w:rsidR="00E80C05" w:rsidRPr="00E80C05" w:rsidRDefault="00E80C05" w:rsidP="00E80C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0C05">
        <w:rPr>
          <w:rFonts w:ascii="Times New Roman" w:eastAsia="Times New Roman" w:hAnsi="Times New Roman" w:cs="Times New Roman"/>
          <w:b/>
          <w:bCs/>
          <w:kern w:val="36"/>
          <w:sz w:val="48"/>
          <w:szCs w:val="48"/>
          <w14:ligatures w14:val="none"/>
        </w:rPr>
        <w:t>4. Results</w:t>
      </w:r>
    </w:p>
    <w:p w14:paraId="695F32FA"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4.1 Overview of the evidence base and analytical dimensions</w:t>
      </w:r>
    </w:p>
    <w:p w14:paraId="04338262"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Función: abrir Results recordando que RQ1 se responde a través de siete dimensiones analíticas. No se discuten hallazgos todavía — solo se explica la organización.</w:t>
      </w:r>
    </w:p>
    <w:p w14:paraId="471D89BF"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Contenido sugerido:</w:t>
      </w:r>
    </w:p>
    <w:p w14:paraId="533A3B4D"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lastRenderedPageBreak/>
        <w:t>To answer RQ1, the findings are organised across seven analytical dimensions: code quality and technical debt, human–AI interaction, productivity, cognitive load and human factors, organisational impact, economic impact, and perception and trust. The first two dimensions, code quality and technical debt and human–AI interaction, contain the largest and most internally differentiated bodies of evidence and are reported with sub-thematic structure. The remaining five dimensions are reported as separate results subsections, preserving their analytical independence while using a more compact format.</w:t>
      </w:r>
    </w:p>
    <w:p w14:paraId="7C01EDC8"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Tabla breve (opcional, solo si no duplica demasiado la metodología):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1529"/>
        <w:gridCol w:w="5439"/>
      </w:tblGrid>
      <w:tr w:rsidR="00E80C05" w:rsidRPr="00E80C05" w14:paraId="0A61AB14" w14:textId="77777777">
        <w:trPr>
          <w:tblHeader/>
          <w:tblCellSpacing w:w="15" w:type="dxa"/>
        </w:trPr>
        <w:tc>
          <w:tcPr>
            <w:tcW w:w="0" w:type="auto"/>
            <w:vAlign w:val="center"/>
            <w:hideMark/>
          </w:tcPr>
          <w:p w14:paraId="710C18AD" w14:textId="77777777" w:rsidR="00E80C05" w:rsidRPr="00E80C05" w:rsidRDefault="00E80C05" w:rsidP="00E80C05">
            <w:pPr>
              <w:spacing w:after="0" w:line="240" w:lineRule="auto"/>
              <w:jc w:val="center"/>
              <w:rPr>
                <w:rFonts w:ascii="Times New Roman" w:eastAsia="Times New Roman" w:hAnsi="Times New Roman" w:cs="Times New Roman"/>
                <w:b/>
                <w:bCs/>
                <w:kern w:val="0"/>
                <w14:ligatures w14:val="none"/>
              </w:rPr>
            </w:pPr>
            <w:r w:rsidRPr="00E80C05">
              <w:rPr>
                <w:rFonts w:ascii="Times New Roman" w:eastAsia="Times New Roman" w:hAnsi="Times New Roman" w:cs="Times New Roman"/>
                <w:b/>
                <w:bCs/>
                <w:kern w:val="0"/>
                <w14:ligatures w14:val="none"/>
              </w:rPr>
              <w:t>Dimension</w:t>
            </w:r>
          </w:p>
        </w:tc>
        <w:tc>
          <w:tcPr>
            <w:tcW w:w="0" w:type="auto"/>
            <w:vAlign w:val="center"/>
            <w:hideMark/>
          </w:tcPr>
          <w:p w14:paraId="781B8AF9" w14:textId="77777777" w:rsidR="00E80C05" w:rsidRPr="00E80C05" w:rsidRDefault="00E80C05" w:rsidP="00E80C05">
            <w:pPr>
              <w:spacing w:after="0" w:line="240" w:lineRule="auto"/>
              <w:jc w:val="center"/>
              <w:rPr>
                <w:rFonts w:ascii="Times New Roman" w:eastAsia="Times New Roman" w:hAnsi="Times New Roman" w:cs="Times New Roman"/>
                <w:b/>
                <w:bCs/>
                <w:kern w:val="0"/>
                <w14:ligatures w14:val="none"/>
              </w:rPr>
            </w:pPr>
            <w:r w:rsidRPr="00E80C05">
              <w:rPr>
                <w:rFonts w:ascii="Times New Roman" w:eastAsia="Times New Roman" w:hAnsi="Times New Roman" w:cs="Times New Roman"/>
                <w:b/>
                <w:bCs/>
                <w:kern w:val="0"/>
                <w14:ligatures w14:val="none"/>
              </w:rPr>
              <w:t>Results subsection</w:t>
            </w:r>
          </w:p>
        </w:tc>
        <w:tc>
          <w:tcPr>
            <w:tcW w:w="0" w:type="auto"/>
            <w:vAlign w:val="center"/>
            <w:hideMark/>
          </w:tcPr>
          <w:p w14:paraId="53AF6279" w14:textId="77777777" w:rsidR="00E80C05" w:rsidRPr="00E80C05" w:rsidRDefault="00E80C05" w:rsidP="00E80C05">
            <w:pPr>
              <w:spacing w:after="0" w:line="240" w:lineRule="auto"/>
              <w:jc w:val="center"/>
              <w:rPr>
                <w:rFonts w:ascii="Times New Roman" w:eastAsia="Times New Roman" w:hAnsi="Times New Roman" w:cs="Times New Roman"/>
                <w:b/>
                <w:bCs/>
                <w:kern w:val="0"/>
                <w14:ligatures w14:val="none"/>
              </w:rPr>
            </w:pPr>
            <w:r w:rsidRPr="00E80C05">
              <w:rPr>
                <w:rFonts w:ascii="Times New Roman" w:eastAsia="Times New Roman" w:hAnsi="Times New Roman" w:cs="Times New Roman"/>
                <w:b/>
                <w:bCs/>
                <w:kern w:val="0"/>
                <w14:ligatures w14:val="none"/>
              </w:rPr>
              <w:t>Function in RQ1</w:t>
            </w:r>
          </w:p>
        </w:tc>
      </w:tr>
      <w:tr w:rsidR="00E80C05" w:rsidRPr="00E80C05" w14:paraId="77339B09" w14:textId="77777777">
        <w:trPr>
          <w:tblCellSpacing w:w="15" w:type="dxa"/>
        </w:trPr>
        <w:tc>
          <w:tcPr>
            <w:tcW w:w="0" w:type="auto"/>
            <w:vAlign w:val="center"/>
            <w:hideMark/>
          </w:tcPr>
          <w:p w14:paraId="5FECE00D"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Code Quality and Technical Debt</w:t>
            </w:r>
          </w:p>
        </w:tc>
        <w:tc>
          <w:tcPr>
            <w:tcW w:w="0" w:type="auto"/>
            <w:vAlign w:val="center"/>
            <w:hideMark/>
          </w:tcPr>
          <w:p w14:paraId="1D5C3EFF"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4.2</w:t>
            </w:r>
          </w:p>
        </w:tc>
        <w:tc>
          <w:tcPr>
            <w:tcW w:w="0" w:type="auto"/>
            <w:vAlign w:val="center"/>
            <w:hideMark/>
          </w:tcPr>
          <w:p w14:paraId="76E9822B"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Whether generated or AI-mediated artefacts remain correct, secure, maintainable and reproducible</w:t>
            </w:r>
          </w:p>
        </w:tc>
      </w:tr>
      <w:tr w:rsidR="00E80C05" w:rsidRPr="00E80C05" w14:paraId="0C5BC267" w14:textId="77777777">
        <w:trPr>
          <w:tblCellSpacing w:w="15" w:type="dxa"/>
        </w:trPr>
        <w:tc>
          <w:tcPr>
            <w:tcW w:w="0" w:type="auto"/>
            <w:vAlign w:val="center"/>
            <w:hideMark/>
          </w:tcPr>
          <w:p w14:paraId="11CFAC5F"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Human–AI Interaction</w:t>
            </w:r>
          </w:p>
        </w:tc>
        <w:tc>
          <w:tcPr>
            <w:tcW w:w="0" w:type="auto"/>
            <w:vAlign w:val="center"/>
            <w:hideMark/>
          </w:tcPr>
          <w:p w14:paraId="671474FA"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4.3</w:t>
            </w:r>
          </w:p>
        </w:tc>
        <w:tc>
          <w:tcPr>
            <w:tcW w:w="0" w:type="auto"/>
            <w:vAlign w:val="center"/>
            <w:hideMark/>
          </w:tcPr>
          <w:p w14:paraId="16D88B11"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How developers prompt, inspect, repair, trust and integrate AI outputs</w:t>
            </w:r>
          </w:p>
        </w:tc>
      </w:tr>
      <w:tr w:rsidR="00E80C05" w:rsidRPr="00E80C05" w14:paraId="3CBA367D" w14:textId="77777777">
        <w:trPr>
          <w:tblCellSpacing w:w="15" w:type="dxa"/>
        </w:trPr>
        <w:tc>
          <w:tcPr>
            <w:tcW w:w="0" w:type="auto"/>
            <w:vAlign w:val="center"/>
            <w:hideMark/>
          </w:tcPr>
          <w:p w14:paraId="373D97E0"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Productivity</w:t>
            </w:r>
          </w:p>
        </w:tc>
        <w:tc>
          <w:tcPr>
            <w:tcW w:w="0" w:type="auto"/>
            <w:vAlign w:val="center"/>
            <w:hideMark/>
          </w:tcPr>
          <w:p w14:paraId="50F83787"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4.4</w:t>
            </w:r>
          </w:p>
        </w:tc>
        <w:tc>
          <w:tcPr>
            <w:tcW w:w="0" w:type="auto"/>
            <w:vAlign w:val="center"/>
            <w:hideMark/>
          </w:tcPr>
          <w:p w14:paraId="5D771700"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Whether AI assistance accelerates development work, and under what conditions</w:t>
            </w:r>
          </w:p>
        </w:tc>
      </w:tr>
      <w:tr w:rsidR="00E80C05" w:rsidRPr="00E80C05" w14:paraId="5FCE7557" w14:textId="77777777">
        <w:trPr>
          <w:tblCellSpacing w:w="15" w:type="dxa"/>
        </w:trPr>
        <w:tc>
          <w:tcPr>
            <w:tcW w:w="0" w:type="auto"/>
            <w:vAlign w:val="center"/>
            <w:hideMark/>
          </w:tcPr>
          <w:p w14:paraId="4EC92AEE"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Cognitive Load / Human Factors</w:t>
            </w:r>
          </w:p>
        </w:tc>
        <w:tc>
          <w:tcPr>
            <w:tcW w:w="0" w:type="auto"/>
            <w:vAlign w:val="center"/>
            <w:hideMark/>
          </w:tcPr>
          <w:p w14:paraId="1680DE48"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4.5</w:t>
            </w:r>
          </w:p>
        </w:tc>
        <w:tc>
          <w:tcPr>
            <w:tcW w:w="0" w:type="auto"/>
            <w:vAlign w:val="center"/>
            <w:hideMark/>
          </w:tcPr>
          <w:p w14:paraId="68DC2042"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How AI redistributes mental work, supervision and review responsibility</w:t>
            </w:r>
          </w:p>
        </w:tc>
      </w:tr>
      <w:tr w:rsidR="00E80C05" w:rsidRPr="00E80C05" w14:paraId="3B762731" w14:textId="77777777">
        <w:trPr>
          <w:tblCellSpacing w:w="15" w:type="dxa"/>
        </w:trPr>
        <w:tc>
          <w:tcPr>
            <w:tcW w:w="0" w:type="auto"/>
            <w:vAlign w:val="center"/>
            <w:hideMark/>
          </w:tcPr>
          <w:p w14:paraId="0E7883FE"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Organisational Impact</w:t>
            </w:r>
          </w:p>
        </w:tc>
        <w:tc>
          <w:tcPr>
            <w:tcW w:w="0" w:type="auto"/>
            <w:vAlign w:val="center"/>
            <w:hideMark/>
          </w:tcPr>
          <w:p w14:paraId="406C64A4"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4.6</w:t>
            </w:r>
          </w:p>
        </w:tc>
        <w:tc>
          <w:tcPr>
            <w:tcW w:w="0" w:type="auto"/>
            <w:vAlign w:val="center"/>
            <w:hideMark/>
          </w:tcPr>
          <w:p w14:paraId="195DB85A"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How AI assistance changes workflows, roles, governance and institutional practices</w:t>
            </w:r>
          </w:p>
        </w:tc>
      </w:tr>
      <w:tr w:rsidR="00E80C05" w:rsidRPr="00E80C05" w14:paraId="1C96F989" w14:textId="77777777">
        <w:trPr>
          <w:tblCellSpacing w:w="15" w:type="dxa"/>
        </w:trPr>
        <w:tc>
          <w:tcPr>
            <w:tcW w:w="0" w:type="auto"/>
            <w:vAlign w:val="center"/>
            <w:hideMark/>
          </w:tcPr>
          <w:p w14:paraId="3ECA5C1E"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Economic Impact</w:t>
            </w:r>
          </w:p>
        </w:tc>
        <w:tc>
          <w:tcPr>
            <w:tcW w:w="0" w:type="auto"/>
            <w:vAlign w:val="center"/>
            <w:hideMark/>
          </w:tcPr>
          <w:p w14:paraId="743CB227"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4.7</w:t>
            </w:r>
          </w:p>
        </w:tc>
        <w:tc>
          <w:tcPr>
            <w:tcW w:w="0" w:type="auto"/>
            <w:vAlign w:val="center"/>
            <w:hideMark/>
          </w:tcPr>
          <w:p w14:paraId="578B7867"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Whether productivity gains translate into credible cost or value effects</w:t>
            </w:r>
          </w:p>
        </w:tc>
      </w:tr>
      <w:tr w:rsidR="00E80C05" w:rsidRPr="00E80C05" w14:paraId="08F45724" w14:textId="77777777">
        <w:trPr>
          <w:tblCellSpacing w:w="15" w:type="dxa"/>
        </w:trPr>
        <w:tc>
          <w:tcPr>
            <w:tcW w:w="0" w:type="auto"/>
            <w:vAlign w:val="center"/>
            <w:hideMark/>
          </w:tcPr>
          <w:p w14:paraId="66EFC8BF"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Perception and Trust</w:t>
            </w:r>
          </w:p>
        </w:tc>
        <w:tc>
          <w:tcPr>
            <w:tcW w:w="0" w:type="auto"/>
            <w:vAlign w:val="center"/>
            <w:hideMark/>
          </w:tcPr>
          <w:p w14:paraId="17F52846"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4.8</w:t>
            </w:r>
          </w:p>
        </w:tc>
        <w:tc>
          <w:tcPr>
            <w:tcW w:w="0" w:type="auto"/>
            <w:vAlign w:val="center"/>
            <w:hideMark/>
          </w:tcPr>
          <w:p w14:paraId="3316B396" w14:textId="77777777" w:rsidR="00E80C05" w:rsidRPr="00E80C05" w:rsidRDefault="00E80C05" w:rsidP="00E80C05">
            <w:pPr>
              <w:spacing w:after="0"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How perceived usefulness, trust calibration and reliance shape adoption</w:t>
            </w:r>
          </w:p>
        </w:tc>
      </w:tr>
    </w:tbl>
    <w:p w14:paraId="20BFA4CC"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56D9F8AC">
          <v:rect id="_x0000_i1033" alt="" style="width:468pt;height:.05pt;mso-width-percent:0;mso-height-percent:0;mso-width-percent:0;mso-height-percent:0" o:hralign="center" o:hrstd="t" o:hr="t" fillcolor="#a0a0a0" stroked="f"/>
        </w:pict>
      </w:r>
    </w:p>
    <w:p w14:paraId="7321D9BB"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4.2 Code Quality and Technical Debt: quality as a socio-technical equilibrium</w:t>
      </w:r>
    </w:p>
    <w:p w14:paraId="74AAE0E7"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CQTD abre Results porque es la dimensión más sólida (Phase 0-4 completo, mayor corpus, Theoretical Contribution más maduro) y porque establece el terreno empírico — qué pasa con el artefacto generado — antes de hablar de interacción o velocidad. Esto también evita la falsa secuencia temporal "primero aceleras, luego revisas calidad": empezar por CQTD enmarca generation efficiency y verification overhead como co-determinantes desde el inicio.</w:t>
      </w:r>
    </w:p>
    <w:p w14:paraId="5A82F56D"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Columna vertebral: </w:t>
      </w:r>
      <w:r w:rsidRPr="00E80C05">
        <w:rPr>
          <w:rFonts w:ascii="Courier New" w:eastAsia="Times New Roman" w:hAnsi="Courier New" w:cs="Courier New"/>
          <w:kern w:val="0"/>
          <w:sz w:val="20"/>
          <w:szCs w:val="20"/>
          <w14:ligatures w14:val="none"/>
        </w:rPr>
        <w:t>Phase_4_4_CQTD_Manuscript_Blocks_v1.docx</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Phase_4_2_CQTD_Narrative_Arc_v1.docx</w:t>
      </w:r>
      <w:r w:rsidRPr="00E80C05">
        <w:rPr>
          <w:rFonts w:ascii="Times New Roman" w:eastAsia="Times New Roman" w:hAnsi="Times New Roman" w:cs="Times New Roman"/>
          <w:kern w:val="0"/>
          <w14:ligatures w14:val="none"/>
        </w:rPr>
        <w:t>.</w:t>
      </w:r>
    </w:p>
    <w:p w14:paraId="6D0E4C02"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4.2.1 Functional correctness and task performance</w:t>
      </w:r>
    </w:p>
    <w:p w14:paraId="5886DAC4"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lastRenderedPageBreak/>
        <w:t>Calidad funcional existe pero es condicional — depende de benchmark, entorno, lenguaje, especificación y verificabilidad.</w:t>
      </w:r>
    </w:p>
    <w:p w14:paraId="48837CBA"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4.2.2 Security vulnerabilities in AI-generated code</w:t>
      </w:r>
    </w:p>
    <w:p w14:paraId="7754B825"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El código puede parecer funcional y aun así introducir vulnerabilidades. Primer límite serio al discurso de productividad.</w:t>
      </w:r>
    </w:p>
    <w:p w14:paraId="082955B6"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4.2.3 Maintainability, code smells and technical debt</w:t>
      </w:r>
    </w:p>
    <w:p w14:paraId="34C9DABE"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De "¿funciona ahora?" a "¿se puede mantener después?". Deuda técnica, library hallucinations, dependency issues.</w:t>
      </w:r>
    </w:p>
    <w:p w14:paraId="3ED98AA2"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4.2.4 Program repair and automated correction</w:t>
      </w:r>
    </w:p>
    <w:p w14:paraId="3AA83A00"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Reparación automática como mitigación parcial, no garantía. Requiere validación independiente.</w:t>
      </w:r>
    </w:p>
    <w:p w14:paraId="62C5E0F9"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4.2.5 Non-determinism, reproducibility and benchmark reliability</w:t>
      </w:r>
    </w:p>
    <w:p w14:paraId="5C549B87"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Los resultados de calidad dependen de prompts, entornos, dependencias, benchmarks, oráculos y reproducibilidad.</w:t>
      </w:r>
    </w:p>
    <w:p w14:paraId="34DF798A"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4.2.6 Human validation and developer behaviour</w:t>
      </w:r>
    </w:p>
    <w:p w14:paraId="7C466165"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Puente socio-técnico: la calidad final depende de aceptar, editar, probar, revertir, inspeccionar y validar.</w:t>
      </w:r>
    </w:p>
    <w:p w14:paraId="33135DB9"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4.2.7 Agentic and multi-turn code generation quality</w:t>
      </w:r>
    </w:p>
    <w:p w14:paraId="08FF49C4"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La unidad de análisis deja de ser un snippet y se vuelve una traza de trabajo: conversación, agente, repositorio, patch, pruebas, integración.</w:t>
      </w:r>
    </w:p>
    <w:p w14:paraId="44BDA996"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4.2.8 Synthesis: verification overhead as the CQTD mechanism</w:t>
      </w:r>
    </w:p>
    <w:p w14:paraId="3B1FC0F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AI-assisted programming accelerates candidate code, tests and patches, but quality remains conditional on correctness, security, maintainability, reproducibility and human verification.</w:t>
      </w:r>
    </w:p>
    <w:p w14:paraId="4C3AF65C"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7FA7E1D2">
          <v:rect id="_x0000_i1032" alt="" style="width:468pt;height:.05pt;mso-width-percent:0;mso-height-percent:0;mso-width-percent:0;mso-height-percent:0" o:hralign="center" o:hrstd="t" o:hr="t" fillcolor="#a0a0a0" stroked="f"/>
        </w:pict>
      </w:r>
    </w:p>
    <w:p w14:paraId="0D0A0277"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4.3 Human–AI Interaction: calibrated interaction as the mechanism of value</w:t>
      </w:r>
    </w:p>
    <w:p w14:paraId="540D36F1"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 xml:space="preserve">Tras establecer qué pasa con el artefacto (4.2), HAI explica qué interacción humana produce, filtra o corrige ese artefacto. Columna vertebral: </w:t>
      </w:r>
      <w:r w:rsidRPr="00E80C05">
        <w:rPr>
          <w:rFonts w:ascii="Courier New" w:eastAsia="Times New Roman" w:hAnsi="Courier New" w:cs="Courier New"/>
          <w:kern w:val="0"/>
          <w:sz w:val="20"/>
          <w:szCs w:val="20"/>
          <w14:ligatures w14:val="none"/>
        </w:rPr>
        <w:lastRenderedPageBreak/>
        <w:t>Phase_4_4_HAI_Manuscript_Blocks_v1.docx</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Phase_4_2_HAI_Narrative_Arc_v1.docx</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Phase_4_3_HAI_Cross_Dimensional_v1.docx</w:t>
      </w:r>
      <w:r w:rsidRPr="00E80C05">
        <w:rPr>
          <w:rFonts w:ascii="Times New Roman" w:eastAsia="Times New Roman" w:hAnsi="Times New Roman" w:cs="Times New Roman"/>
          <w:kern w:val="0"/>
          <w14:ligatures w14:val="none"/>
        </w:rPr>
        <w:t>.</w:t>
      </w:r>
    </w:p>
    <w:p w14:paraId="1A019FBC"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4.3.1 Prompting dynamics and conversational strategies</w:t>
      </w:r>
    </w:p>
    <w:p w14:paraId="4B599D27"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El valor no surge solo de generar código, sino de cómo se formula, refina y recontextualiza la solicitud.</w:t>
      </w:r>
    </w:p>
    <w:p w14:paraId="47EEC14D"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4.3.2 Workflow integration and collaboration patterns</w:t>
      </w:r>
    </w:p>
    <w:p w14:paraId="2D7A828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AI assistance entra en edición, debugging, comprensión, explicación, documentación, revisión, issues/PRs y coordinación.</w:t>
      </w:r>
    </w:p>
    <w:p w14:paraId="4FEE9A42"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4.3.3 Trust, verification and reliance behaviour</w:t>
      </w:r>
    </w:p>
    <w:p w14:paraId="0FA0C3AD"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La confianza no es binaria: aceptar, dudar, verificar, corregir o rechazar según calidad, experiencia y riesgo.</w:t>
      </w:r>
    </w:p>
    <w:p w14:paraId="257F7454"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4.3.4 Developer experience, friction and perceived usefulness</w:t>
      </w:r>
    </w:p>
    <w:p w14:paraId="259E8200"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Utilidad percibida, pero también fricción, interrupción, ambigüedad, exceso de confianza o dificultad para controlar la herramienta.</w:t>
      </w:r>
    </w:p>
    <w:p w14:paraId="4CEDF86A"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4.3.5 Learning, skill development and metacognitive risk</w:t>
      </w:r>
    </w:p>
    <w:p w14:paraId="605FE01C"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Apoyo al aprendizaje y comprensión, pero también dependencia, copia directa o comprensión superficial.</w:t>
      </w:r>
    </w:p>
    <w:p w14:paraId="592577B3"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4.3.6 Robustness to prompts, context and task formulation</w:t>
      </w:r>
    </w:p>
    <w:p w14:paraId="0D6DEC97"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Sensibilidad a ambigüedad, variación lingüística, premisas defectuosas y calidad del contexto.</w:t>
      </w:r>
    </w:p>
    <w:p w14:paraId="4D1A192C"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4.3.7 Synthesis: interaction quality and trust calibration</w:t>
      </w:r>
    </w:p>
    <w:p w14:paraId="7D448F49"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The HAI evidence shows that AI-assisted programming becomes valuable not through generation alone, but through calibrated interaction: developers must specify intent, contextualise tasks, inspect and repair outputs, and regulate reliance.</w:t>
      </w:r>
    </w:p>
    <w:p w14:paraId="4A39EFB6"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Nota de auditoría:</w:t>
      </w:r>
      <w:r w:rsidRPr="00E80C05">
        <w:rPr>
          <w:rFonts w:ascii="Times New Roman" w:eastAsia="Times New Roman" w:hAnsi="Times New Roman" w:cs="Times New Roman"/>
          <w:kern w:val="0"/>
          <w14:ligatures w14:val="none"/>
        </w:rPr>
        <w:t xml:space="preserve"> sin solapamiento detectado con Perception &amp; Trust (4.8) en los bibkeys revisados. Con Cognitive Load (4.5) hay 8 bibkeys compartidos (</w:t>
      </w:r>
      <w:r w:rsidRPr="00E80C05">
        <w:rPr>
          <w:rFonts w:ascii="Courier New" w:eastAsia="Times New Roman" w:hAnsi="Courier New" w:cs="Courier New"/>
          <w:kern w:val="0"/>
          <w:sz w:val="20"/>
          <w:szCs w:val="20"/>
          <w14:ligatures w14:val="none"/>
        </w:rPr>
        <w:t>mozannar_reading_2024</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qiao_comprehension-performance_2025</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gardella_performance_2024</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hicks_new_2024</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otten_prompting_2026</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dibia_aligning_2023</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santos_model-assisted_2025</w:t>
      </w:r>
      <w:r w:rsidRPr="00E80C05">
        <w:rPr>
          <w:rFonts w:ascii="Times New Roman" w:eastAsia="Times New Roman" w:hAnsi="Times New Roman" w:cs="Times New Roman"/>
          <w:kern w:val="0"/>
          <w14:ligatures w14:val="none"/>
        </w:rPr>
        <w:t xml:space="preserve">, </w:t>
      </w:r>
      <w:r w:rsidRPr="00E80C05">
        <w:rPr>
          <w:rFonts w:ascii="Courier New" w:eastAsia="Times New Roman" w:hAnsi="Courier New" w:cs="Courier New"/>
          <w:kern w:val="0"/>
          <w:sz w:val="20"/>
          <w:szCs w:val="20"/>
          <w14:ligatures w14:val="none"/>
        </w:rPr>
        <w:t>rahe_how_2025</w:t>
      </w:r>
      <w:r w:rsidRPr="00E80C05">
        <w:rPr>
          <w:rFonts w:ascii="Times New Roman" w:eastAsia="Times New Roman" w:hAnsi="Times New Roman" w:cs="Times New Roman"/>
          <w:kern w:val="0"/>
          <w14:ligatures w14:val="none"/>
        </w:rPr>
        <w:t xml:space="preserve">) — triangulación legítima si cada sección extrae una faceta distinta del mismo anchor. Verificar al redactar 4.5 que ningún bibkey ancla la </w:t>
      </w:r>
      <w:r w:rsidRPr="00E80C05">
        <w:rPr>
          <w:rFonts w:ascii="Times New Roman" w:eastAsia="Times New Roman" w:hAnsi="Times New Roman" w:cs="Times New Roman"/>
          <w:i/>
          <w:iCs/>
          <w:kern w:val="0"/>
          <w14:ligatures w14:val="none"/>
        </w:rPr>
        <w:t>misma</w:t>
      </w:r>
      <w:r w:rsidRPr="00E80C05">
        <w:rPr>
          <w:rFonts w:ascii="Times New Roman" w:eastAsia="Times New Roman" w:hAnsi="Times New Roman" w:cs="Times New Roman"/>
          <w:kern w:val="0"/>
          <w14:ligatures w14:val="none"/>
        </w:rPr>
        <w:t xml:space="preserve"> claim en ambas secciones.</w:t>
      </w:r>
    </w:p>
    <w:p w14:paraId="2BADED43"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lastRenderedPageBreak/>
        <w:pict w14:anchorId="0C9D615B">
          <v:rect id="_x0000_i1031" alt="" style="width:468pt;height:.05pt;mso-width-percent:0;mso-height-percent:0;mso-width-percent:0;mso-height-percent:0" o:hralign="center" o:hrstd="t" o:hr="t" fillcolor="#a0a0a0" stroked="f"/>
        </w:pict>
      </w:r>
    </w:p>
    <w:p w14:paraId="4A73FC81"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4.4 Productivity: conditional acceleration rather than universal speed-up</w:t>
      </w:r>
    </w:p>
    <w:p w14:paraId="5EAAC08C"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Tras CQTD (artefacto) y HAI (interacción), Productivity responde si todo eso se traduce en velocidad real. Basado en el bloque NB5, comprimido.</w:t>
      </w:r>
    </w:p>
    <w:p w14:paraId="57A992F9"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4.4.1 Local acceleration in well-specified tasks</w:t>
      </w:r>
    </w:p>
    <w:p w14:paraId="1F784BAD"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Generación rápida, menor tiempo, avances en tareas locales y verificables.</w:t>
      </w:r>
    </w:p>
    <w:p w14:paraId="64FBF0EE"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4.4.2 Brownfield and field conditions</w:t>
      </w:r>
    </w:p>
    <w:p w14:paraId="3056C66F"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La productividad depende de integración, revisión, edición, contexto del proyecto y validación.</w:t>
      </w:r>
    </w:p>
    <w:p w14:paraId="0C07605A"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4.4.3 Synthesis: productivity boundary condition</w:t>
      </w:r>
    </w:p>
    <w:p w14:paraId="12080FE0"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Productivity links generation efficiency to verification overhead: AI creates value when faster candidate generation is not outweighed by the human effort required to understand, test, correct and integrate the output.</w:t>
      </w:r>
    </w:p>
    <w:p w14:paraId="5A55BA2C"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64A20E22">
          <v:rect id="_x0000_i1030" alt="" style="width:468pt;height:.05pt;mso-width-percent:0;mso-height-percent:0;mso-width-percent:0;mso-height-percent:0" o:hralign="center" o:hrstd="t" o:hr="t" fillcolor="#a0a0a0" stroked="f"/>
        </w:pict>
      </w:r>
    </w:p>
    <w:p w14:paraId="25D413DC"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4.5 Cognitive Load and Human Factors: cognitive redistribution rather than simple workload reduction</w:t>
      </w:r>
    </w:p>
    <w:p w14:paraId="540AABA6"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Sección separada (no dentro de HAI). HAI explica la interacción; Cognitive Load explica el costo humano de esa interacción.</w:t>
      </w:r>
    </w:p>
    <w:p w14:paraId="3867D925"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4.5.1 Reduced construction effort</w:t>
      </w:r>
    </w:p>
    <w:p w14:paraId="0302321E"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AI puede reducir esfuerzo de escritura, búsqueda, generación inicial o explicación.</w:t>
      </w:r>
    </w:p>
    <w:p w14:paraId="06495BEE"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4.5.2 Increased supervision and verification effort</w:t>
      </w:r>
    </w:p>
    <w:p w14:paraId="47586153"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El trabajo cognitivo se desplaza hacia entender, revisar, probar, corregir y decidir si confiar.</w:t>
      </w:r>
    </w:p>
    <w:p w14:paraId="249A8FE7"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4.5.3 Human-factors risks: overload, fatigue and blurred boundaries</w:t>
      </w:r>
    </w:p>
    <w:p w14:paraId="588F448B"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Alivio parcial, pero también aumento de demanda mental, sobrecarga, fatiga o límites trabajo-vida borrosos cuando expectativas y soporte están desalineados (</w:t>
      </w:r>
      <w:r w:rsidRPr="00E80C05">
        <w:rPr>
          <w:rFonts w:ascii="Courier New" w:eastAsia="Times New Roman" w:hAnsi="Courier New" w:cs="Courier New"/>
          <w:kern w:val="0"/>
          <w:sz w:val="20"/>
          <w:szCs w:val="20"/>
          <w14:ligatures w14:val="none"/>
        </w:rPr>
        <w:t>meem_investigating_2025</w:t>
      </w:r>
      <w:r w:rsidRPr="00E80C05">
        <w:rPr>
          <w:rFonts w:ascii="Times New Roman" w:eastAsia="Times New Roman" w:hAnsi="Times New Roman" w:cs="Times New Roman"/>
          <w:kern w:val="0"/>
          <w14:ligatures w14:val="none"/>
        </w:rPr>
        <w:t>).</w:t>
      </w:r>
    </w:p>
    <w:p w14:paraId="0B45681C"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lastRenderedPageBreak/>
        <w:t>4.5.4 Synthesis: cognitive redistribution</w:t>
      </w:r>
    </w:p>
    <w:p w14:paraId="00B7A4F6"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AI shifts effort from initial construction to supervision, verification and decision-making, so benefits depend on whether reduced workload coexists with preserved comprehension and responsible review.</w:t>
      </w:r>
    </w:p>
    <w:p w14:paraId="204019FB"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Nota de auditoría:</w:t>
      </w:r>
      <w:r w:rsidRPr="00E80C05">
        <w:rPr>
          <w:rFonts w:ascii="Times New Roman" w:eastAsia="Times New Roman" w:hAnsi="Times New Roman" w:cs="Times New Roman"/>
          <w:kern w:val="0"/>
          <w14:ligatures w14:val="none"/>
        </w:rPr>
        <w:t xml:space="preserve"> mantener registro de los 8 bibkeys compartidos con 4.3 y la claim específica que cada uno ancla aquí, para la pasada final de no-duplicación.</w:t>
      </w:r>
    </w:p>
    <w:p w14:paraId="563176E5"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41D8962F">
          <v:rect id="_x0000_i1029" alt="" style="width:468pt;height:.05pt;mso-width-percent:0;mso-height-percent:0;mso-width-percent:0;mso-height-percent:0" o:hralign="center" o:hrstd="t" o:hr="t" fillcolor="#a0a0a0" stroked="f"/>
        </w:pict>
      </w:r>
    </w:p>
    <w:p w14:paraId="42AB03D3"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4.6 Organisational Impact: from individual assistance to workflow and governance change</w:t>
      </w:r>
    </w:p>
    <w:p w14:paraId="35BE8288"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Escala el argumento del individuo al equipo/organización.</w:t>
      </w:r>
    </w:p>
    <w:p w14:paraId="68A25CD1"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4.6.1 Organisational deployment and adoption patterns</w:t>
      </w:r>
    </w:p>
    <w:p w14:paraId="37CFADB8"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Casos de adopción a escala: herramientas internas, aceptación de sugerencias, integración en flujos existentes.</w:t>
      </w:r>
    </w:p>
    <w:p w14:paraId="354845FC"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4.6.2 Role, workflow and review reconfiguration</w:t>
      </w:r>
    </w:p>
    <w:p w14:paraId="30B19BBB"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AI cambia qué hacen desarrolladores, revisores, equipos y managers: generación, revisión, validación, documentación, onboarding, coordinación.</w:t>
      </w:r>
    </w:p>
    <w:p w14:paraId="28B01DD7"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4.6.3 Governance, standards and accountability</w:t>
      </w:r>
    </w:p>
    <w:p w14:paraId="077590D5"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Vínculo con políticas, revisión, seguridad, trazabilidad, control de calidad y responsabilidad institucional.</w:t>
      </w:r>
    </w:p>
    <w:p w14:paraId="4441F90C"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4.6.4 Synthesis: organisational mediation of AI value</w:t>
      </w:r>
    </w:p>
    <w:p w14:paraId="31FC07A5"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Organisational Impact extends interaction quality and trust calibration from individuals to institutions: repositories, review routines, governance norms and hiring signals determine whether cognitive redistribution becomes shared capability or unmanaged risk.</w:t>
      </w:r>
    </w:p>
    <w:p w14:paraId="2CBE06F4"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7C278F34">
          <v:rect id="_x0000_i1028" alt="" style="width:468pt;height:.05pt;mso-width-percent:0;mso-height-percent:0;mso-width-percent:0;mso-height-percent:0" o:hralign="center" o:hrstd="t" o:hr="t" fillcolor="#a0a0a0" stroked="f"/>
        </w:pict>
      </w:r>
    </w:p>
    <w:p w14:paraId="111D9975"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4.7 Economic Impact: value depends on whether hidden costs are counted</w:t>
      </w:r>
    </w:p>
    <w:p w14:paraId="3794D6AD"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Más corta, pero separada — es una de las siete dimensiones. Económico es derivado: depende de productividad, calidad, carga cognitiva y gobernanza, por eso va después de 4.6.</w:t>
      </w:r>
    </w:p>
    <w:p w14:paraId="63FC7506"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lastRenderedPageBreak/>
        <w:t>4.7.1 Productivity proxies and cost-saving claims</w:t>
      </w:r>
    </w:p>
    <w:p w14:paraId="672260A3"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Afirmaciones de ahorro, eficiencia, reducción de tiempo, posible impacto económico.</w:t>
      </w:r>
    </w:p>
    <w:p w14:paraId="2CE237EA"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4.7.2 Missing cost categories</w:t>
      </w:r>
    </w:p>
    <w:p w14:paraId="7D87D8A8"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Validación, retrabajo, debugging, defectos, seguridad, gobernanza, entrenamiento, integración y mantenimiento.</w:t>
      </w:r>
    </w:p>
    <w:p w14:paraId="5F8F9E43"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4.7.3 Synthesis: economic value as an aggregate outcome</w:t>
      </w:r>
    </w:p>
    <w:p w14:paraId="23B76CA6"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Economic Impact is the aggregate expression of generation efficiency, verification overhead and trust calibration: savings become credible only when productivity proxies include validation, unresolved work, remediation and governance costs.</w:t>
      </w:r>
    </w:p>
    <w:p w14:paraId="4ECFDCE4"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2BE2EB3D">
          <v:rect id="_x0000_i1027" alt="" style="width:468pt;height:.05pt;mso-width-percent:0;mso-height-percent:0;mso-width-percent:0;mso-height-percent:0" o:hralign="center" o:hrstd="t" o:hr="t" fillcolor="#a0a0a0" stroked="f"/>
        </w:pict>
      </w:r>
    </w:p>
    <w:p w14:paraId="175A06B3"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4.8 Perception and Trust: selective reliance under uncertainty</w:t>
      </w:r>
    </w:p>
    <w:p w14:paraId="73BFBBC5"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Cierre humano de Results. Tras ver productividad, calidad, interacción, carga, organización y economía, queda claro que la adopción depende de confianza calibrada. Sin solapamiento detectado con HAI 4.3.3 en el cruce de bibkeys realizado.</w:t>
      </w:r>
    </w:p>
    <w:p w14:paraId="1D935DFE"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4.8.1 Perceived usefulness and adoption</w:t>
      </w:r>
    </w:p>
    <w:p w14:paraId="3989A2A1"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Desarrolladores perciben utilidad y usan asistentes, especialmente en tareas rutinarias o localmente verificables.</w:t>
      </w:r>
    </w:p>
    <w:p w14:paraId="7030CDA8"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4.8.2 Trust boundaries by task difficulty and risk</w:t>
      </w:r>
    </w:p>
    <w:p w14:paraId="1B4E97B3"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La confianza baja o debe calibrarse cuando la tarea es compleja, insegura, ambigua o difícil de verificar.</w:t>
      </w:r>
    </w:p>
    <w:p w14:paraId="311E76A2"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4.8.3 Perception–reality gap</w:t>
      </w:r>
    </w:p>
    <w:p w14:paraId="78B9FF10"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Fluidez y productividad percibidas, aunque el output requiera revisión rigurosa o contenga errores.</w:t>
      </w:r>
    </w:p>
    <w:p w14:paraId="127AFD54"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4.8.4 Synthesis: trust calibration</w:t>
      </w:r>
    </w:p>
    <w:p w14:paraId="13554461"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Developers must transform perceived usefulness into selective reliance by using interaction quality, correctness signals and risk awareness to decide when to accept, revise or reject AI output.</w:t>
      </w:r>
    </w:p>
    <w:p w14:paraId="492CEDF1"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lastRenderedPageBreak/>
        <w:pict w14:anchorId="46D0ADD9">
          <v:rect id="_x0000_i1026" alt="" style="width:468pt;height:.05pt;mso-width-percent:0;mso-height-percent:0;mso-width-percent:0;mso-height-percent:0" o:hralign="center" o:hrstd="t" o:hr="t" fillcolor="#a0a0a0" stroked="f"/>
        </w:pict>
      </w:r>
    </w:p>
    <w:p w14:paraId="5BB112F0" w14:textId="77777777" w:rsidR="00E80C05" w:rsidRPr="00E80C05" w:rsidRDefault="00E80C05" w:rsidP="00E80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C05">
        <w:rPr>
          <w:rFonts w:ascii="Times New Roman" w:eastAsia="Times New Roman" w:hAnsi="Times New Roman" w:cs="Times New Roman"/>
          <w:b/>
          <w:bCs/>
          <w:kern w:val="0"/>
          <w:sz w:val="36"/>
          <w:szCs w:val="36"/>
          <w14:ligatures w14:val="none"/>
        </w:rPr>
        <w:t>4.9 Cross-dimensional synthesis: the socio-technical mechanism of AI-assisted programming</w:t>
      </w:r>
    </w:p>
    <w:p w14:paraId="3330599B"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No introduce evidencia nueva. Organizada alrededor de tres mecanismos:</w:t>
      </w:r>
    </w:p>
    <w:p w14:paraId="60EA4FAC"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4.9.1 Generation efficiency</w:t>
      </w:r>
    </w:p>
    <w:p w14:paraId="17FF5473"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AI crea valor potencial al acelerar producción de código, explicaciones, pruebas, parches y artefactos de desarrollo. Dimensiones conectadas: CQTD, HAI, Productivity, Economic Impact.</w:t>
      </w:r>
    </w:p>
    <w:p w14:paraId="395786E3"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4.9.2 Verification overhead</w:t>
      </w:r>
    </w:p>
    <w:p w14:paraId="6DDE7466"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Ese valor potencial se vuelve real solo si se controla la calidad: correctness, security, maintainability, reproducibility, validation. Dimensiones conectadas: CQTD, Cognitive Load, Organisational Impact.</w:t>
      </w:r>
    </w:p>
    <w:p w14:paraId="0A246744" w14:textId="77777777" w:rsidR="00E80C05" w:rsidRPr="00E80C05" w:rsidRDefault="00E80C05" w:rsidP="00E80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0C05">
        <w:rPr>
          <w:rFonts w:ascii="Times New Roman" w:eastAsia="Times New Roman" w:hAnsi="Times New Roman" w:cs="Times New Roman"/>
          <w:b/>
          <w:bCs/>
          <w:kern w:val="0"/>
          <w:sz w:val="27"/>
          <w:szCs w:val="27"/>
          <w14:ligatures w14:val="none"/>
        </w:rPr>
        <w:t>4.9.3 Trust calibration</w:t>
      </w:r>
    </w:p>
    <w:p w14:paraId="319A5912"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Decidir cuándo aceptar, editar, rechazar o escalar el output. Dimensiones conectadas: HAI, Perception and Trust, CQTD, Organisational Impact.</w:t>
      </w:r>
    </w:p>
    <w:p w14:paraId="0957D851"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Cierre:</w:t>
      </w:r>
    </w:p>
    <w:p w14:paraId="0A124790" w14:textId="77777777" w:rsidR="00E80C05" w:rsidRPr="00E80C05" w:rsidRDefault="00E80C05" w:rsidP="00E80C05">
      <w:p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Across the seven dimensions, the review does not support a simple replacement or universal productivity narrative. Instead, the evidence points to a socio-technical equilibrium: AI assistance improves software development outcomes when generation efficiency is matched by sufficient verification capacity, calibrated trust, interaction quality, and organisational governance.</w:t>
      </w:r>
    </w:p>
    <w:p w14:paraId="7A501243" w14:textId="77777777" w:rsidR="00E80C05" w:rsidRPr="00E80C05" w:rsidRDefault="0025216C" w:rsidP="00E80C05">
      <w:pPr>
        <w:spacing w:after="0" w:line="240" w:lineRule="auto"/>
        <w:rPr>
          <w:rFonts w:ascii="Times New Roman" w:eastAsia="Times New Roman" w:hAnsi="Times New Roman" w:cs="Times New Roman"/>
          <w:kern w:val="0"/>
          <w14:ligatures w14:val="none"/>
        </w:rPr>
      </w:pPr>
      <w:r w:rsidRPr="0025216C">
        <w:rPr>
          <w:rFonts w:ascii="Times New Roman" w:eastAsia="Times New Roman" w:hAnsi="Times New Roman" w:cs="Times New Roman"/>
          <w:noProof/>
          <w:kern w:val="0"/>
        </w:rPr>
        <w:pict w14:anchorId="59E925A2">
          <v:rect id="_x0000_i1025" alt="" style="width:468pt;height:.05pt;mso-width-percent:0;mso-height-percent:0;mso-width-percent:0;mso-height-percent:0" o:hralign="center" o:hrstd="t" o:hr="t" fillcolor="#a0a0a0" stroked="f"/>
        </w:pict>
      </w:r>
    </w:p>
    <w:p w14:paraId="6CD981F5" w14:textId="77777777" w:rsidR="00E80C05" w:rsidRPr="00E80C05" w:rsidRDefault="00E80C05" w:rsidP="00E80C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0C05">
        <w:rPr>
          <w:rFonts w:ascii="Times New Roman" w:eastAsia="Times New Roman" w:hAnsi="Times New Roman" w:cs="Times New Roman"/>
          <w:b/>
          <w:bCs/>
          <w:kern w:val="36"/>
          <w:sz w:val="48"/>
          <w:szCs w:val="48"/>
          <w14:ligatures w14:val="none"/>
        </w:rPr>
        <w:t>Cambios respecto a la propuesta original de ChatGPT</w:t>
      </w:r>
    </w:p>
    <w:p w14:paraId="6F5B8A50" w14:textId="77777777" w:rsidR="00E80C05" w:rsidRPr="00E80C05" w:rsidRDefault="00E80C05" w:rsidP="00E80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CQTD abre Results (4.2), Productivity se mueve a 4.4.</w:t>
      </w:r>
      <w:r w:rsidRPr="00E80C05">
        <w:rPr>
          <w:rFonts w:ascii="Times New Roman" w:eastAsia="Times New Roman" w:hAnsi="Times New Roman" w:cs="Times New Roman"/>
          <w:kern w:val="0"/>
          <w14:ligatures w14:val="none"/>
        </w:rPr>
        <w:t xml:space="preserve"> Evita la falsa secuencia "primero velocidad, luego calidad" y abre con la dimensión más madura.</w:t>
      </w:r>
    </w:p>
    <w:p w14:paraId="25D61813" w14:textId="77777777" w:rsidR="00E80C05" w:rsidRPr="00E80C05" w:rsidRDefault="00E80C05" w:rsidP="00E80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HAI pasa a 4.3, justo después de CQTD</w:t>
      </w:r>
      <w:r w:rsidRPr="00E80C05">
        <w:rPr>
          <w:rFonts w:ascii="Times New Roman" w:eastAsia="Times New Roman" w:hAnsi="Times New Roman" w:cs="Times New Roman"/>
          <w:kern w:val="0"/>
          <w14:ligatures w14:val="none"/>
        </w:rPr>
        <w:t xml:space="preserve"> — explica la interacción que produce/filtra el artefacto descrito en 4.2.</w:t>
      </w:r>
    </w:p>
    <w:p w14:paraId="216651DE" w14:textId="77777777" w:rsidR="00E80C05" w:rsidRPr="00E80C05" w:rsidRDefault="00E80C05" w:rsidP="00E80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b/>
          <w:bCs/>
          <w:kern w:val="0"/>
          <w14:ligatures w14:val="none"/>
        </w:rPr>
        <w:t>Notas de auditoría incorporadas</w:t>
      </w:r>
      <w:r w:rsidRPr="00E80C05">
        <w:rPr>
          <w:rFonts w:ascii="Times New Roman" w:eastAsia="Times New Roman" w:hAnsi="Times New Roman" w:cs="Times New Roman"/>
          <w:kern w:val="0"/>
          <w14:ligatures w14:val="none"/>
        </w:rPr>
        <w:t xml:space="preserve"> en 4.3 y 4.5 sobre los 8 bibkeys compartidos entre HAI y Cognitive Load, con instrucción operativa para la pasada final.</w:t>
      </w:r>
    </w:p>
    <w:p w14:paraId="6D5F77A1" w14:textId="77777777" w:rsidR="00E80C05" w:rsidRPr="00E80C05" w:rsidRDefault="00E80C05" w:rsidP="00E80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lastRenderedPageBreak/>
        <w:t>Perception &amp; Trust se mantiene al final (4.8) sin cambios — auditoría no detectó solapamiento con HAI en los bibkeys revisados.</w:t>
      </w:r>
    </w:p>
    <w:p w14:paraId="027D4E5C" w14:textId="77777777" w:rsidR="00E80C05" w:rsidRPr="00E80C05" w:rsidRDefault="00E80C05" w:rsidP="00E80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0C05">
        <w:rPr>
          <w:rFonts w:ascii="Times New Roman" w:eastAsia="Times New Roman" w:hAnsi="Times New Roman" w:cs="Times New Roman"/>
          <w:kern w:val="0"/>
          <w14:ligatures w14:val="none"/>
        </w:rPr>
        <w:t>El resto de la estructura (CQTD 8 subsecciones, HAI 7, NB5 cinco dimensiones, síntesis cruzada 4.9) se conserva igual que la propuesta de ChatGPT.</w:t>
      </w:r>
    </w:p>
    <w:p w14:paraId="37E01E4E" w14:textId="77777777" w:rsidR="001E6AF8" w:rsidRDefault="001E6AF8"/>
    <w:sectPr w:rsidR="001E6A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A58EE"/>
    <w:multiLevelType w:val="multilevel"/>
    <w:tmpl w:val="DC2A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70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05"/>
    <w:rsid w:val="00053380"/>
    <w:rsid w:val="001E6AF8"/>
    <w:rsid w:val="002162C7"/>
    <w:rsid w:val="0025216C"/>
    <w:rsid w:val="006015D6"/>
    <w:rsid w:val="00A779F0"/>
    <w:rsid w:val="00DE681A"/>
    <w:rsid w:val="00DE766E"/>
    <w:rsid w:val="00E80C05"/>
    <w:rsid w:val="00F4656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AB1D"/>
  <w15:chartTrackingRefBased/>
  <w15:docId w15:val="{4BA4632A-E58B-F849-B816-CE9188ED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C05"/>
    <w:rPr>
      <w:rFonts w:eastAsiaTheme="majorEastAsia" w:cstheme="majorBidi"/>
      <w:color w:val="272727" w:themeColor="text1" w:themeTint="D8"/>
    </w:rPr>
  </w:style>
  <w:style w:type="paragraph" w:styleId="Title">
    <w:name w:val="Title"/>
    <w:basedOn w:val="Normal"/>
    <w:next w:val="Normal"/>
    <w:link w:val="TitleChar"/>
    <w:uiPriority w:val="10"/>
    <w:qFormat/>
    <w:rsid w:val="00E80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C05"/>
    <w:pPr>
      <w:spacing w:before="160"/>
      <w:jc w:val="center"/>
    </w:pPr>
    <w:rPr>
      <w:i/>
      <w:iCs/>
      <w:color w:val="404040" w:themeColor="text1" w:themeTint="BF"/>
    </w:rPr>
  </w:style>
  <w:style w:type="character" w:customStyle="1" w:styleId="QuoteChar">
    <w:name w:val="Quote Char"/>
    <w:basedOn w:val="DefaultParagraphFont"/>
    <w:link w:val="Quote"/>
    <w:uiPriority w:val="29"/>
    <w:rsid w:val="00E80C05"/>
    <w:rPr>
      <w:i/>
      <w:iCs/>
      <w:color w:val="404040" w:themeColor="text1" w:themeTint="BF"/>
    </w:rPr>
  </w:style>
  <w:style w:type="paragraph" w:styleId="ListParagraph">
    <w:name w:val="List Paragraph"/>
    <w:basedOn w:val="Normal"/>
    <w:uiPriority w:val="34"/>
    <w:qFormat/>
    <w:rsid w:val="00E80C05"/>
    <w:pPr>
      <w:ind w:left="720"/>
      <w:contextualSpacing/>
    </w:pPr>
  </w:style>
  <w:style w:type="character" w:styleId="IntenseEmphasis">
    <w:name w:val="Intense Emphasis"/>
    <w:basedOn w:val="DefaultParagraphFont"/>
    <w:uiPriority w:val="21"/>
    <w:qFormat/>
    <w:rsid w:val="00E80C05"/>
    <w:rPr>
      <w:i/>
      <w:iCs/>
      <w:color w:val="0F4761" w:themeColor="accent1" w:themeShade="BF"/>
    </w:rPr>
  </w:style>
  <w:style w:type="paragraph" w:styleId="IntenseQuote">
    <w:name w:val="Intense Quote"/>
    <w:basedOn w:val="Normal"/>
    <w:next w:val="Normal"/>
    <w:link w:val="IntenseQuoteChar"/>
    <w:uiPriority w:val="30"/>
    <w:qFormat/>
    <w:rsid w:val="00E80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C05"/>
    <w:rPr>
      <w:i/>
      <w:iCs/>
      <w:color w:val="0F4761" w:themeColor="accent1" w:themeShade="BF"/>
    </w:rPr>
  </w:style>
  <w:style w:type="character" w:styleId="IntenseReference">
    <w:name w:val="Intense Reference"/>
    <w:basedOn w:val="DefaultParagraphFont"/>
    <w:uiPriority w:val="32"/>
    <w:qFormat/>
    <w:rsid w:val="00E80C05"/>
    <w:rPr>
      <w:b/>
      <w:bCs/>
      <w:smallCaps/>
      <w:color w:val="0F4761" w:themeColor="accent1" w:themeShade="BF"/>
      <w:spacing w:val="5"/>
    </w:rPr>
  </w:style>
  <w:style w:type="paragraph" w:customStyle="1" w:styleId="font-claude-response-body">
    <w:name w:val="font-claude-response-body"/>
    <w:basedOn w:val="Normal"/>
    <w:rsid w:val="00E80C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0C05"/>
    <w:rPr>
      <w:b/>
      <w:bCs/>
    </w:rPr>
  </w:style>
  <w:style w:type="character" w:styleId="HTMLCode">
    <w:name w:val="HTML Code"/>
    <w:basedOn w:val="DefaultParagraphFont"/>
    <w:uiPriority w:val="99"/>
    <w:semiHidden/>
    <w:unhideWhenUsed/>
    <w:rsid w:val="00E80C05"/>
    <w:rPr>
      <w:rFonts w:ascii="Courier New" w:eastAsia="Times New Roman" w:hAnsi="Courier New" w:cs="Courier New"/>
      <w:sz w:val="20"/>
      <w:szCs w:val="20"/>
    </w:rPr>
  </w:style>
  <w:style w:type="character" w:styleId="Emphasis">
    <w:name w:val="Emphasis"/>
    <w:basedOn w:val="DefaultParagraphFont"/>
    <w:uiPriority w:val="20"/>
    <w:qFormat/>
    <w:rsid w:val="00E80C05"/>
    <w:rPr>
      <w:i/>
      <w:iCs/>
    </w:rPr>
  </w:style>
  <w:style w:type="paragraph" w:styleId="NormalWeb">
    <w:name w:val="Normal (Web)"/>
    <w:basedOn w:val="Normal"/>
    <w:uiPriority w:val="99"/>
    <w:semiHidden/>
    <w:unhideWhenUsed/>
    <w:rsid w:val="00E80C0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2627</Words>
  <Characters>17182</Characters>
  <Application>Microsoft Office Word</Application>
  <DocSecurity>0</DocSecurity>
  <Lines>381</Lines>
  <Paragraphs>136</Paragraphs>
  <ScaleCrop>false</ScaleCrop>
  <Company/>
  <LinksUpToDate>false</LinksUpToDate>
  <CharactersWithSpaces>19673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León Felipe Guevara Chávez</dc:creator>
  <cp:keywords/>
  <dc:description/>
  <cp:lastModifiedBy>León Felipe Guevara Chávez</cp:lastModifiedBy>
  <cp:revision>1</cp:revision>
  <dcterms:created xsi:type="dcterms:W3CDTF">2026-06-14T19:05:00Z</dcterms:created>
  <dcterms:modified xsi:type="dcterms:W3CDTF">2026-06-14T19:10:00Z</dcterms:modified>
</cp:coreProperties>
</file>