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pzpgv435izu" w:id="0"/>
      <w:bookmarkEnd w:id="0"/>
      <w:r w:rsidDel="00000000" w:rsidR="00000000" w:rsidRPr="00000000">
        <w:rPr>
          <w:rtl w:val="0"/>
        </w:rPr>
        <w:t xml:space="preserve">Model Evaluation Report: Comparative Performance of Anthropic and OpenAI LLMs in Python Code Generation</w:t>
      </w:r>
    </w:p>
    <w:p w:rsidR="00000000" w:rsidDel="00000000" w:rsidP="00000000" w:rsidRDefault="00000000" w:rsidRPr="00000000" w14:paraId="00000002">
      <w:pPr>
        <w:pStyle w:val="Heading4"/>
        <w:rPr/>
      </w:pPr>
      <w:bookmarkStart w:colFirst="0" w:colLast="0" w:name="_5jb3lkohxejs" w:id="1"/>
      <w:bookmarkEnd w:id="1"/>
      <w:r w:rsidDel="00000000" w:rsidR="00000000" w:rsidRPr="00000000">
        <w:rPr>
          <w:rtl w:val="0"/>
        </w:rPr>
        <w:t xml:space="preserve">1. Strategic Context of AI-Assisted Development</w:t>
      </w:r>
    </w:p>
    <w:p w:rsidR="00000000" w:rsidDel="00000000" w:rsidP="00000000" w:rsidRDefault="00000000" w:rsidRPr="00000000" w14:paraId="00000003">
      <w:pPr>
        <w:rPr/>
      </w:pPr>
      <w:r w:rsidDel="00000000" w:rsidR="00000000" w:rsidRPr="00000000">
        <w:rPr>
          <w:rtl w:val="0"/>
        </w:rPr>
        <w:t xml:space="preserve">The software engineering landscape is currently undergoing a paradigmatic transformation, evolving from traditional IDE-centric development toward fully AI-integrated workflows. For enterprise-level leadership, this shift represents more than a gain in velocity; it is a strategic imperative centered on functional correctness and the mitigation of technical debt. As Large Language Models (LLMs) transition from simple autocompletion to generating complex, autonomous logic, the choice of an underlying model family becomes the primary determinant of codebase reliability.This evaluation focuses on Python, the dominant domain for contemporary AI integration due to its ubiquity in data science, machine learning, and backend infrastructure. The strategic importance of selecting the right model cannot be overstated, as "invisible" logic errors or brittle implementations can lead to exponential increases in debugging costs. Consequently, this report moves beyond anecdotal evidence, establishing a rigorous benchmarking framework to guide technical procurement and architectural standards.</w:t>
      </w:r>
    </w:p>
    <w:p w:rsidR="00000000" w:rsidDel="00000000" w:rsidP="00000000" w:rsidRDefault="00000000" w:rsidRPr="00000000" w14:paraId="00000004">
      <w:pPr>
        <w:pStyle w:val="Heading4"/>
        <w:rPr/>
      </w:pPr>
      <w:bookmarkStart w:colFirst="0" w:colLast="0" w:name="_hpz8omam6dtv" w:id="2"/>
      <w:bookmarkEnd w:id="2"/>
      <w:r w:rsidDel="00000000" w:rsidR="00000000" w:rsidRPr="00000000">
        <w:rPr>
          <w:rtl w:val="0"/>
        </w:rPr>
        <w:t xml:space="preserve">2. Methodology: The HumanEval and Multi-Dimensional Framework</w:t>
      </w:r>
    </w:p>
    <w:p w:rsidR="00000000" w:rsidDel="00000000" w:rsidP="00000000" w:rsidRDefault="00000000" w:rsidRPr="00000000" w14:paraId="00000005">
      <w:pPr>
        <w:rPr/>
      </w:pPr>
      <w:r w:rsidDel="00000000" w:rsidR="00000000" w:rsidRPr="00000000">
        <w:rPr>
          <w:rtl w:val="0"/>
        </w:rPr>
        <w:t xml:space="preserve">Technical leadership requires an evaluation framework that transcends binary "pass/fail" outcomes. Relying on a single metric often obscures the structural risks associated with AI-generated code. This report utilizes the HumanEval benchmark—comprising 164 hand-written Python problems—to measure functional output alongside algorithmic sophistication and maintainability.</w:t>
      </w:r>
    </w:p>
    <w:p w:rsidR="00000000" w:rsidDel="00000000" w:rsidP="00000000" w:rsidRDefault="00000000" w:rsidRPr="00000000" w14:paraId="00000006">
      <w:pPr>
        <w:pStyle w:val="Heading5"/>
        <w:rPr/>
      </w:pPr>
      <w:bookmarkStart w:colFirst="0" w:colLast="0" w:name="_7hny1un4y1ga" w:id="3"/>
      <w:bookmarkEnd w:id="3"/>
      <w:r w:rsidDel="00000000" w:rsidR="00000000" w:rsidRPr="00000000">
        <w:rPr>
          <w:rtl w:val="0"/>
        </w:rPr>
        <w:t xml:space="preserve">Evaluation Methodology Summary</w:t>
      </w:r>
    </w:p>
    <w:p w:rsidR="00000000" w:rsidDel="00000000" w:rsidP="00000000" w:rsidRDefault="00000000" w:rsidRPr="00000000" w14:paraId="00000007">
      <w:pPr>
        <w:rPr/>
      </w:pPr>
      <w:r w:rsidDel="00000000" w:rsidR="00000000" w:rsidRPr="00000000">
        <w:rPr>
          <w:rtl w:val="0"/>
        </w:rPr>
        <w:t xml:space="preserve">Metric Category,Description,Strategic Value</w:t>
      </w:r>
    </w:p>
    <w:p w:rsidR="00000000" w:rsidDel="00000000" w:rsidP="00000000" w:rsidRDefault="00000000" w:rsidRPr="00000000" w14:paraId="00000008">
      <w:pPr>
        <w:rPr/>
      </w:pPr>
      <w:r w:rsidDel="00000000" w:rsidR="00000000" w:rsidRPr="00000000">
        <w:rPr>
          <w:rtl w:val="0"/>
        </w:rPr>
        <w:t xml:space="preserve">Functional Correctness (Pass@1),Percentage of problems solved correctly on the first attempt across 164 tasks.,Direct indicator of developer productivity and iterative overhead.</w:t>
      </w:r>
    </w:p>
    <w:p w:rsidR="00000000" w:rsidDel="00000000" w:rsidP="00000000" w:rsidRDefault="00000000" w:rsidRPr="00000000" w14:paraId="00000009">
      <w:pPr>
        <w:rPr/>
      </w:pPr>
      <w:r w:rsidDel="00000000" w:rsidR="00000000" w:rsidRPr="00000000">
        <w:rPr>
          <w:rtl w:val="0"/>
        </w:rPr>
        <w:t xml:space="preserve">Structural Distribution,"Covers 12 categories (e.g., string manipulation, math, data structures) and 3 difficulty tiers (Basic 30%, Intermediate 45%, Advanced 25%).","Ensures the model is robust across a diverse, real-world task spectrum."</w:t>
      </w:r>
    </w:p>
    <w:p w:rsidR="00000000" w:rsidDel="00000000" w:rsidP="00000000" w:rsidRDefault="00000000" w:rsidRPr="00000000" w14:paraId="0000000A">
      <w:pPr>
        <w:rPr/>
      </w:pPr>
      <w:r w:rsidDel="00000000" w:rsidR="00000000" w:rsidRPr="00000000">
        <w:rPr>
          <w:rtl w:val="0"/>
        </w:rPr>
        <w:t xml:space="preserve">Complexity &amp; Maintainability,Evaluates Cyclomatic Complexity (Radon cc) and Maintainability Index (Radon mi).,Predicts the long-term cost of software evolution and technical debt.</w:t>
      </w:r>
    </w:p>
    <w:p w:rsidR="00000000" w:rsidDel="00000000" w:rsidP="00000000" w:rsidRDefault="00000000" w:rsidRPr="00000000" w14:paraId="0000000B">
      <w:pPr>
        <w:rPr/>
      </w:pPr>
      <w:r w:rsidDel="00000000" w:rsidR="00000000" w:rsidRPr="00000000">
        <w:rPr>
          <w:rtl w:val="0"/>
        </w:rPr>
        <w:t xml:space="preserve">Error Pattern Analysis,"Categorization of failures: Syntax, Runtime, Logic, and Timeout (&gt;5s).",Identifies systematic reliability risks and executional stability.</w:t>
      </w:r>
    </w:p>
    <w:p w:rsidR="00000000" w:rsidDel="00000000" w:rsidP="00000000" w:rsidRDefault="00000000" w:rsidRPr="00000000" w14:paraId="0000000C">
      <w:pPr>
        <w:pStyle w:val="Heading5"/>
        <w:rPr/>
      </w:pPr>
      <w:bookmarkStart w:colFirst="0" w:colLast="0" w:name="_qmeyosjmjmwu" w:id="4"/>
      <w:bookmarkEnd w:id="4"/>
      <w:r w:rsidDel="00000000" w:rsidR="00000000" w:rsidRPr="00000000">
        <w:rPr>
          <w:rtl w:val="0"/>
        </w:rPr>
        <w:t xml:space="preserve">Evaluated Models and Parameters</w:t>
      </w:r>
    </w:p>
    <w:p w:rsidR="00000000" w:rsidDel="00000000" w:rsidP="00000000" w:rsidRDefault="00000000" w:rsidRPr="00000000" w14:paraId="0000000D">
      <w:pPr>
        <w:rPr/>
      </w:pPr>
      <w:r w:rsidDel="00000000" w:rsidR="00000000" w:rsidRPr="00000000">
        <w:rPr>
          <w:rtl w:val="0"/>
        </w:rPr>
        <w:t xml:space="preserve">To ensure a controlled comparison, six models were evaluated under standardized parameters (Temperature 0.2, Max Tokens 512, code-only responses enforced):</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OpenAI Family:</w:t>
      </w:r>
      <w:r w:rsidDel="00000000" w:rsidR="00000000" w:rsidRPr="00000000">
        <w:rPr>
          <w:rtl w:val="0"/>
        </w:rPr>
        <w:t xml:space="preserve">  GPT-3.5 Turbo, GPT-4 Omni.</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Anthropic Family:</w:t>
      </w:r>
      <w:r w:rsidDel="00000000" w:rsidR="00000000" w:rsidRPr="00000000">
        <w:rPr>
          <w:rtl w:val="0"/>
        </w:rPr>
        <w:t xml:space="preserve">  Claude 3.5 Sonnet, Claude 3.7 Sonnet, Claude Sonnet 4, Claude Opus 4.These rigorous controls set the stage for the significant performance delta observed between the two architectural families, particularly regarding how they resolve logical constraints.</w:t>
      </w:r>
    </w:p>
    <w:p w:rsidR="00000000" w:rsidDel="00000000" w:rsidP="00000000" w:rsidRDefault="00000000" w:rsidRPr="00000000" w14:paraId="00000010">
      <w:pPr>
        <w:pStyle w:val="Heading4"/>
        <w:rPr/>
      </w:pPr>
      <w:bookmarkStart w:colFirst="0" w:colLast="0" w:name="_prmswnwyuiye" w:id="5"/>
      <w:bookmarkEnd w:id="5"/>
      <w:r w:rsidDel="00000000" w:rsidR="00000000" w:rsidRPr="00000000">
        <w:rPr>
          <w:rtl w:val="0"/>
        </w:rPr>
        <w:t xml:space="preserve">3. Comparative Functional Correctness (Pass@1 Analysis)</w:t>
      </w:r>
    </w:p>
    <w:p w:rsidR="00000000" w:rsidDel="00000000" w:rsidP="00000000" w:rsidRDefault="00000000" w:rsidRPr="00000000" w14:paraId="00000011">
      <w:pPr>
        <w:rPr/>
      </w:pPr>
      <w:r w:rsidDel="00000000" w:rsidR="00000000" w:rsidRPr="00000000">
        <w:rPr>
          <w:rtl w:val="0"/>
        </w:rPr>
        <w:t xml:space="preserve">The evaluation revealed a substantial performance gap between the Anthropic and OpenAI families. The Pass@1 metric is the gold standard for developer productivity; every failed attempt represents a context switch and a potential manual debugging session for a senior engineer.The success rates across the models are ranked as follows: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Claude Sonnet 4:</w:t>
      </w:r>
      <w:r w:rsidDel="00000000" w:rsidR="00000000" w:rsidRPr="00000000">
        <w:rPr>
          <w:rtl w:val="0"/>
        </w:rPr>
        <w:t xml:space="preserve">  95.1%</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Claude Opus 4:</w:t>
      </w:r>
      <w:r w:rsidDel="00000000" w:rsidR="00000000" w:rsidRPr="00000000">
        <w:rPr>
          <w:rtl w:val="0"/>
        </w:rPr>
        <w:t xml:space="preserve">  94.5%</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Claude 3.5 Sonnet:</w:t>
      </w:r>
      <w:r w:rsidDel="00000000" w:rsidR="00000000" w:rsidRPr="00000000">
        <w:rPr>
          <w:rtl w:val="0"/>
        </w:rPr>
        <w:t xml:space="preserve">  88.4%</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Claude 3.7 Sonnet:</w:t>
      </w:r>
      <w:r w:rsidDel="00000000" w:rsidR="00000000" w:rsidRPr="00000000">
        <w:rPr>
          <w:rtl w:val="0"/>
        </w:rPr>
        <w:t xml:space="preserve">  87.8%</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GPT-4 Omni:</w:t>
      </w:r>
      <w:r w:rsidDel="00000000" w:rsidR="00000000" w:rsidRPr="00000000">
        <w:rPr>
          <w:rtl w:val="0"/>
        </w:rPr>
        <w:t xml:space="preserve">  75.0%</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GPT-3.5 Turbo:</w:t>
      </w:r>
      <w:r w:rsidDel="00000000" w:rsidR="00000000" w:rsidRPr="00000000">
        <w:rPr>
          <w:rtl w:val="0"/>
        </w:rPr>
        <w:t xml:space="preserve">  72.0%</w:t>
      </w:r>
    </w:p>
    <w:p w:rsidR="00000000" w:rsidDel="00000000" w:rsidP="00000000" w:rsidRDefault="00000000" w:rsidRPr="00000000" w14:paraId="00000018">
      <w:pPr>
        <w:pStyle w:val="Heading5"/>
        <w:rPr/>
      </w:pPr>
      <w:bookmarkStart w:colFirst="0" w:colLast="0" w:name="_lobsrydarvzm" w:id="6"/>
      <w:bookmarkEnd w:id="6"/>
      <w:r w:rsidDel="00000000" w:rsidR="00000000" w:rsidRPr="00000000">
        <w:rPr>
          <w:rtl w:val="0"/>
        </w:rPr>
        <w:t xml:space="preserve">The "So What?" Layer: Enterprise Business Impact</w:t>
      </w:r>
    </w:p>
    <w:p w:rsidR="00000000" w:rsidDel="00000000" w:rsidP="00000000" w:rsidRDefault="00000000" w:rsidRPr="00000000" w14:paraId="00000019">
      <w:pPr>
        <w:rPr/>
      </w:pPr>
      <w:r w:rsidDel="00000000" w:rsidR="00000000" w:rsidRPr="00000000">
        <w:rPr>
          <w:rtl w:val="0"/>
        </w:rPr>
        <w:t xml:space="preserve">The 23.1 percentage point difference between the highest-performing model (Claude Sonnet 4) and the baseline (GPT-3.5 Turbo) represents a critical operational threshold. An enterprise relying on models that fail 25% of their initial tasks (OpenAI family) is effectively subsidizing AI integration with senior developer hours lost to troubleshooting. In contrast, the Claude 4 series achieves near-total functional correctness, allowing teams to move from "fixing AI code" to "reviewing AI architecture."</w:t>
      </w:r>
    </w:p>
    <w:p w:rsidR="00000000" w:rsidDel="00000000" w:rsidP="00000000" w:rsidRDefault="00000000" w:rsidRPr="00000000" w14:paraId="0000001A">
      <w:pPr>
        <w:pStyle w:val="Heading4"/>
        <w:rPr/>
      </w:pPr>
      <w:bookmarkStart w:colFirst="0" w:colLast="0" w:name="_9h8iczghjlph" w:id="7"/>
      <w:bookmarkEnd w:id="7"/>
      <w:r w:rsidDel="00000000" w:rsidR="00000000" w:rsidRPr="00000000">
        <w:rPr>
          <w:rtl w:val="0"/>
        </w:rPr>
        <w:t xml:space="preserve">4. The Complexity-Robustness Relationship</w:t>
      </w:r>
    </w:p>
    <w:p w:rsidR="00000000" w:rsidDel="00000000" w:rsidP="00000000" w:rsidRDefault="00000000" w:rsidRPr="00000000" w14:paraId="0000001B">
      <w:pPr>
        <w:rPr/>
      </w:pPr>
      <w:r w:rsidDel="00000000" w:rsidR="00000000" w:rsidRPr="00000000">
        <w:rPr>
          <w:rtl w:val="0"/>
        </w:rPr>
        <w:t xml:space="preserve">A traditional critique in software engineering is that "simple is always better." However, our analysis suggests that for LLMs, higher algorithmic sophistication correlates directly with success. The data indicates that models capable of navigating more complex control flows are significantly more likely to provide correct solutions for edge cases.</w:t>
      </w:r>
    </w:p>
    <w:p w:rsidR="00000000" w:rsidDel="00000000" w:rsidP="00000000" w:rsidRDefault="00000000" w:rsidRPr="00000000" w14:paraId="0000001C">
      <w:pPr>
        <w:pStyle w:val="Heading5"/>
        <w:rPr/>
      </w:pPr>
      <w:bookmarkStart w:colFirst="0" w:colLast="0" w:name="_n4ylq8lm4rl1" w:id="8"/>
      <w:bookmarkEnd w:id="8"/>
      <w:r w:rsidDel="00000000" w:rsidR="00000000" w:rsidRPr="00000000">
        <w:rPr>
          <w:rtl w:val="0"/>
        </w:rPr>
        <w:t xml:space="preserve">Structural Metric Correlations</w:t>
      </w:r>
    </w:p>
    <w:p w:rsidR="00000000" w:rsidDel="00000000" w:rsidP="00000000" w:rsidRDefault="00000000" w:rsidRPr="00000000" w14:paraId="0000001D">
      <w:pPr>
        <w:rPr/>
      </w:pPr>
      <w:r w:rsidDel="00000000" w:rsidR="00000000" w:rsidRPr="00000000">
        <w:rPr>
          <w:rtl w:val="0"/>
        </w:rPr>
        <w:t xml:space="preserve">The relationship between complexity and robustness is supported by high correlation coefficients:  </w:t>
      </w:r>
      <w:r w:rsidDel="00000000" w:rsidR="00000000" w:rsidRPr="00000000">
        <w:rPr>
          <w:b w:val="1"/>
          <w:bCs w:val="1"/>
          <w:rtl w:val="0"/>
        </w:rPr>
        <w:t xml:space="preserve">r = 0.73</w:t>
      </w:r>
      <w:r w:rsidDel="00000000" w:rsidR="00000000" w:rsidRPr="00000000">
        <w:rPr>
          <w:rtl w:val="0"/>
        </w:rPr>
        <w:t xml:space="preserve">  for cyclomatic complexity and  </w:t>
      </w:r>
      <w:r w:rsidDel="00000000" w:rsidR="00000000" w:rsidRPr="00000000">
        <w:rPr>
          <w:b w:val="1"/>
          <w:bCs w:val="1"/>
          <w:rtl w:val="0"/>
        </w:rPr>
        <w:t xml:space="preserve">r = 0.81</w:t>
      </w:r>
      <w:r w:rsidDel="00000000" w:rsidR="00000000" w:rsidRPr="00000000">
        <w:rPr>
          <w:rtl w:val="0"/>
        </w:rPr>
        <w:t xml:space="preserve">  for Lines of Code (LOC).| Metric | Anthropic Family (Avg) | OpenAI Family (Avg) || ------ | ------ | ------ || Avg. Cyclomatic Complexity | 3.9 | 3.15 || Avg. Maintainability Index | 72.25 | 69.00 || Avg. Lines of Code (LOC) | 8.75 | 7.7 |</w:t>
      </w:r>
    </w:p>
    <w:p w:rsidR="00000000" w:rsidDel="00000000" w:rsidP="00000000" w:rsidRDefault="00000000" w:rsidRPr="00000000" w14:paraId="0000001E">
      <w:pPr>
        <w:pStyle w:val="Heading5"/>
        <w:rPr/>
      </w:pPr>
      <w:bookmarkStart w:colFirst="0" w:colLast="0" w:name="_x0roqoy3ui5a" w:id="9"/>
      <w:bookmarkEnd w:id="9"/>
      <w:r w:rsidDel="00000000" w:rsidR="00000000" w:rsidRPr="00000000">
        <w:rPr>
          <w:rtl w:val="0"/>
        </w:rPr>
        <w:t xml:space="preserve">The "So What?" Layer: Maintainability Outliers</w:t>
      </w:r>
    </w:p>
    <w:p w:rsidR="00000000" w:rsidDel="00000000" w:rsidP="00000000" w:rsidRDefault="00000000" w:rsidRPr="00000000" w14:paraId="0000001F">
      <w:pPr>
        <w:rPr/>
      </w:pPr>
      <w:r w:rsidDel="00000000" w:rsidR="00000000" w:rsidRPr="00000000">
        <w:rPr>
          <w:rtl w:val="0"/>
        </w:rPr>
        <w:t xml:space="preserve">While Anthropic models are more verbose (Claude Opus 4 averages 9.2 lines), this verbosity represents superior input validation and edge-case management rather than inefficient over-engineering. Crucially,  </w:t>
      </w:r>
      <w:r w:rsidDel="00000000" w:rsidR="00000000" w:rsidRPr="00000000">
        <w:rPr>
          <w:b w:val="1"/>
          <w:bCs w:val="1"/>
          <w:rtl w:val="0"/>
        </w:rPr>
        <w:t xml:space="preserve">GPT-4 Omni emerged as a maintainability outlier with a score of 66</w:t>
      </w:r>
      <w:r w:rsidDel="00000000" w:rsidR="00000000" w:rsidRPr="00000000">
        <w:rPr>
          <w:rtl w:val="0"/>
        </w:rPr>
        <w:t xml:space="preserve"> , significantly lower than the 72-73 range maintained by its predecessors and the Claude family. This suggests that while GPT-4 Omni attempts simpler solutions, it does so by sacrificing the structural patterns required for long-term software evolution.</w:t>
      </w:r>
    </w:p>
    <w:p w:rsidR="00000000" w:rsidDel="00000000" w:rsidP="00000000" w:rsidRDefault="00000000" w:rsidRPr="00000000" w14:paraId="00000020">
      <w:pPr>
        <w:pStyle w:val="Heading4"/>
        <w:rPr/>
      </w:pPr>
      <w:bookmarkStart w:colFirst="0" w:colLast="0" w:name="_9a5x9tgv0rsx" w:id="10"/>
      <w:bookmarkEnd w:id="10"/>
      <w:r w:rsidDel="00000000" w:rsidR="00000000" w:rsidRPr="00000000">
        <w:rPr>
          <w:rtl w:val="0"/>
        </w:rPr>
        <w:t xml:space="preserve">5. Error Pattern Classification and Reliability Risks</w:t>
      </w:r>
    </w:p>
    <w:p w:rsidR="00000000" w:rsidDel="00000000" w:rsidP="00000000" w:rsidRDefault="00000000" w:rsidRPr="00000000" w14:paraId="00000021">
      <w:pPr>
        <w:rPr/>
      </w:pPr>
      <w:r w:rsidDel="00000000" w:rsidR="00000000" w:rsidRPr="00000000">
        <w:rPr>
          <w:rtl w:val="0"/>
        </w:rPr>
        <w:t xml:space="preserve">The operational risk of AI adoption depends heavily on failure modes. We distinguish between "fail-fast" errors (syntax) and "silent failures" (logic).</w:t>
      </w:r>
    </w:p>
    <w:p w:rsidR="00000000" w:rsidDel="00000000" w:rsidP="00000000" w:rsidRDefault="00000000" w:rsidRPr="00000000" w14:paraId="00000022">
      <w:pPr>
        <w:pStyle w:val="Heading5"/>
        <w:rPr/>
      </w:pPr>
      <w:bookmarkStart w:colFirst="0" w:colLast="0" w:name="_f01zzqmm0utn" w:id="11"/>
      <w:bookmarkEnd w:id="11"/>
      <w:r w:rsidDel="00000000" w:rsidR="00000000" w:rsidRPr="00000000">
        <w:rPr>
          <w:rtl w:val="0"/>
        </w:rPr>
        <w:t xml:space="preserve">Distribution of Failure Modes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Executional Stability:</w:t>
      </w:r>
      <w:r w:rsidDel="00000000" w:rsidR="00000000" w:rsidRPr="00000000">
        <w:rPr>
          <w:rtl w:val="0"/>
        </w:rPr>
        <w:t xml:space="preserve">  The Claude 4 series (Sonnet 4 and Opus 4) achieved  </w:t>
      </w:r>
      <w:r w:rsidDel="00000000" w:rsidR="00000000" w:rsidRPr="00000000">
        <w:rPr>
          <w:b w:val="1"/>
          <w:bCs w:val="1"/>
          <w:rtl w:val="0"/>
        </w:rPr>
        <w:t xml:space="preserve">zero recorded syntax errors</w:t>
      </w:r>
      <w:r w:rsidDel="00000000" w:rsidR="00000000" w:rsidRPr="00000000">
        <w:rPr>
          <w:rtl w:val="0"/>
        </w:rPr>
        <w:t xml:space="preserve"> . In stark contrast, GPT-4 Omni exhibited a high syntax error rate of  </w:t>
      </w:r>
      <w:r w:rsidDel="00000000" w:rsidR="00000000" w:rsidRPr="00000000">
        <w:rPr>
          <w:b w:val="1"/>
          <w:bCs w:val="1"/>
          <w:rtl w:val="0"/>
        </w:rPr>
        <w:t xml:space="preserve">14.6%</w:t>
      </w:r>
      <w:r w:rsidDel="00000000" w:rsidR="00000000" w:rsidRPr="00000000">
        <w:rPr>
          <w:rtl w:val="0"/>
        </w:rPr>
        <w:t xml:space="preserve">  under constrained prompting, indicating a lack of stability in strict production environments.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The Logic Gap:</w:t>
      </w:r>
      <w:r w:rsidDel="00000000" w:rsidR="00000000" w:rsidRPr="00000000">
        <w:rPr>
          <w:rtl w:val="0"/>
        </w:rPr>
        <w:t xml:space="preserve">  GPT-3.5 Turbo suffered from a  </w:t>
      </w:r>
      <w:r w:rsidDel="00000000" w:rsidR="00000000" w:rsidRPr="00000000">
        <w:rPr>
          <w:b w:val="1"/>
          <w:bCs w:val="1"/>
          <w:rtl w:val="0"/>
        </w:rPr>
        <w:t xml:space="preserve">20.1% logic error rate</w:t>
      </w:r>
      <w:r w:rsidDel="00000000" w:rsidR="00000000" w:rsidRPr="00000000">
        <w:rPr>
          <w:rtl w:val="0"/>
        </w:rPr>
        <w:t xml:space="preserve"> . Logic errors are the most expensive failures in AI-assisted development because the code runs without crashing but produces incorrect data, bypassing automated CI/CD checks and incurring massive downstream remediation costs.</w:t>
      </w:r>
    </w:p>
    <w:p w:rsidR="00000000" w:rsidDel="00000000" w:rsidP="00000000" w:rsidRDefault="00000000" w:rsidRPr="00000000" w14:paraId="00000025">
      <w:pPr>
        <w:pStyle w:val="Heading4"/>
        <w:rPr/>
      </w:pPr>
      <w:bookmarkStart w:colFirst="0" w:colLast="0" w:name="_1pf5f8pibibt" w:id="12"/>
      <w:bookmarkEnd w:id="12"/>
      <w:r w:rsidDel="00000000" w:rsidR="00000000" w:rsidRPr="00000000">
        <w:rPr>
          <w:rtl w:val="0"/>
        </w:rPr>
        <w:t xml:space="preserve">6. Longitudinal Security Evolution: Detection and Repair</w:t>
      </w:r>
    </w:p>
    <w:p w:rsidR="00000000" w:rsidDel="00000000" w:rsidP="00000000" w:rsidRDefault="00000000" w:rsidRPr="00000000" w14:paraId="00000026">
      <w:pPr>
        <w:rPr/>
      </w:pPr>
      <w:r w:rsidDel="00000000" w:rsidR="00000000" w:rsidRPr="00000000">
        <w:rPr>
          <w:rtl w:val="0"/>
        </w:rPr>
        <w:t xml:space="preserve">To provide a comprehensive risk profile, this report incorporates a longitudinal study of model security capabilities. As we shift focus from Python-centric functional tasks to more vulnerable environments—specifically  </w:t>
      </w:r>
      <w:r w:rsidDel="00000000" w:rsidR="00000000" w:rsidRPr="00000000">
        <w:rPr>
          <w:b w:val="1"/>
          <w:bCs w:val="1"/>
          <w:rtl w:val="0"/>
        </w:rPr>
        <w:t xml:space="preserve">C, C++, and C#</w:t>
      </w:r>
      <w:r w:rsidDel="00000000" w:rsidR="00000000" w:rsidRPr="00000000">
        <w:rPr>
          <w:rtl w:val="0"/>
        </w:rPr>
        <w:t xml:space="preserve"> —the requirement for LLMs to act as secure coding partners becomes paramount.</w:t>
      </w:r>
    </w:p>
    <w:p w:rsidR="00000000" w:rsidDel="00000000" w:rsidP="00000000" w:rsidRDefault="00000000" w:rsidRPr="00000000" w14:paraId="00000027">
      <w:pPr>
        <w:pStyle w:val="Heading5"/>
        <w:rPr/>
      </w:pPr>
      <w:bookmarkStart w:colFirst="0" w:colLast="0" w:name="_8x1nt027i1if" w:id="13"/>
      <w:bookmarkEnd w:id="13"/>
      <w:r w:rsidDel="00000000" w:rsidR="00000000" w:rsidRPr="00000000">
        <w:rPr>
          <w:rtl w:val="0"/>
        </w:rPr>
        <w:t xml:space="preserve">Vulnerability Remediation Progress (2024 vs. 2025)</w:t>
      </w:r>
    </w:p>
    <w:p w:rsidR="00000000" w:rsidDel="00000000" w:rsidP="00000000" w:rsidRDefault="00000000" w:rsidRPr="00000000" w14:paraId="00000028">
      <w:pPr>
        <w:rPr/>
      </w:pPr>
      <w:r w:rsidDel="00000000" w:rsidR="00000000" w:rsidRPr="00000000">
        <w:rPr>
          <w:rtl w:val="0"/>
        </w:rPr>
        <w:t xml:space="preserve">A comparison between October 2024 and September 2025 shows a significant maturity shift in vulnerability detection and repair (CWE-20: Input Validation; CWE-120: Buffer Overflows).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Historical Performance (2024):</w:t>
      </w:r>
      <w:r w:rsidDel="00000000" w:rsidR="00000000" w:rsidRPr="00000000">
        <w:rPr>
          <w:rtl w:val="0"/>
        </w:rPr>
        <w:t xml:space="preserve">  GPT-4o achieved only ~50% detection and repair rates.</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Current Performance (2025):</w:t>
      </w:r>
      <w:r w:rsidDel="00000000" w:rsidR="00000000" w:rsidRPr="00000000">
        <w:rPr>
          <w:rtl w:val="0"/>
        </w:rPr>
        <w:t xml:space="preserve">  GPT-5, GPT-4.1, and Claude Opus 4.1 have improved to  </w:t>
      </w:r>
      <w:r w:rsidDel="00000000" w:rsidR="00000000" w:rsidRPr="00000000">
        <w:rPr>
          <w:b w:val="1"/>
          <w:bCs w:val="1"/>
          <w:rtl w:val="0"/>
        </w:rPr>
        <w:t xml:space="preserve">75–80% remediation success rates</w:t>
      </w:r>
      <w:r w:rsidDel="00000000" w:rsidR="00000000" w:rsidRPr="00000000">
        <w:rPr>
          <w:rtl w:val="0"/>
        </w:rPr>
        <w:t xml:space="preserve"> .</w:t>
      </w:r>
    </w:p>
    <w:p w:rsidR="00000000" w:rsidDel="00000000" w:rsidP="00000000" w:rsidRDefault="00000000" w:rsidRPr="00000000" w14:paraId="0000002B">
      <w:pPr>
        <w:pStyle w:val="Heading5"/>
        <w:rPr/>
      </w:pPr>
      <w:bookmarkStart w:colFirst="0" w:colLast="0" w:name="_stc5fisdkry1" w:id="14"/>
      <w:bookmarkEnd w:id="14"/>
      <w:r w:rsidDel="00000000" w:rsidR="00000000" w:rsidRPr="00000000">
        <w:rPr>
          <w:rtl w:val="0"/>
        </w:rPr>
        <w:t xml:space="preserve">The "So What?" Layer: The Parity Finding</w:t>
      </w:r>
    </w:p>
    <w:p w:rsidR="00000000" w:rsidDel="00000000" w:rsidP="00000000" w:rsidRDefault="00000000" w:rsidRPr="00000000" w14:paraId="0000002C">
      <w:pPr>
        <w:rPr/>
      </w:pPr>
      <w:r w:rsidDel="00000000" w:rsidR="00000000" w:rsidRPr="00000000">
        <w:rPr>
          <w:rtl w:val="0"/>
        </w:rPr>
        <w:t xml:space="preserve">Technical leaders must recognize a critical grounding fact:  </w:t>
      </w:r>
      <w:r w:rsidDel="00000000" w:rsidR="00000000" w:rsidRPr="00000000">
        <w:rPr>
          <w:b w:val="1"/>
          <w:bCs w:val="1"/>
          <w:rtl w:val="0"/>
        </w:rPr>
        <w:t xml:space="preserve">AI-generated code is currently about as likely to contain vulnerabilities as developer-written code.</w:t>
      </w:r>
      <w:r w:rsidDel="00000000" w:rsidR="00000000" w:rsidRPr="00000000">
        <w:rPr>
          <w:rtl w:val="0"/>
        </w:rPr>
        <w:t xml:space="preserve">  While LLMs can now remediate ~80% of identified flaws, they frequently "confidently provide incorrect information," such as naive mitigations or false security assurances. This parity necessitates a mandatory human-in-the-loop oversight protocol.</w:t>
      </w:r>
    </w:p>
    <w:p w:rsidR="00000000" w:rsidDel="00000000" w:rsidP="00000000" w:rsidRDefault="00000000" w:rsidRPr="00000000" w14:paraId="0000002D">
      <w:pPr>
        <w:pStyle w:val="Heading4"/>
        <w:rPr/>
      </w:pPr>
      <w:bookmarkStart w:colFirst="0" w:colLast="0" w:name="_g913q3l8ut54" w:id="15"/>
      <w:bookmarkEnd w:id="15"/>
      <w:r w:rsidDel="00000000" w:rsidR="00000000" w:rsidRPr="00000000">
        <w:rPr>
          <w:rtl w:val="0"/>
        </w:rPr>
        <w:t xml:space="preserve">7. Strategic Recommendations for AI Integration</w:t>
      </w:r>
    </w:p>
    <w:p w:rsidR="00000000" w:rsidDel="00000000" w:rsidP="00000000" w:rsidRDefault="00000000" w:rsidRPr="00000000" w14:paraId="0000002E">
      <w:pPr>
        <w:rPr/>
      </w:pPr>
      <w:r w:rsidDel="00000000" w:rsidR="00000000" w:rsidRPr="00000000">
        <w:rPr>
          <w:rtl w:val="0"/>
        </w:rPr>
        <w:t xml:space="preserve">Based on the multi-dimensional evidence, the following strategic logic should govern enterprise AI procurement:</w:t>
      </w:r>
    </w:p>
    <w:p w:rsidR="00000000" w:rsidDel="00000000" w:rsidP="00000000" w:rsidRDefault="00000000" w:rsidRPr="00000000" w14:paraId="0000002F">
      <w:pPr>
        <w:pStyle w:val="Heading5"/>
        <w:rPr/>
      </w:pPr>
      <w:bookmarkStart w:colFirst="0" w:colLast="0" w:name="_inxx2tdvstkd" w:id="16"/>
      <w:bookmarkEnd w:id="16"/>
      <w:r w:rsidDel="00000000" w:rsidR="00000000" w:rsidRPr="00000000">
        <w:rPr>
          <w:rtl w:val="0"/>
        </w:rPr>
        <w:t xml:space="preserve">Procurement Logic</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Primary Integration Choice (Claude Sonnet 4 / Opus 4):</w:t>
      </w:r>
      <w:r w:rsidDel="00000000" w:rsidR="00000000" w:rsidRPr="00000000">
        <w:rPr>
          <w:rtl w:val="0"/>
        </w:rPr>
        <w:t xml:space="preserve">  These models are the mandatory selection for complex algorithmic tasks and system integrations. Their 95.1% Pass@1 rate and zero syntax error profile establish them as the only models currently capable of "professional-grade" autonomous code generation.</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Secondary Use Cases (OpenAI GPT-4.1 / GPT-5):</w:t>
      </w:r>
      <w:r w:rsidDel="00000000" w:rsidR="00000000" w:rsidRPr="00000000">
        <w:rPr>
          <w:rtl w:val="0"/>
        </w:rPr>
        <w:t xml:space="preserve">  Given their parity in security remediation (~78-82%), these models are best utilized for  </w:t>
      </w:r>
      <w:r w:rsidDel="00000000" w:rsidR="00000000" w:rsidRPr="00000000">
        <w:rPr>
          <w:b w:val="1"/>
          <w:bCs w:val="1"/>
          <w:rtl w:val="0"/>
        </w:rPr>
        <w:t xml:space="preserve">parallel security validation</w:t>
      </w:r>
      <w:r w:rsidDel="00000000" w:rsidR="00000000" w:rsidRPr="00000000">
        <w:rPr>
          <w:rtl w:val="0"/>
        </w:rPr>
        <w:t xml:space="preserve">  and  </w:t>
      </w:r>
      <w:r w:rsidDel="00000000" w:rsidR="00000000" w:rsidRPr="00000000">
        <w:rPr>
          <w:b w:val="1"/>
          <w:bCs w:val="1"/>
          <w:rtl w:val="0"/>
        </w:rPr>
        <w:t xml:space="preserve">cross-model verification</w:t>
      </w:r>
      <w:r w:rsidDel="00000000" w:rsidR="00000000" w:rsidRPr="00000000">
        <w:rPr>
          <w:rtl w:val="0"/>
        </w:rPr>
        <w:t xml:space="preserve"> . They serve as an effective secondary "automated reviewer" to cross-check the logic produced by the primary Anthropic models.</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Risk Mitigation Protocols:</w:t>
      </w:r>
      <w:r w:rsidDel="00000000" w:rsidR="00000000" w:rsidRPr="00000000">
        <w:rPr>
          <w:rtl w:val="0"/>
        </w:rPr>
        <w:t xml:space="preserve">  Enterprises must mandate senior-level code review and integrated static analysis (e.g., Semgrep, Snyk). AI should be viewed as a high-velocity partner that requires the same—if not more—rigorous validation as a human junior developer.</w:t>
      </w:r>
    </w:p>
    <w:p w:rsidR="00000000" w:rsidDel="00000000" w:rsidP="00000000" w:rsidRDefault="00000000" w:rsidRPr="00000000" w14:paraId="00000033">
      <w:pPr>
        <w:pStyle w:val="Heading5"/>
        <w:rPr/>
      </w:pPr>
      <w:bookmarkStart w:colFirst="0" w:colLast="0" w:name="_kdo26d17zkyu" w:id="17"/>
      <w:bookmarkEnd w:id="17"/>
      <w:r w:rsidDel="00000000" w:rsidR="00000000" w:rsidRPr="00000000">
        <w:rPr>
          <w:rtl w:val="0"/>
        </w:rPr>
        <w:t xml:space="preserve">Final Summary</w:t>
      </w:r>
    </w:p>
    <w:p w:rsidR="00000000" w:rsidDel="00000000" w:rsidP="00000000" w:rsidRDefault="00000000" w:rsidRPr="00000000" w14:paraId="00000034">
      <w:pPr>
        <w:rPr/>
      </w:pPr>
      <w:r w:rsidDel="00000000" w:rsidR="00000000" w:rsidRPr="00000000">
        <w:rPr>
          <w:rtl w:val="0"/>
        </w:rPr>
        <w:t xml:space="preserve">The maturity of AI coding assistants has reached a critical inflection point. With  </w:t>
      </w:r>
      <w:r w:rsidDel="00000000" w:rsidR="00000000" w:rsidRPr="00000000">
        <w:rPr>
          <w:b w:val="1"/>
          <w:bCs w:val="1"/>
          <w:rtl w:val="0"/>
        </w:rPr>
        <w:t xml:space="preserve">Claude Sonnet 4’s 95.1% success rate</w:t>
      </w:r>
      <w:r w:rsidDel="00000000" w:rsidR="00000000" w:rsidRPr="00000000">
        <w:rPr>
          <w:rtl w:val="0"/>
        </w:rPr>
        <w:t xml:space="preserve">  serving as the new industry benchmark, the primary risk for organizations is no longer "if" they should use AI, but "which" model they select. The 20% performance advantage held by Anthropic represents a massive reduction in technical debt and developer friction.</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