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6"/>
          <w:szCs w:val="36"/>
        </w:rPr>
        <w:t xml:space="preserve">NotebookLM Request Plan</w:t>
      </w:r>
    </w:p>
    <w:p>
      <w:pPr>
        <w:spacing w:after="100"/>
        <w:jc w:val="center"/>
      </w:pPr>
      <w:r>
        <w:rPr>
          <w:b/>
          <w:bCs/>
          <w:i/>
          <w:iCs/>
          <w:color w:val="15803D"/>
          <w:sz w:val="26"/>
          <w:szCs w:val="26"/>
        </w:rPr>
        <w:t xml:space="preserve">Notebook 1 — Code Quality &amp; Technical Debt (CORE evidence)</w:t>
      </w:r>
    </w:p>
    <w:p>
      <w:pPr>
        <w:spacing w:after="100"/>
        <w:jc w:val="center"/>
      </w:pPr>
      <w:r>
        <w:rPr>
          <w:color w:val="475569"/>
          <w:sz w:val="22"/>
          <w:szCs w:val="22"/>
        </w:rPr>
        <w:t xml:space="preserve">77 papers · classes A1/A2/B · 2022–2026</w:t>
      </w:r>
    </w:p>
    <w:p>
      <w:pPr>
        <w:spacing w:after="360"/>
        <w:jc w:val="center"/>
      </w:pPr>
      <w:r>
        <w:rPr>
          <w:i/>
          <w:iCs/>
          <w:color w:val="666666"/>
          <w:sz w:val="22"/>
          <w:szCs w:val="22"/>
        </w:rPr>
        <w:t xml:space="preserve">AI-Assisted Programming in Software Engineering: A Systematic Literature Review</w:t>
      </w:r>
    </w:p>
    <w:p>
      <w:pPr>
        <w:pStyle w:val="Heading1"/>
        <w:spacing w:after="240" w:before="360"/>
      </w:pPr>
      <w:r>
        <w:rPr>
          <w:b/>
          <w:bCs/>
          <w:sz w:val="32"/>
          <w:szCs w:val="32"/>
        </w:rPr>
        <w:t xml:space="preserve">Purpose of this document</w:t>
      </w:r>
    </w:p>
    <w:p>
      <w:pPr>
        <w:spacing w:after="120" w:before="120" w:line="312"/>
        <w:jc w:val="both"/>
      </w:pPr>
      <w:r>
        <w:rPr>
          <w:sz w:val="22"/>
          <w:szCs w:val="22"/>
        </w:rPr>
        <w:t xml:space="preserve">This document captures, as a reproducible audit trail, the exact requests to be issued to Google NotebookLM for Notebook 1 (Code Quality &amp; Technical Debt — CORE evidence, n = 77). The requests are organised in phases that move from descriptive characterisation of the corpus, through extractive analysis of empirical findings, to synthesis artifacts (tables, mind maps, infographics, briefings) that feed directly into the Results section of the manuscript.</w:t>
      </w:r>
    </w:p>
    <w:p>
      <w:pPr>
        <w:spacing w:after="120" w:before="120" w:line="312"/>
        <w:jc w:val="both"/>
      </w:pPr>
      <w:r>
        <w:rPr>
          <w:sz w:val="22"/>
          <w:szCs w:val="22"/>
        </w:rPr>
        <w:t xml:space="preserve">Each request includes: (i) the exact prompt to paste into the NotebookLM chat, (ii) the expected output type (chat answer, structured note, mind map, etc.), (iii) the analytical purpose, and (iv) the manuscript location where the resulting material will be used. The list is sequential by design: later requests build on the artifacts produced by earlier ones.</w:t>
      </w:r>
    </w:p>
    <w:p>
      <w:pPr>
        <w:pStyle w:val="Heading2"/>
        <w:spacing w:after="180" w:before="280"/>
      </w:pPr>
      <w:r>
        <w:rPr>
          <w:b/>
          <w:bCs/>
          <w:sz w:val="26"/>
          <w:szCs w:val="26"/>
        </w:rPr>
        <w:t xml:space="preserve">Notes on how NotebookLM works (and how to use it well)</w:t>
      </w:r>
    </w:p>
    <w:p>
      <w:pPr>
        <w:spacing w:after="120" w:before="120" w:line="312"/>
        <w:jc w:val="both"/>
      </w:pPr>
      <w:r>
        <w:rPr>
          <w:sz w:val="22"/>
          <w:szCs w:val="22"/>
        </w:rPr>
        <w:t xml:space="preserve">Before issuing requests, three behavioural facts about NotebookLM are worth keeping in mind:</w:t>
      </w:r>
    </w:p>
    <w:p>
      <w:pPr>
        <w:pStyle w:val="ListParagraph"/>
        <w:numPr>
          <w:ilvl w:val="0"/>
          <w:numId w:val="2"/>
        </w:numPr>
        <w:spacing w:after="60" w:before="60"/>
      </w:pPr>
      <w:r>
        <w:rPr>
          <w:sz w:val="22"/>
          <w:szCs w:val="22"/>
        </w:rPr>
        <w:t xml:space="preserve">NotebookLM only answers from the sources uploaded to the notebook. It does not browse the web. Every claim should appear in the 77 papers, or it will refuse to answer or fabricate context.</w:t>
      </w:r>
    </w:p>
    <w:p>
      <w:pPr>
        <w:pStyle w:val="ListParagraph"/>
        <w:numPr>
          <w:ilvl w:val="0"/>
          <w:numId w:val="2"/>
        </w:numPr>
        <w:spacing w:after="60" w:before="60"/>
      </w:pPr>
      <w:r>
        <w:rPr>
          <w:sz w:val="22"/>
          <w:szCs w:val="22"/>
        </w:rPr>
        <w:t xml:space="preserve">NotebookLM produces inline source citations (small numbered badges) for every claim it makes. These are your audit trail — always verify a sample before trusting an answer.</w:t>
      </w:r>
    </w:p>
    <w:p>
      <w:pPr>
        <w:pStyle w:val="ListParagraph"/>
        <w:numPr>
          <w:ilvl w:val="0"/>
          <w:numId w:val="2"/>
        </w:numPr>
        <w:spacing w:after="60" w:before="60"/>
      </w:pPr>
      <w:r>
        <w:rPr>
          <w:sz w:val="22"/>
          <w:szCs w:val="22"/>
        </w:rPr>
        <w:t xml:space="preserve">Mind maps, briefing documents, study guides, FAQs, and timelines are pre-built output types accessible via the right-hand panel. They are good for navigation and initial framing, but the deepest extractions usually come from chat prompts.</w:t>
      </w:r>
    </w:p>
    <w:p>
      <w:pPr>
        <w:pStyle w:val="ListParagraph"/>
        <w:numPr>
          <w:ilvl w:val="0"/>
          <w:numId w:val="2"/>
        </w:numPr>
        <w:spacing w:after="60" w:before="60"/>
      </w:pPr>
      <w:r>
        <w:rPr>
          <w:sz w:val="22"/>
          <w:szCs w:val="22"/>
        </w:rPr>
        <w:t xml:space="preserve">For tabular outputs, ask explicitly for 'a table with columns X, Y, Z'. NotebookLM renders Markdown tables in chat and lets you save them as Notes inside the notebook.</w:t>
      </w:r>
    </w:p>
    <w:p>
      <w:pPr>
        <w:pStyle w:val="ListParagraph"/>
        <w:numPr>
          <w:ilvl w:val="0"/>
          <w:numId w:val="2"/>
        </w:numPr>
        <w:spacing w:after="60" w:before="60"/>
      </w:pPr>
      <w:r>
        <w:rPr>
          <w:sz w:val="22"/>
          <w:szCs w:val="22"/>
        </w:rPr>
        <w:t xml:space="preserve">If a prompt produces a vague or summarised answer, narrow it down: ask for specific paper IDs, specific numbers, or specific quotes. NotebookLM is more reliable on extractive queries than on synthesis queries.</w:t>
      </w:r>
    </w:p>
    <w:p>
      <w:r>
        <w:br w:type="page"/>
      </w:r>
    </w:p>
    <w:p>
      <w:pPr>
        <w:pStyle w:val="Heading1"/>
        <w:spacing w:after="240" w:before="360"/>
      </w:pPr>
      <w:r>
        <w:rPr>
          <w:b/>
          <w:bCs/>
          <w:sz w:val="32"/>
          <w:szCs w:val="32"/>
        </w:rPr>
        <w:t xml:space="preserve">Phase 0 — Pre-built artifacts (start here)</w:t>
      </w:r>
    </w:p>
    <w:p>
      <w:pPr>
        <w:spacing w:after="120" w:before="120" w:line="312"/>
        <w:jc w:val="both"/>
      </w:pPr>
      <w:r>
        <w:rPr>
          <w:sz w:val="22"/>
          <w:szCs w:val="22"/>
        </w:rPr>
        <w:t xml:space="preserve">Before issuing any chat prompt, generate the standard pre-built artifacts NotebookLM offers from the right-hand panel. These give you a structural overview of the corpus and serve as navigation aids while you run deeper queries later.</w:t>
      </w:r>
    </w:p>
    <w:p>
      <w:pPr>
        <w:pStyle w:val="Heading2"/>
        <w:spacing w:after="180" w:before="280"/>
      </w:pPr>
      <w:r>
        <w:rPr>
          <w:b/>
          <w:bCs/>
          <w:sz w:val="26"/>
          <w:szCs w:val="26"/>
        </w:rPr>
        <w:t xml:space="preserve">0.1 Briefing document</w:t>
      </w:r>
    </w:p>
    <w:p>
      <w:pPr>
        <w:spacing w:after="120" w:before="120" w:line="312"/>
        <w:jc w:val="both"/>
      </w:pPr>
      <w:r>
        <w:rPr>
          <w:sz w:val="22"/>
          <w:szCs w:val="22"/>
        </w:rPr>
        <w:t xml:space="preserve">Click 'Briefing doc' in the right-hand panel. Save the result as a Note inside the notebook with the title:</w:t>
      </w:r>
    </w:p>
    <w:p>
      <w:pPr>
        <w:shd w:fill="F1F5F9" w:val="clear"/>
        <w:spacing w:after="100" w:before="100" w:line="300"/>
        <w:ind w:left="360" w:right="360"/>
      </w:pPr>
      <w:r>
        <w:rPr>
          <w:rFonts w:ascii="Consolas" w:cs="Consolas" w:eastAsia="Consolas" w:hAnsi="Consolas"/>
          <w:sz w:val="21"/>
          <w:szCs w:val="21"/>
        </w:rPr>
        <w:t xml:space="preserve">NB1 — Briefing — Code Quality &amp; Technical Debt (CORE, n=77)</w:t>
      </w:r>
    </w:p>
    <w:p>
      <w:pPr>
        <w:spacing w:after="120" w:before="120" w:line="312"/>
        <w:jc w:val="both"/>
      </w:pPr>
      <w:r>
        <w:rPr>
          <w:sz w:val="22"/>
          <w:szCs w:val="22"/>
        </w:rPr>
        <w:t xml:space="preserve">Purpose: First-pass framing of what the 77 papers collectively argue. Useful for the opening paragraph of the CQTD subsection in Results.</w:t>
      </w:r>
    </w:p>
    <w:p>
      <w:pPr>
        <w:pStyle w:val="Heading2"/>
        <w:spacing w:after="180" w:before="280"/>
      </w:pPr>
      <w:r>
        <w:rPr>
          <w:b/>
          <w:bCs/>
          <w:sz w:val="26"/>
          <w:szCs w:val="26"/>
        </w:rPr>
        <w:t xml:space="preserve">0.2 Mind map</w:t>
      </w:r>
    </w:p>
    <w:p>
      <w:pPr>
        <w:spacing w:after="120" w:before="120" w:line="312"/>
        <w:jc w:val="both"/>
      </w:pPr>
      <w:r>
        <w:rPr>
          <w:sz w:val="22"/>
          <w:szCs w:val="22"/>
        </w:rPr>
        <w:t xml:space="preserve">Click 'Mind map' in the right-hand panel. Export the mind map as an image. Save it locally as:</w:t>
      </w:r>
    </w:p>
    <w:p>
      <w:pPr>
        <w:shd w:fill="F1F5F9" w:val="clear"/>
        <w:spacing w:after="100" w:before="100" w:line="300"/>
        <w:ind w:left="360" w:right="360"/>
      </w:pPr>
      <w:r>
        <w:rPr>
          <w:rFonts w:ascii="Consolas" w:cs="Consolas" w:eastAsia="Consolas" w:hAnsi="Consolas"/>
          <w:sz w:val="21"/>
          <w:szCs w:val="21"/>
        </w:rPr>
        <w:t xml:space="preserve">NB1_mindmap_CQTD_CORE.png</w:t>
      </w:r>
    </w:p>
    <w:p>
      <w:pPr>
        <w:spacing w:after="120" w:before="120" w:line="312"/>
        <w:jc w:val="both"/>
      </w:pPr>
      <w:r>
        <w:rPr>
          <w:sz w:val="22"/>
          <w:szCs w:val="22"/>
        </w:rPr>
        <w:t xml:space="preserve">Purpose: Visual structure of how the 77 papers cluster thematically. Useful for: (i) identifying sub-themes within CQTD that you may not have anticipated, and (ii) potential inclusion as a figure in the Discussion.</w:t>
      </w:r>
    </w:p>
    <w:p>
      <w:pPr>
        <w:pStyle w:val="Heading2"/>
        <w:spacing w:after="180" w:before="280"/>
      </w:pPr>
      <w:r>
        <w:rPr>
          <w:b/>
          <w:bCs/>
          <w:sz w:val="26"/>
          <w:szCs w:val="26"/>
        </w:rPr>
        <w:t xml:space="preserve">0.3 Study guide</w:t>
      </w:r>
    </w:p>
    <w:p>
      <w:pPr>
        <w:spacing w:after="120" w:before="120" w:line="312"/>
        <w:jc w:val="both"/>
      </w:pPr>
      <w:r>
        <w:rPr>
          <w:sz w:val="22"/>
          <w:szCs w:val="22"/>
        </w:rPr>
        <w:t xml:space="preserve">Click 'Study guide'. This generates a Q&amp;A-style document. Save it as a Note titled:</w:t>
      </w:r>
    </w:p>
    <w:p>
      <w:pPr>
        <w:shd w:fill="F1F5F9" w:val="clear"/>
        <w:spacing w:after="100" w:before="100" w:line="300"/>
        <w:ind w:left="360" w:right="360"/>
      </w:pPr>
      <w:r>
        <w:rPr>
          <w:rFonts w:ascii="Consolas" w:cs="Consolas" w:eastAsia="Consolas" w:hAnsi="Consolas"/>
          <w:sz w:val="21"/>
          <w:szCs w:val="21"/>
        </w:rPr>
        <w:t xml:space="preserve">NB1 — Study Guide — CQTD CORE</w:t>
      </w:r>
    </w:p>
    <w:p>
      <w:pPr>
        <w:spacing w:after="120" w:before="120" w:line="312"/>
        <w:jc w:val="both"/>
      </w:pPr>
      <w:r>
        <w:rPr>
          <w:sz w:val="22"/>
          <w:szCs w:val="22"/>
        </w:rPr>
        <w:t xml:space="preserve">Purpose: Highlights the key empirical questions and answers across the 77 papers. Useful for ensuring you don't miss a high-recall theme.</w:t>
      </w:r>
    </w:p>
    <w:p>
      <w:pPr>
        <w:pStyle w:val="Heading2"/>
        <w:spacing w:after="180" w:before="280"/>
      </w:pPr>
      <w:r>
        <w:rPr>
          <w:b/>
          <w:bCs/>
          <w:sz w:val="26"/>
          <w:szCs w:val="26"/>
        </w:rPr>
        <w:t xml:space="preserve">0.4 FAQ</w:t>
      </w:r>
    </w:p>
    <w:p>
      <w:pPr>
        <w:spacing w:after="120" w:before="120" w:line="312"/>
        <w:jc w:val="both"/>
      </w:pPr>
      <w:r>
        <w:rPr>
          <w:sz w:val="22"/>
          <w:szCs w:val="22"/>
        </w:rPr>
        <w:t xml:space="preserve">Click 'FAQ'. Save as a Note titled:</w:t>
      </w:r>
    </w:p>
    <w:p>
      <w:pPr>
        <w:shd w:fill="F1F5F9" w:val="clear"/>
        <w:spacing w:after="100" w:before="100" w:line="300"/>
        <w:ind w:left="360" w:right="360"/>
      </w:pPr>
      <w:r>
        <w:rPr>
          <w:rFonts w:ascii="Consolas" w:cs="Consolas" w:eastAsia="Consolas" w:hAnsi="Consolas"/>
          <w:sz w:val="21"/>
          <w:szCs w:val="21"/>
        </w:rPr>
        <w:t xml:space="preserve">NB1 — FAQ — CQTD CORE</w:t>
      </w:r>
    </w:p>
    <w:p>
      <w:pPr>
        <w:spacing w:after="120" w:before="120" w:line="312"/>
        <w:jc w:val="both"/>
      </w:pPr>
      <w:r>
        <w:rPr>
          <w:sz w:val="22"/>
          <w:szCs w:val="22"/>
        </w:rPr>
        <w:t xml:space="preserve">Purpose: Captures common questions readers may have about CQTD findings. Useful for anticipating reviewer questions.</w:t>
      </w:r>
    </w:p>
    <w:p>
      <w:pPr>
        <w:pStyle w:val="Heading2"/>
        <w:spacing w:after="180" w:before="280"/>
      </w:pPr>
      <w:r>
        <w:rPr>
          <w:b/>
          <w:bCs/>
          <w:sz w:val="26"/>
          <w:szCs w:val="26"/>
        </w:rPr>
        <w:t xml:space="preserve">0.5 Timeline</w:t>
      </w:r>
    </w:p>
    <w:p>
      <w:pPr>
        <w:spacing w:after="120" w:before="120" w:line="312"/>
        <w:jc w:val="both"/>
      </w:pPr>
      <w:r>
        <w:rPr>
          <w:sz w:val="22"/>
          <w:szCs w:val="22"/>
        </w:rPr>
        <w:t xml:space="preserve">Click 'Timeline' if available. Save as Note:</w:t>
      </w:r>
    </w:p>
    <w:p>
      <w:pPr>
        <w:shd w:fill="F1F5F9" w:val="clear"/>
        <w:spacing w:after="100" w:before="100" w:line="300"/>
        <w:ind w:left="360" w:right="360"/>
      </w:pPr>
      <w:r>
        <w:rPr>
          <w:rFonts w:ascii="Consolas" w:cs="Consolas" w:eastAsia="Consolas" w:hAnsi="Consolas"/>
          <w:sz w:val="21"/>
          <w:szCs w:val="21"/>
        </w:rPr>
        <w:t xml:space="preserve">NB1 — Timeline — CQTD CORE</w:t>
      </w:r>
    </w:p>
    <w:p>
      <w:pPr>
        <w:spacing w:after="120" w:before="120" w:line="312"/>
        <w:jc w:val="both"/>
      </w:pPr>
      <w:r>
        <w:rPr>
          <w:sz w:val="22"/>
          <w:szCs w:val="22"/>
        </w:rPr>
        <w:t xml:space="preserve">Purpose: Shows how the empirical conversation on CQTD has evolved from 2022 to 2026. Useful for the temporal arc in the Discussion.</w:t>
      </w:r>
    </w:p>
    <w:p>
      <w:r>
        <w:br w:type="page"/>
      </w:r>
    </w:p>
    <w:p>
      <w:pPr>
        <w:pStyle w:val="Heading1"/>
        <w:spacing w:after="240" w:before="360"/>
      </w:pPr>
      <w:r>
        <w:rPr>
          <w:b/>
          <w:bCs/>
          <w:sz w:val="32"/>
          <w:szCs w:val="32"/>
        </w:rPr>
        <w:t xml:space="preserve">Phase 1 — Descriptive characterisation of the 77 papers</w:t>
      </w:r>
    </w:p>
    <w:p>
      <w:pPr>
        <w:spacing w:after="120" w:before="120" w:line="312"/>
        <w:jc w:val="both"/>
      </w:pPr>
      <w:r>
        <w:rPr>
          <w:sz w:val="22"/>
          <w:szCs w:val="22"/>
        </w:rPr>
        <w:t xml:space="preserve">These requests produce descriptive material that anchors the opening of Section 3.3 (Code Quality and Technical Debt) in the Results. Issue each as a chat prompt; save responses as Notes with the indicated titles.</w:t>
      </w:r>
    </w:p>
    <w:p>
      <w:pPr>
        <w:pStyle w:val="Heading2"/>
        <w:spacing w:after="180" w:before="280"/>
      </w:pPr>
      <w:r>
        <w:rPr>
          <w:b/>
          <w:bCs/>
          <w:sz w:val="26"/>
          <w:szCs w:val="26"/>
        </w:rPr>
        <w:t xml:space="preserve">Request 1.1 — Corpus characterisation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Generate a comprehensive characterisation of the 77 papers uploaded to this notebook. Provide a structured summary covering: (1) distribution by year of publication, (2) distribution by methodology type (controlled experiment, observational study, mining study, case study, survey, quasi-experiment, other), (3) the AI tools or LLMs evaluated across the corpus, (4) the programming languages or technical contexts studied, and (5) the geographic and industry distribution of the studies. Provide source citations for every claim. Format as a structured report with headings.</w:t>
      </w:r>
    </w:p>
    <w:p>
      <w:pPr>
        <w:spacing w:after="120" w:before="120" w:line="312"/>
        <w:jc w:val="both"/>
      </w:pPr>
      <w:r>
        <w:rPr>
          <w:sz w:val="22"/>
          <w:szCs w:val="22"/>
        </w:rPr>
        <w:t xml:space="preserve">Save as Note: NB1 — 1.1 Corpus Characterisation.</w:t>
      </w:r>
    </w:p>
    <w:p>
      <w:pPr>
        <w:spacing w:after="120" w:before="120" w:line="312"/>
        <w:jc w:val="both"/>
      </w:pPr>
      <w:r>
        <w:rPr>
          <w:i/>
          <w:iCs/>
          <w:sz w:val="22"/>
          <w:szCs w:val="22"/>
        </w:rPr>
        <w:t xml:space="preserve">Manuscript use: Opening paragraph of Section 3.3 (Code Quality and Technical Debt).</w:t>
      </w:r>
    </w:p>
    <w:p>
      <w:pPr>
        <w:pStyle w:val="Heading2"/>
        <w:spacing w:after="180" w:before="280"/>
      </w:pPr>
      <w:r>
        <w:rPr>
          <w:b/>
          <w:bCs/>
          <w:sz w:val="26"/>
          <w:szCs w:val="26"/>
        </w:rPr>
        <w:t xml:space="preserve">Request 1.2 — Methodology distribution table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Build a table with the following columns: Paper bibkey, Year, Methodology type, Sample size or scale, AI tool(s) evaluated, Primary outcome measured. Fill the table for ALL 77 papers in this notebook. If a field is not reported in a paper, write 'not reported'. Do not skip any paper. Format as a Markdown table.</w:t>
      </w:r>
    </w:p>
    <w:p>
      <w:pPr>
        <w:spacing w:after="120" w:before="120" w:line="312"/>
        <w:jc w:val="both"/>
      </w:pPr>
      <w:r>
        <w:rPr>
          <w:sz w:val="22"/>
          <w:szCs w:val="22"/>
        </w:rPr>
        <w:t xml:space="preserve">Save as Note: NB1 — 1.2 Methodology Distribution Table.</w:t>
      </w:r>
    </w:p>
    <w:p>
      <w:pPr>
        <w:spacing w:after="120" w:before="120" w:line="312"/>
        <w:jc w:val="both"/>
      </w:pPr>
      <w:r>
        <w:rPr>
          <w:i/>
          <w:iCs/>
          <w:sz w:val="22"/>
          <w:szCs w:val="22"/>
        </w:rPr>
        <w:t xml:space="preserve">Manuscript use: Supplementary Table for the Corpus Profile section; raw material for the methodology figure.</w:t>
      </w:r>
    </w:p>
    <w:p>
      <w:pPr>
        <w:pStyle w:val="Heading2"/>
        <w:spacing w:after="180" w:before="280"/>
      </w:pPr>
      <w:r>
        <w:rPr>
          <w:b/>
          <w:bCs/>
          <w:sz w:val="26"/>
          <w:szCs w:val="26"/>
        </w:rPr>
        <w:t xml:space="preserve">Request 1.3 — Tools and models evaluated</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List every AI tool, model, or system evaluated across the 77 papers. For each tool, report: (1) how many papers evaluate it, (2) the bibkeys of those papers, and (3) the type of evaluation performed (e.g., code-quality assessment, defect-rate study, security scan). Order the list from most-evaluated to least-evaluated tool.</w:t>
      </w:r>
    </w:p>
    <w:p>
      <w:pPr>
        <w:spacing w:after="120" w:before="120" w:line="312"/>
        <w:jc w:val="both"/>
      </w:pPr>
      <w:r>
        <w:rPr>
          <w:sz w:val="22"/>
          <w:szCs w:val="22"/>
        </w:rPr>
        <w:t xml:space="preserve">Save as Note: NB1 — 1.3 Tools Inventory.</w:t>
      </w:r>
    </w:p>
    <w:p>
      <w:pPr>
        <w:spacing w:after="120" w:before="120" w:line="312"/>
        <w:jc w:val="both"/>
      </w:pPr>
      <w:r>
        <w:rPr>
          <w:i/>
          <w:iCs/>
          <w:sz w:val="22"/>
          <w:szCs w:val="22"/>
        </w:rPr>
        <w:t xml:space="preserve">Manuscript use: Demonstrates breadth of coverage in the Threats to Validity section and supports tool-agnostic framing.</w:t>
      </w:r>
    </w:p>
    <w:p>
      <w:r>
        <w:br w:type="page"/>
      </w:r>
    </w:p>
    <w:p>
      <w:pPr>
        <w:pStyle w:val="Heading1"/>
        <w:spacing w:after="240" w:before="360"/>
      </w:pPr>
      <w:r>
        <w:rPr>
          <w:b/>
          <w:bCs/>
          <w:sz w:val="32"/>
          <w:szCs w:val="32"/>
        </w:rPr>
        <w:t xml:space="preserve">Phase 2 — Extractive evidence on code quality and technical debt</w:t>
      </w:r>
    </w:p>
    <w:p>
      <w:pPr>
        <w:spacing w:after="120" w:before="120" w:line="312"/>
        <w:jc w:val="both"/>
      </w:pPr>
      <w:r>
        <w:rPr>
          <w:sz w:val="22"/>
          <w:szCs w:val="22"/>
        </w:rPr>
        <w:t xml:space="preserve">These requests extract the empirical numbers and qualitative findings that feed Section 3.3 of Results. They are the most critical phase: every percentage, range, or claim in your manuscript should be traceable to one of these extractions.</w:t>
      </w:r>
    </w:p>
    <w:p>
      <w:pPr>
        <w:pStyle w:val="Heading2"/>
        <w:spacing w:after="180" w:before="280"/>
      </w:pPr>
      <w:r>
        <w:rPr>
          <w:b/>
          <w:bCs/>
          <w:sz w:val="26"/>
          <w:szCs w:val="26"/>
        </w:rPr>
        <w:t xml:space="preserve">Request 2.1 — Quantitative defect / vulnerability rates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Extract every reported quantitative figure on the rate of defects, errors, or bugs in AI-generated code. For each figure, report: (1) the paper bibkey, (2) the exact percentage or range, (3) the model or tool evaluated, (4) the benchmark or dataset used, (5) the unit of measurement (e.g., percentage of generated programs, bugs per LOC, compilation failures). Format as a table. If multiple figures appear in a single paper, list each on its own row.</w:t>
      </w:r>
    </w:p>
    <w:p>
      <w:pPr>
        <w:spacing w:after="120" w:before="120" w:line="312"/>
        <w:jc w:val="both"/>
      </w:pPr>
      <w:r>
        <w:rPr>
          <w:sz w:val="22"/>
          <w:szCs w:val="22"/>
        </w:rPr>
        <w:t xml:space="preserve">Save as Note: NB1 — 2.1 Defect Rates Extraction.</w:t>
      </w:r>
    </w:p>
    <w:p>
      <w:pPr>
        <w:spacing w:after="120" w:before="120" w:line="312"/>
        <w:jc w:val="both"/>
      </w:pPr>
      <w:r>
        <w:rPr>
          <w:i/>
          <w:iCs/>
          <w:sz w:val="22"/>
          <w:szCs w:val="22"/>
        </w:rPr>
        <w:t xml:space="preserve">Manuscript use: Section 3.3, paragraphs on incorrect outputs and reliability concerns. Replaces the current '34–44% correct but vulnerable' claim with traceable evidence anchored in the new n=312 corpus.</w:t>
      </w:r>
    </w:p>
    <w:p>
      <w:pPr>
        <w:pStyle w:val="Heading2"/>
        <w:spacing w:after="180" w:before="280"/>
      </w:pPr>
      <w:r>
        <w:rPr>
          <w:b/>
          <w:bCs/>
          <w:sz w:val="26"/>
          <w:szCs w:val="26"/>
        </w:rPr>
        <w:t xml:space="preserve">Request 2.2 — Security vulnerabilities in AI-generated code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Extract every reported finding on security vulnerabilities in AI-generated code. For each finding, report: (1) paper bibkey, (2) the CWE or vulnerability type, (3) the rate or frequency reported, (4) the AI tool evaluated, and (5) whether the study used static analysis, dynamic analysis, or manual review. Format as a structured table.</w:t>
      </w:r>
    </w:p>
    <w:p>
      <w:pPr>
        <w:spacing w:after="120" w:before="120" w:line="312"/>
        <w:jc w:val="both"/>
      </w:pPr>
      <w:r>
        <w:rPr>
          <w:sz w:val="22"/>
          <w:szCs w:val="22"/>
        </w:rPr>
        <w:t xml:space="preserve">Save as Note: NB1 — 2.2 Security Vulnerabilities Extraction.</w:t>
      </w:r>
    </w:p>
    <w:p>
      <w:pPr>
        <w:spacing w:after="120" w:before="120" w:line="312"/>
        <w:jc w:val="both"/>
      </w:pPr>
      <w:r>
        <w:rPr>
          <w:i/>
          <w:iCs/>
          <w:sz w:val="22"/>
          <w:szCs w:val="22"/>
        </w:rPr>
        <w:t xml:space="preserve">Manuscript use: Section 3.3 paragraphs on security risks. Anchors the CWE-78/CWE-89/CWE-259 claims and the comparative analysis vs. human-written code.</w:t>
      </w:r>
    </w:p>
    <w:p>
      <w:pPr>
        <w:pStyle w:val="Heading2"/>
        <w:spacing w:after="180" w:before="280"/>
      </w:pPr>
      <w:r>
        <w:rPr>
          <w:b/>
          <w:bCs/>
          <w:sz w:val="26"/>
          <w:szCs w:val="26"/>
        </w:rPr>
        <w:t xml:space="preserve">Request 2.3 — Maintainability and code smells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Extract every reported finding on maintainability, code smells, technical debt, or long-term code quality in AI-generated code. For each finding, report: (1) paper bibkey, (2) the specific maintainability metric (cyclomatic complexity, code smells, duplication, etc.), (3) the rate or comparison reported, and (4) the comparison baseline if any (human-written code, prior AI generation, etc.).</w:t>
      </w:r>
    </w:p>
    <w:p>
      <w:pPr>
        <w:spacing w:after="120" w:before="120" w:line="312"/>
        <w:jc w:val="both"/>
      </w:pPr>
      <w:r>
        <w:rPr>
          <w:sz w:val="22"/>
          <w:szCs w:val="22"/>
        </w:rPr>
        <w:t xml:space="preserve">Save as Note: NB1 — 2.3 Maintainability Extraction.</w:t>
      </w:r>
    </w:p>
    <w:p>
      <w:pPr>
        <w:spacing w:after="120" w:before="120" w:line="312"/>
        <w:jc w:val="both"/>
      </w:pPr>
      <w:r>
        <w:rPr>
          <w:i/>
          <w:iCs/>
          <w:sz w:val="22"/>
          <w:szCs w:val="22"/>
        </w:rPr>
        <w:t xml:space="preserve">Manuscript use: Section 3.3 paragraphs on technical debt accumulation and the structural tension between speed and reliability.</w:t>
      </w:r>
    </w:p>
    <w:p>
      <w:pPr>
        <w:pStyle w:val="Heading2"/>
        <w:spacing w:after="180" w:before="280"/>
      </w:pPr>
      <w:r>
        <w:rPr>
          <w:b/>
          <w:bCs/>
          <w:sz w:val="26"/>
          <w:szCs w:val="26"/>
        </w:rPr>
        <w:t xml:space="preserve">Request 2.4 — AI-generated vs. human-written code comparisons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Identify every paper that directly compares AI-generated code against human-written code. For each, extract: (1) paper bibkey, (2) the comparison dimensions (defects, vulnerabilities, complexity, performance, readability, maintainability), (3) the direction and magnitude of the difference reported, and (4) any statistical significance reported. Format as a table.</w:t>
      </w:r>
    </w:p>
    <w:p>
      <w:pPr>
        <w:spacing w:after="120" w:before="120" w:line="312"/>
        <w:jc w:val="both"/>
      </w:pPr>
      <w:r>
        <w:rPr>
          <w:sz w:val="22"/>
          <w:szCs w:val="22"/>
        </w:rPr>
        <w:t xml:space="preserve">Save as Note: NB1 — 2.4 Human-vs-AI Comparisons.</w:t>
      </w:r>
    </w:p>
    <w:p>
      <w:pPr>
        <w:spacing w:after="120" w:before="120" w:line="312"/>
        <w:jc w:val="both"/>
      </w:pPr>
      <w:r>
        <w:rPr>
          <w:i/>
          <w:iCs/>
          <w:sz w:val="22"/>
          <w:szCs w:val="22"/>
        </w:rPr>
        <w:t xml:space="preserve">Manuscript use: Critical for the central productivity-paradox argument in the Discussion. These comparisons are the strongest evidence for the equilibrium framing.</w:t>
      </w:r>
    </w:p>
    <w:p>
      <w:pPr>
        <w:pStyle w:val="Heading2"/>
        <w:spacing w:after="180" w:before="280"/>
      </w:pPr>
      <w:r>
        <w:rPr>
          <w:b/>
          <w:bCs/>
          <w:sz w:val="26"/>
          <w:szCs w:val="26"/>
        </w:rPr>
        <w:t xml:space="preserve">Request 2.5 — Multi-turn interaction effects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Find every paper that studies how code quality changes across multi-turn or iterative interactions between a developer and an AI tool. For each, report: (1) paper bibkey, (2) the experimental setup, (3) whether quality improves, degrades, or stays the same over iterations, and (4) any quantitative findings on error propagation.</w:t>
      </w:r>
    </w:p>
    <w:p>
      <w:pPr>
        <w:spacing w:after="120" w:before="120" w:line="312"/>
        <w:jc w:val="both"/>
      </w:pPr>
      <w:r>
        <w:rPr>
          <w:sz w:val="22"/>
          <w:szCs w:val="22"/>
        </w:rPr>
        <w:t xml:space="preserve">Save as Note: NB1 — 2.5 Multi-turn Interaction Effects.</w:t>
      </w:r>
    </w:p>
    <w:p>
      <w:pPr>
        <w:spacing w:after="120" w:before="120" w:line="312"/>
        <w:jc w:val="both"/>
      </w:pPr>
      <w:r>
        <w:rPr>
          <w:i/>
          <w:iCs/>
          <w:sz w:val="22"/>
          <w:szCs w:val="22"/>
        </w:rPr>
        <w:t xml:space="preserve">Manuscript use: Section 3.3 paragraph on persistent errors and zhong_developer-llm_2025 anchor.</w:t>
      </w:r>
    </w:p>
    <w:p>
      <w:pPr>
        <w:pStyle w:val="Heading2"/>
        <w:spacing w:after="180" w:before="280"/>
      </w:pPr>
      <w:r>
        <w:rPr>
          <w:b/>
          <w:bCs/>
          <w:sz w:val="26"/>
          <w:szCs w:val="26"/>
        </w:rPr>
        <w:t xml:space="preserve">Request 2.6 — Almost-correct code and modification effort</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Find every paper that quantifies the effort required to modify, correct, or integrate AI-generated code. Report: (1) paper bibkey, (2) the percentage of AI-generated code that required modification, (3) any time-savings or time-costs reported for correction vs. writing from scratch, and (4) the experimental context.</w:t>
      </w:r>
    </w:p>
    <w:p>
      <w:pPr>
        <w:spacing w:after="120" w:before="120" w:line="312"/>
        <w:jc w:val="both"/>
      </w:pPr>
      <w:r>
        <w:rPr>
          <w:sz w:val="22"/>
          <w:szCs w:val="22"/>
        </w:rPr>
        <w:t xml:space="preserve">Save as Note: NB1 — 2.6 Modification Effort Extraction.</w:t>
      </w:r>
    </w:p>
    <w:p>
      <w:pPr>
        <w:spacing w:after="120" w:before="120" w:line="312"/>
        <w:jc w:val="both"/>
      </w:pPr>
      <w:r>
        <w:rPr>
          <w:i/>
          <w:iCs/>
          <w:sz w:val="22"/>
          <w:szCs w:val="22"/>
        </w:rPr>
        <w:t xml:space="preserve">Manuscript use: Section 3.3 paragraph on rework rates and the verification-overhead argument.</w:t>
      </w:r>
    </w:p>
    <w:p>
      <w:r>
        <w:br w:type="page"/>
      </w:r>
    </w:p>
    <w:p>
      <w:pPr>
        <w:pStyle w:val="Heading1"/>
        <w:spacing w:after="240" w:before="360"/>
      </w:pPr>
      <w:r>
        <w:rPr>
          <w:b/>
          <w:bCs/>
          <w:sz w:val="32"/>
          <w:szCs w:val="32"/>
        </w:rPr>
        <w:t xml:space="preserve">Phase 3 — Thematic synthesis (sub-clusters within CQTD)</w:t>
      </w:r>
    </w:p>
    <w:p>
      <w:pPr>
        <w:spacing w:after="120" w:before="120" w:line="312"/>
        <w:jc w:val="both"/>
      </w:pPr>
      <w:r>
        <w:rPr>
          <w:sz w:val="22"/>
          <w:szCs w:val="22"/>
        </w:rPr>
        <w:t xml:space="preserve">These requests identify finer-grained thematic structure within the 77 papers, helping you decide whether the CQTD subsection in Results should be broken into thematic sub-paragraphs.</w:t>
      </w:r>
    </w:p>
    <w:p>
      <w:pPr>
        <w:pStyle w:val="Heading2"/>
        <w:spacing w:after="180" w:before="280"/>
      </w:pPr>
      <w:r>
        <w:rPr>
          <w:b/>
          <w:bCs/>
          <w:sz w:val="26"/>
          <w:szCs w:val="26"/>
        </w:rPr>
        <w:t xml:space="preserve">Request 3.1 — Thematic clusters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Cluster the 77 papers into thematic groups based on the specific aspect of code quality or technical debt they study. For each cluster, provide: (1) the cluster label, (2) the bibkeys of papers in it, (3) a 2-3 sentence summary of the cluster's core finding. Suggested clusters might include: 'functional correctness', 'security', 'maintainability', 'code style', 'multi-turn effects', and 'comparative vs. human'. Use your own clustering if it produces better separation.</w:t>
      </w:r>
    </w:p>
    <w:p>
      <w:pPr>
        <w:spacing w:after="120" w:before="120" w:line="312"/>
        <w:jc w:val="both"/>
      </w:pPr>
      <w:r>
        <w:rPr>
          <w:sz w:val="22"/>
          <w:szCs w:val="22"/>
        </w:rPr>
        <w:t xml:space="preserve">Save as Note: NB1 — 3.1 Thematic Clusters.</w:t>
      </w:r>
    </w:p>
    <w:p>
      <w:pPr>
        <w:spacing w:after="120" w:before="120" w:line="312"/>
        <w:jc w:val="both"/>
      </w:pPr>
      <w:r>
        <w:rPr>
          <w:i/>
          <w:iCs/>
          <w:sz w:val="22"/>
          <w:szCs w:val="22"/>
        </w:rPr>
        <w:t xml:space="preserve">Manuscript use: Decides the internal paragraph structure of Section 3.3.</w:t>
      </w:r>
    </w:p>
    <w:p>
      <w:pPr>
        <w:pStyle w:val="Heading2"/>
        <w:spacing w:after="180" w:before="280"/>
      </w:pPr>
      <w:r>
        <w:rPr>
          <w:b/>
          <w:bCs/>
          <w:sz w:val="26"/>
          <w:szCs w:val="26"/>
        </w:rPr>
        <w:t xml:space="preserve">Request 3.2 — Convergent vs. contradictory findings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Identify the points on which the 77 papers most strongly converge (consistent findings across multiple studies) and the points on which they contradict each other. For each convergence or contradiction, list: (1) the claim, (2) the supporting bibkeys, (3) any moderating variables that explain the contradiction (e.g., model version, task type, experience level of developers).</w:t>
      </w:r>
    </w:p>
    <w:p>
      <w:pPr>
        <w:spacing w:after="120" w:before="120" w:line="312"/>
        <w:jc w:val="both"/>
      </w:pPr>
      <w:r>
        <w:rPr>
          <w:sz w:val="22"/>
          <w:szCs w:val="22"/>
        </w:rPr>
        <w:t xml:space="preserve">Save as Note: NB1 — 3.2 Convergence vs Contradiction.</w:t>
      </w:r>
    </w:p>
    <w:p>
      <w:pPr>
        <w:spacing w:after="120" w:before="120" w:line="312"/>
        <w:jc w:val="both"/>
      </w:pPr>
      <w:r>
        <w:rPr>
          <w:i/>
          <w:iCs/>
          <w:sz w:val="22"/>
          <w:szCs w:val="22"/>
        </w:rPr>
        <w:t xml:space="preserve">Manuscript use: Critical for the Discussion. Convergence points become anchored claims; contradictions feed the conditional-utility framing.</w:t>
      </w:r>
    </w:p>
    <w:p>
      <w:pPr>
        <w:pStyle w:val="Heading2"/>
        <w:spacing w:after="180" w:before="280"/>
      </w:pPr>
      <w:r>
        <w:rPr>
          <w:b/>
          <w:bCs/>
          <w:sz w:val="26"/>
          <w:szCs w:val="26"/>
        </w:rPr>
        <w:t xml:space="preserve">Request 3.3 — Edge cases and counter-evidence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Find every paper among the 77 that reports findings contrary to the dominant narrative that AI assistance increases productivity at the cost of code quality. List the bibkeys and summarise the counter-finding in 2-3 sentences each.</w:t>
      </w:r>
    </w:p>
    <w:p>
      <w:pPr>
        <w:spacing w:after="120" w:before="120" w:line="312"/>
        <w:jc w:val="both"/>
      </w:pPr>
      <w:r>
        <w:rPr>
          <w:sz w:val="22"/>
          <w:szCs w:val="22"/>
        </w:rPr>
        <w:t xml:space="preserve">Save as Note: NB1 — 3.3 Counter-Evidence.</w:t>
      </w:r>
    </w:p>
    <w:p>
      <w:pPr>
        <w:spacing w:after="120" w:before="120" w:line="312"/>
        <w:jc w:val="both"/>
      </w:pPr>
      <w:r>
        <w:rPr>
          <w:i/>
          <w:iCs/>
          <w:sz w:val="22"/>
          <w:szCs w:val="22"/>
        </w:rPr>
        <w:t xml:space="preserve">Manuscript use: Strengthens the Threats to Validity and the nuanced framing in Discussion. Anti-narrative evidence makes the SLR look more rigorous.</w:t>
      </w:r>
    </w:p>
    <w:p>
      <w:r>
        <w:br w:type="page"/>
      </w:r>
    </w:p>
    <w:p>
      <w:pPr>
        <w:pStyle w:val="Heading1"/>
        <w:spacing w:after="240" w:before="360"/>
      </w:pPr>
      <w:r>
        <w:rPr>
          <w:b/>
          <w:bCs/>
          <w:sz w:val="32"/>
          <w:szCs w:val="32"/>
        </w:rPr>
        <w:t xml:space="preserve">Phase 4 — Visual artifacts and infographics</w:t>
      </w:r>
    </w:p>
    <w:p>
      <w:pPr>
        <w:spacing w:after="120" w:before="120" w:line="312"/>
        <w:jc w:val="both"/>
      </w:pPr>
      <w:r>
        <w:rPr>
          <w:sz w:val="22"/>
          <w:szCs w:val="22"/>
        </w:rPr>
        <w:t xml:space="preserve">NotebookLM can build infographics summarising notebook contents. These are useful for the manuscript figures and for slide-deck material.</w:t>
      </w:r>
    </w:p>
    <w:p>
      <w:pPr>
        <w:pStyle w:val="Heading2"/>
        <w:spacing w:after="180" w:before="280"/>
      </w:pPr>
      <w:r>
        <w:rPr>
          <w:b/>
          <w:bCs/>
          <w:sz w:val="26"/>
          <w:szCs w:val="26"/>
        </w:rPr>
        <w:t xml:space="preserve">Request 4.1 — Infographic on CQTD findings</w:t>
      </w:r>
    </w:p>
    <w:p>
      <w:pPr>
        <w:spacing w:after="120" w:before="120" w:line="312"/>
        <w:jc w:val="both"/>
      </w:pPr>
      <w:r>
        <w:rPr>
          <w:sz w:val="22"/>
          <w:szCs w:val="22"/>
        </w:rPr>
        <w:t xml:space="preserve">Use the 'Infographic' feature in the right-hand panel. After NotebookLM generates the infographic, refine it with this chat prompt:</w:t>
      </w:r>
    </w:p>
    <w:p>
      <w:pPr>
        <w:shd w:fill="F1F5F9" w:val="clear"/>
        <w:spacing w:after="100" w:before="100" w:line="300"/>
        <w:ind w:left="360" w:right="360"/>
      </w:pPr>
      <w:r>
        <w:rPr>
          <w:rFonts w:ascii="Consolas" w:cs="Consolas" w:eastAsia="Consolas" w:hAnsi="Consolas"/>
          <w:sz w:val="21"/>
          <w:szCs w:val="21"/>
        </w:rPr>
        <w:t xml:space="preserve">Build an infographic summarising the key findings on code quality and technical debt in AI-assisted programming. Include: (1) headline statistics on defect rates, (2) the most frequent security vulnerability types, (3) the consistent direction of human-vs-AI comparisons, and (4) the main moderating variables. Use icons and visual hierarchy. Avoid generic stock-image symbolism; prefer technical iconography.</w:t>
      </w:r>
    </w:p>
    <w:p>
      <w:pPr>
        <w:spacing w:after="120" w:before="120" w:line="312"/>
        <w:jc w:val="both"/>
      </w:pPr>
      <w:r>
        <w:rPr>
          <w:sz w:val="22"/>
          <w:szCs w:val="22"/>
        </w:rPr>
        <w:t xml:space="preserve">Export the infographic as PNG. Save as: NB1_infographic_CQTD.png.</w:t>
      </w:r>
    </w:p>
    <w:p>
      <w:pPr>
        <w:spacing w:after="120" w:before="120" w:line="312"/>
        <w:jc w:val="both"/>
      </w:pPr>
      <w:r>
        <w:rPr>
          <w:i/>
          <w:iCs/>
          <w:sz w:val="22"/>
          <w:szCs w:val="22"/>
        </w:rPr>
        <w:t xml:space="preserve">Manuscript use: Figure candidate for Section 3.3 or for the Discussion socio-technical blueprint figure.</w:t>
      </w:r>
    </w:p>
    <w:p>
      <w:pPr>
        <w:pStyle w:val="Heading2"/>
        <w:spacing w:after="180" w:before="280"/>
      </w:pPr>
      <w:r>
        <w:rPr>
          <w:b/>
          <w:bCs/>
          <w:sz w:val="26"/>
          <w:szCs w:val="26"/>
        </w:rPr>
        <w:t xml:space="preserve">Request 4.2 — Timeline of CQTD findings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Build a chronological timeline showing how the empirical conversation on code quality and technical debt has evolved from 2022 to 2026. For each year, identify the dominant themes, the key tools studied, and any notable shifts in findings. Highlight any inflection points where the field's understanding changed.</w:t>
      </w:r>
    </w:p>
    <w:p>
      <w:pPr>
        <w:spacing w:after="120" w:before="120" w:line="312"/>
        <w:jc w:val="both"/>
      </w:pPr>
      <w:r>
        <w:rPr>
          <w:sz w:val="22"/>
          <w:szCs w:val="22"/>
        </w:rPr>
        <w:t xml:space="preserve">Save as Note: NB1 — 4.2 Temporal Evolution of CQTD.</w:t>
      </w:r>
    </w:p>
    <w:p>
      <w:pPr>
        <w:spacing w:after="120" w:before="120" w:line="312"/>
        <w:jc w:val="both"/>
      </w:pPr>
      <w:r>
        <w:rPr>
          <w:i/>
          <w:iCs/>
          <w:sz w:val="22"/>
          <w:szCs w:val="22"/>
        </w:rPr>
        <w:t xml:space="preserve">Manuscript use: Discussion paragraph on the maturation of the field. Optional figure.</w:t>
      </w:r>
    </w:p>
    <w:p>
      <w:pPr>
        <w:pStyle w:val="Heading2"/>
        <w:spacing w:after="180" w:before="280"/>
      </w:pPr>
      <w:r>
        <w:rPr>
          <w:b/>
          <w:bCs/>
          <w:sz w:val="26"/>
          <w:szCs w:val="26"/>
        </w:rPr>
        <w:t xml:space="preserve">Request 4.3 — Quote bank for the manuscript</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Extract 10-15 short, impactful direct quotes from the 77 papers that crystallise the key empirical findings on code quality and technical debt. For each quote, report: (1) paper bibkey, (2) the exact quote in quotation marks, (3) the page or section. Each quote should be under 25 words.</w:t>
      </w:r>
    </w:p>
    <w:p>
      <w:pPr>
        <w:spacing w:after="120" w:before="120" w:line="312"/>
        <w:jc w:val="both"/>
      </w:pPr>
      <w:r>
        <w:rPr>
          <w:sz w:val="22"/>
          <w:szCs w:val="22"/>
        </w:rPr>
        <w:t xml:space="preserve">Save as Note: NB1 — 4.3 Quote Bank CQTD.</w:t>
      </w:r>
    </w:p>
    <w:p>
      <w:pPr>
        <w:spacing w:after="120" w:before="120" w:line="312"/>
        <w:jc w:val="both"/>
      </w:pPr>
      <w:r>
        <w:rPr>
          <w:i/>
          <w:iCs/>
          <w:sz w:val="22"/>
          <w:szCs w:val="22"/>
        </w:rPr>
        <w:t xml:space="preserve">Manuscript use: Use selectively to strengthen the Discussion. Be careful with quote length and copyright in the final manuscript.</w:t>
      </w:r>
    </w:p>
    <w:p>
      <w:r>
        <w:br w:type="page"/>
      </w:r>
    </w:p>
    <w:p>
      <w:pPr>
        <w:pStyle w:val="Heading1"/>
        <w:spacing w:after="240" w:before="360"/>
      </w:pPr>
      <w:r>
        <w:rPr>
          <w:b/>
          <w:bCs/>
          <w:sz w:val="32"/>
          <w:szCs w:val="32"/>
        </w:rPr>
        <w:t xml:space="preserve">Phase 5 — Methodological audit (for Threats to Validity)</w:t>
      </w:r>
    </w:p>
    <w:p>
      <w:pPr>
        <w:spacing w:after="120" w:before="120" w:line="312"/>
        <w:jc w:val="both"/>
      </w:pPr>
      <w:r>
        <w:rPr>
          <w:sz w:val="22"/>
          <w:szCs w:val="22"/>
        </w:rPr>
        <w:t xml:space="preserve">These requests probe the methodological strengths and limitations of the 77-paper subset, generating material for the Threats to Validity section.</w:t>
      </w:r>
    </w:p>
    <w:p>
      <w:pPr>
        <w:pStyle w:val="Heading2"/>
        <w:spacing w:after="180" w:before="280"/>
      </w:pPr>
      <w:r>
        <w:rPr>
          <w:b/>
          <w:bCs/>
          <w:sz w:val="26"/>
          <w:szCs w:val="26"/>
        </w:rPr>
        <w:t xml:space="preserve">Request 5.1 — Methodological rigor distribution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Across the 77 papers, characterise the methodological rigor of the evidence base. Address: (1) how many papers use formal controlled experiments versus observational designs, (2) the typical sample sizes (number of developers, number of code samples, number of repositories), (3) whether and how studies report statistical significance, and (4) the proportion of peer-reviewed venues versus preprints. Provide bibkeys for each category.</w:t>
      </w:r>
    </w:p>
    <w:p>
      <w:pPr>
        <w:spacing w:after="120" w:before="120" w:line="312"/>
        <w:jc w:val="both"/>
      </w:pPr>
      <w:r>
        <w:rPr>
          <w:sz w:val="22"/>
          <w:szCs w:val="22"/>
        </w:rPr>
        <w:t xml:space="preserve">Save as Note: NB1 — 5.1 Methodological Rigor.</w:t>
      </w:r>
    </w:p>
    <w:p>
      <w:pPr>
        <w:spacing w:after="120" w:before="120" w:line="312"/>
        <w:jc w:val="both"/>
      </w:pPr>
      <w:r>
        <w:rPr>
          <w:i/>
          <w:iCs/>
          <w:sz w:val="22"/>
          <w:szCs w:val="22"/>
        </w:rPr>
        <w:t xml:space="preserve">Manuscript use: Threats to Validity. Defends the A1/A2/B classification used in the corpus.</w:t>
      </w:r>
    </w:p>
    <w:p>
      <w:pPr>
        <w:pStyle w:val="Heading2"/>
        <w:spacing w:after="180" w:before="280"/>
      </w:pPr>
      <w:r>
        <w:rPr>
          <w:b/>
          <w:bCs/>
          <w:sz w:val="26"/>
          <w:szCs w:val="26"/>
        </w:rPr>
        <w:t xml:space="preserve">Request 5.2 — Reproducibility signals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Identify how many of the 77 papers provide reproducibility artifacts: open code, public datasets, available models, or replication packages. List bibkeys for each category. Identify any reproducibility patterns that distinguish A1 from A2/B studies.</w:t>
      </w:r>
    </w:p>
    <w:p>
      <w:pPr>
        <w:spacing w:after="120" w:before="120" w:line="312"/>
        <w:jc w:val="both"/>
      </w:pPr>
      <w:r>
        <w:rPr>
          <w:sz w:val="22"/>
          <w:szCs w:val="22"/>
        </w:rPr>
        <w:t xml:space="preserve">Save as Note: NB1 — 5.2 Reproducibility Audit.</w:t>
      </w:r>
    </w:p>
    <w:p>
      <w:pPr>
        <w:spacing w:after="120" w:before="120" w:line="312"/>
        <w:jc w:val="both"/>
      </w:pPr>
      <w:r>
        <w:rPr>
          <w:i/>
          <w:iCs/>
          <w:sz w:val="22"/>
          <w:szCs w:val="22"/>
        </w:rPr>
        <w:t xml:space="preserve">Manuscript use: Threats to Validity and Discussion paragraph on the maturation of empirical practice.</w:t>
      </w:r>
    </w:p>
    <w:p>
      <w:pPr>
        <w:pStyle w:val="Heading2"/>
        <w:spacing w:after="180" w:before="280"/>
      </w:pPr>
      <w:r>
        <w:rPr>
          <w:b/>
          <w:bCs/>
          <w:sz w:val="26"/>
          <w:szCs w:val="26"/>
        </w:rPr>
        <w:t xml:space="preserve">Request 5.3 — Sample size and external validity</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Across the 77 papers, identify the typical limitations on external validity. Address: (1) sample sizes, (2) the diversity of participants (junior/senior, industry/academia), (3) the diversity of tasks studied (toy problems vs. real-world code), and (4) the geographic and linguistic concentration of the studies. Cite bibkeys.</w:t>
      </w:r>
    </w:p>
    <w:p>
      <w:pPr>
        <w:spacing w:after="120" w:before="120" w:line="312"/>
        <w:jc w:val="both"/>
      </w:pPr>
      <w:r>
        <w:rPr>
          <w:sz w:val="22"/>
          <w:szCs w:val="22"/>
        </w:rPr>
        <w:t xml:space="preserve">Save as Note: NB1 — 5.3 External Validity.</w:t>
      </w:r>
    </w:p>
    <w:p>
      <w:pPr>
        <w:spacing w:after="120" w:before="120" w:line="312"/>
        <w:jc w:val="both"/>
      </w:pPr>
      <w:r>
        <w:rPr>
          <w:i/>
          <w:iCs/>
          <w:sz w:val="22"/>
          <w:szCs w:val="22"/>
        </w:rPr>
        <w:t xml:space="preserve">Manuscript use: Threats to Validity and Limitations subsection.</w:t>
      </w:r>
    </w:p>
    <w:p>
      <w:r>
        <w:br w:type="page"/>
      </w:r>
    </w:p>
    <w:p>
      <w:pPr>
        <w:pStyle w:val="Heading1"/>
        <w:spacing w:after="240" w:before="360"/>
      </w:pPr>
      <w:r>
        <w:rPr>
          <w:b/>
          <w:bCs/>
          <w:sz w:val="32"/>
          <w:szCs w:val="32"/>
        </w:rPr>
        <w:t xml:space="preserve">Phase 6 — Socio-technical framing (custom to your paper)</w:t>
      </w:r>
    </w:p>
    <w:p>
      <w:pPr>
        <w:spacing w:after="120" w:before="120" w:line="312"/>
        <w:jc w:val="both"/>
      </w:pPr>
      <w:r>
        <w:rPr>
          <w:sz w:val="22"/>
          <w:szCs w:val="22"/>
        </w:rPr>
        <w:t xml:space="preserve">These requests test whether the 77 papers in CQTD support your socio-technical equilibrium argument. They are tailored to your specific theoretical contribution.</w:t>
      </w:r>
    </w:p>
    <w:p>
      <w:pPr>
        <w:pStyle w:val="Heading2"/>
        <w:spacing w:after="180" w:before="280"/>
      </w:pPr>
      <w:r>
        <w:rPr>
          <w:b/>
          <w:bCs/>
          <w:sz w:val="26"/>
          <w:szCs w:val="26"/>
        </w:rPr>
        <w:t xml:space="preserve">Request 6.1 — Evidence for effort redistribution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Among the 77 papers, find evidence that AI-assisted programming does not eliminate development effort but redistributes it — moving developer activity from code generation to validation, verification, debugging, integration, or supervision. For each piece of evidence, report: (1) paper bibkey, (2) the specific finding, (3) the quantitative magnitude of the redistribution if reported.</w:t>
      </w:r>
    </w:p>
    <w:p>
      <w:pPr>
        <w:spacing w:after="120" w:before="120" w:line="312"/>
        <w:jc w:val="both"/>
      </w:pPr>
      <w:r>
        <w:rPr>
          <w:sz w:val="22"/>
          <w:szCs w:val="22"/>
        </w:rPr>
        <w:t xml:space="preserve">Save as Note: NB1 — 6.1 Effort Redistribution Evidence.</w:t>
      </w:r>
    </w:p>
    <w:p>
      <w:pPr>
        <w:spacing w:after="120" w:before="120" w:line="312"/>
        <w:jc w:val="both"/>
      </w:pPr>
      <w:r>
        <w:rPr>
          <w:i/>
          <w:iCs/>
          <w:sz w:val="22"/>
          <w:szCs w:val="22"/>
        </w:rPr>
        <w:t xml:space="preserve">Manuscript use: Discussion 4.1 (Productivity Paradox). Anchors the equilibrium argument with empirical evidence from CQTD studies.</w:t>
      </w:r>
    </w:p>
    <w:p>
      <w:pPr>
        <w:pStyle w:val="Heading2"/>
        <w:spacing w:after="180" w:before="280"/>
      </w:pPr>
      <w:r>
        <w:rPr>
          <w:b/>
          <w:bCs/>
          <w:sz w:val="26"/>
          <w:szCs w:val="26"/>
        </w:rPr>
        <w:t xml:space="preserve">Request 6.2 — Verification overhead quantification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Find every quantitative estimate, in the 77 papers, of the time, effort, or cognitive load required to verify, validate, or correct AI-generated code. Report bibkey, the magnitude, and the experimental context. If no quantitative estimate is given but a qualitative observation is made, include that too.</w:t>
      </w:r>
    </w:p>
    <w:p>
      <w:pPr>
        <w:spacing w:after="120" w:before="120" w:line="312"/>
        <w:jc w:val="both"/>
      </w:pPr>
      <w:r>
        <w:rPr>
          <w:sz w:val="22"/>
          <w:szCs w:val="22"/>
        </w:rPr>
        <w:t xml:space="preserve">Save as Note: NB1 — 6.2 Verification Overhead.</w:t>
      </w:r>
    </w:p>
    <w:p>
      <w:pPr>
        <w:spacing w:after="120" w:before="120" w:line="312"/>
        <w:jc w:val="both"/>
      </w:pPr>
      <w:r>
        <w:rPr>
          <w:i/>
          <w:iCs/>
          <w:sz w:val="22"/>
          <w:szCs w:val="22"/>
        </w:rPr>
        <w:t xml:space="preserve">Manuscript use: Discussion 4.1 and the equilibrium model. Concrete numbers strengthen the verification-effort claim.</w:t>
      </w:r>
    </w:p>
    <w:p>
      <w:pPr>
        <w:pStyle w:val="Heading2"/>
        <w:spacing w:after="180" w:before="280"/>
      </w:pPr>
      <w:r>
        <w:rPr>
          <w:b/>
          <w:bCs/>
          <w:sz w:val="26"/>
          <w:szCs w:val="26"/>
        </w:rPr>
        <w:t xml:space="preserve">Request 6.3 — Conditional utility evidence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Among the 77 papers, find evidence that the quality of AI-generated code depends strongly on context (task complexity, developer expertise, prompt quality, codebase size, language used). For each contextual variable, list the bibkeys reporting it and the direction of its effect.</w:t>
      </w:r>
    </w:p>
    <w:p>
      <w:pPr>
        <w:spacing w:after="120" w:before="120" w:line="312"/>
        <w:jc w:val="both"/>
      </w:pPr>
      <w:r>
        <w:rPr>
          <w:sz w:val="22"/>
          <w:szCs w:val="22"/>
        </w:rPr>
        <w:t xml:space="preserve">Save as Note: NB1 — 6.3 Conditional Utility.</w:t>
      </w:r>
    </w:p>
    <w:p>
      <w:pPr>
        <w:spacing w:after="120" w:before="120" w:line="312"/>
        <w:jc w:val="both"/>
      </w:pPr>
      <w:r>
        <w:rPr>
          <w:i/>
          <w:iCs/>
          <w:sz w:val="22"/>
          <w:szCs w:val="22"/>
        </w:rPr>
        <w:t xml:space="preserve">Manuscript use: Theoretical Contributions section, specifically the 'Model of Conditional Utility' contribution.</w:t>
      </w:r>
    </w:p>
    <w:p>
      <w:r>
        <w:br w:type="page"/>
      </w:r>
    </w:p>
    <w:p>
      <w:pPr>
        <w:pStyle w:val="Heading1"/>
        <w:spacing w:after="240" w:before="360"/>
      </w:pPr>
      <w:r>
        <w:rPr>
          <w:b/>
          <w:bCs/>
          <w:sz w:val="32"/>
          <w:szCs w:val="32"/>
        </w:rPr>
        <w:t xml:space="preserve">Phase 7 — Sanity checks and verification</w:t>
      </w:r>
    </w:p>
    <w:p>
      <w:pPr>
        <w:spacing w:after="120" w:before="120" w:line="312"/>
        <w:jc w:val="both"/>
      </w:pPr>
      <w:r>
        <w:rPr>
          <w:sz w:val="22"/>
          <w:szCs w:val="22"/>
        </w:rPr>
        <w:t xml:space="preserve">Before integrating NotebookLM outputs into the manuscript, verify their accuracy. NotebookLM is generally reliable but can occasionally misattribute findings.</w:t>
      </w:r>
    </w:p>
    <w:p>
      <w:pPr>
        <w:pStyle w:val="Heading2"/>
        <w:spacing w:after="180" w:before="280"/>
      </w:pPr>
      <w:r>
        <w:rPr>
          <w:b/>
          <w:bCs/>
          <w:sz w:val="26"/>
          <w:szCs w:val="26"/>
        </w:rPr>
        <w:t xml:space="preserve">Request 7.1 — Cross-check against the segmentation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Of the 77 papers in this notebook, identify the 10 most influential or methodologically strongest studies, in your judgement. Justify each choice in 1-2 sentences.</w:t>
      </w:r>
    </w:p>
    <w:p>
      <w:pPr>
        <w:spacing w:after="120" w:before="120" w:line="312"/>
        <w:jc w:val="both"/>
      </w:pPr>
      <w:r>
        <w:rPr>
          <w:sz w:val="22"/>
          <w:szCs w:val="22"/>
        </w:rPr>
        <w:t xml:space="preserve">Compare NotebookLM's top-10 against your CORE classification (which was already segmentation-based). Significant divergence indicates either a problem in your segmentation OR an opportunity to challenge NotebookLM's judgement.</w:t>
      </w:r>
    </w:p>
    <w:p>
      <w:pPr>
        <w:spacing w:after="120" w:before="120" w:line="312"/>
        <w:jc w:val="both"/>
      </w:pPr>
      <w:r>
        <w:rPr>
          <w:sz w:val="22"/>
          <w:szCs w:val="22"/>
        </w:rPr>
        <w:t xml:space="preserve">Save as Note: NB1 — 7.1 Cross-Check Top Studies.</w:t>
      </w:r>
    </w:p>
    <w:p>
      <w:pPr>
        <w:pStyle w:val="Heading2"/>
        <w:spacing w:after="180" w:before="280"/>
      </w:pPr>
      <w:r>
        <w:rPr>
          <w:b/>
          <w:bCs/>
          <w:sz w:val="26"/>
          <w:szCs w:val="26"/>
        </w:rPr>
        <w:t xml:space="preserve">Request 7.2 — Coverage check</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List the bibkeys of all 77 papers in this notebook. For each, indicate whether you have encountered its full text in your analysis, or only its metadata.</w:t>
      </w:r>
    </w:p>
    <w:p>
      <w:pPr>
        <w:spacing w:after="120" w:before="120" w:line="312"/>
        <w:jc w:val="both"/>
      </w:pPr>
      <w:r>
        <w:rPr>
          <w:sz w:val="22"/>
          <w:szCs w:val="22"/>
        </w:rPr>
        <w:t xml:space="preserve">This is a sanity check that NotebookLM actually ingested all 77 PDFs and not just bibliographic stubs.</w:t>
      </w:r>
    </w:p>
    <w:p>
      <w:pPr>
        <w:spacing w:after="120" w:before="120" w:line="312"/>
        <w:jc w:val="both"/>
      </w:pPr>
      <w:r>
        <w:rPr>
          <w:sz w:val="22"/>
          <w:szCs w:val="22"/>
        </w:rPr>
        <w:t xml:space="preserve">Save as Note: NB1 — 7.2 Coverage Check.</w:t>
      </w:r>
    </w:p>
    <w:p>
      <w:pPr>
        <w:pStyle w:val="Heading2"/>
        <w:spacing w:after="180" w:before="280"/>
      </w:pPr>
      <w:r>
        <w:rPr>
          <w:b/>
          <w:bCs/>
          <w:sz w:val="26"/>
          <w:szCs w:val="26"/>
        </w:rPr>
        <w:t xml:space="preserve">Request 7.3 — Citation accuracy spot-check</w:t>
      </w:r>
    </w:p>
    <w:p>
      <w:pPr>
        <w:spacing w:after="120" w:before="120" w:line="312"/>
        <w:jc w:val="both"/>
      </w:pPr>
      <w:r>
        <w:rPr>
          <w:sz w:val="22"/>
          <w:szCs w:val="22"/>
        </w:rPr>
        <w:t xml:space="preserve">After generating any extraction table or thematic summary, randomly select 5-10 claims and verify their source citations by opening the cited paper in the source list and confirming the claim appears. Record any inaccuracies in a Note titled:</w:t>
      </w:r>
    </w:p>
    <w:p>
      <w:pPr>
        <w:shd w:fill="F1F5F9" w:val="clear"/>
        <w:spacing w:after="100" w:before="100" w:line="300"/>
        <w:ind w:left="360" w:right="360"/>
      </w:pPr>
      <w:r>
        <w:rPr>
          <w:rFonts w:ascii="Consolas" w:cs="Consolas" w:eastAsia="Consolas" w:hAnsi="Consolas"/>
          <w:sz w:val="21"/>
          <w:szCs w:val="21"/>
        </w:rPr>
        <w:t xml:space="preserve">NB1 — 7.3 Citation Accuracy Log.</w:t>
      </w:r>
    </w:p>
    <w:p>
      <w:pPr>
        <w:spacing w:after="120" w:before="120" w:line="312"/>
        <w:jc w:val="both"/>
      </w:pPr>
      <w:r>
        <w:rPr>
          <w:i/>
          <w:iCs/>
          <w:sz w:val="22"/>
          <w:szCs w:val="22"/>
        </w:rPr>
        <w:t xml:space="preserve">Purpose: Required for methodological transparency. Any inaccuracies should be corrected before the claims enter the manuscript.</w:t>
      </w:r>
    </w:p>
    <w:p>
      <w:r>
        <w:br w:type="page"/>
      </w:r>
    </w:p>
    <w:p>
      <w:pPr>
        <w:pStyle w:val="Heading1"/>
        <w:spacing w:after="240" w:before="360"/>
      </w:pPr>
      <w:r>
        <w:rPr>
          <w:b/>
          <w:bCs/>
          <w:sz w:val="32"/>
          <w:szCs w:val="32"/>
        </w:rPr>
        <w:t xml:space="preserve">Summary — Request inventory and manuscript mapping</w:t>
      </w:r>
    </w:p>
    <w:p>
      <w:pPr>
        <w:spacing w:after="120" w:before="120" w:line="312"/>
        <w:jc w:val="both"/>
      </w:pPr>
      <w:r>
        <w:rPr>
          <w:sz w:val="22"/>
          <w:szCs w:val="22"/>
        </w:rPr>
        <w:t xml:space="preserve">This table consolidates the 22 requests of this plan and maps each to the manuscript section where its output will be used.</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800"/>
        <w:gridCol w:w="4400"/>
      </w:tblGrid>
      <w:tr>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w:t>
            </w:r>
          </w:p>
        </w:tc>
        <w:tc>
          <w:tcPr>
            <w:tcW w:type="dxa" w:w="4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Request</w:t>
            </w:r>
          </w:p>
        </w:tc>
        <w:tc>
          <w:tcPr>
            <w:tcW w:type="dxa" w:w="2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Output type</w:t>
            </w:r>
          </w:p>
        </w:tc>
        <w:tc>
          <w:tcPr>
            <w:tcW w:type="dxa" w:w="4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Manuscript use</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0.1</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Briefing document</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Pre-built note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Section 3.3 opening framing</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0.2</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Mind map</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Visual artifact</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Discussion figure candidate</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0.3</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Study guide</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Pre-built note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Internal navigation</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0.4</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FAQ</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Pre-built note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Anticipate reviewer questions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0.5</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Timeline</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Pre-built note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temporal arc</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1.1</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Corpus characterisation</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Structured report</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opening</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1.2</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Methodology distribution table</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Table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Supplementary table</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1.3</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Tools and models evaluated</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Table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2.1</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Defect rates extraction</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Table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Section 3.3 quantitative claims</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2.2</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Security vulnerabilities</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Table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security paragraph</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2.3</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Maintainability extraction</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Table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Section 3.3 technical debt</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2.4</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Human-vs-AI comparisons</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Table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Discussion 4.1 anchors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2.5</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Multi-turn interactions</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Table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Section 3.3 error propagation</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2.6</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Modification effort</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Table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rework rates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3.1</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Thematic clusters</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Structured report</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Internal structure of 3.3</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3.2</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Convergence vs contradiction</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Structured report</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Discussion anchored claims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3.3</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Counter-evidence</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Structured report</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4.1</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Infographic CQTD</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Visual artifact</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or Discussion figure</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4.2</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Timeline of CQTD findings</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Structured report</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temporal arc</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4.3</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Quote bank</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Curated list</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Discussion impactful quotes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5.1</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Methodological rigor</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Structured report</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5.2</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Reproducibility audit</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Structured report</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5.3</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External validity</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Structured report</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6.1</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Effort redistribution evidence</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Table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Discussion 4.1</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6.2</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Verification overhead</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Table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4.1</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6.3</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Conditional utility evidence</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Table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Theoretical Contributions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7.1</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Cross-check top studies</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Note</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Segmentation validation</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7.2</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Coverage check</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Note</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Methodological transparency</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7.3</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Citation accuracy spot-check</w:t>
            </w:r>
          </w:p>
        </w:tc>
        <w:tc>
          <w:tcPr>
            <w:tcW w:type="dxa" w:w="2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Audit log</w:t>
            </w:r>
          </w:p>
        </w:tc>
        <w:tc>
          <w:tcPr>
            <w:tcW w:type="dxa" w:w="4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Internal verification</w:t>
            </w:r>
          </w:p>
        </w:tc>
      </w:tr>
    </w:tbl>
    <w:p>
      <w:pPr>
        <w:spacing w:after="120" w:before="120" w:line="312"/>
        <w:jc w:val="both"/>
      </w:pPr>
      <w:r>
        <w:rPr>
          <w:i/>
          <w:iCs/>
          <w:sz w:val="22"/>
          <w:szCs w:val="22"/>
        </w:rPr>
        <w:t xml:space="preserve">Total requests: 29 (5 pre-built artifacts + 24 chat prompts). Estimated effort: 4–8 hours for a complete pass, depending on iteration depth.</w:t>
      </w:r>
    </w:p>
    <w:p>
      <w:pPr>
        <w:spacing w:after="120" w:before="120" w:line="312"/>
        <w:jc w:val="both"/>
      </w:pPr>
      <w:r>
        <w:rPr>
          <w:sz w:val="22"/>
          <w:szCs w:val="22"/>
        </w:rPr>
        <w:t xml:space="preserve"> </w:t>
      </w:r>
    </w:p>
    <w:p>
      <w:pPr>
        <w:spacing w:after="120" w:before="120" w:line="312"/>
        <w:jc w:val="both"/>
      </w:pPr>
      <w:r>
        <w:rPr>
          <w:b/>
          <w:bCs/>
          <w:sz w:val="22"/>
          <w:szCs w:val="22"/>
        </w:rPr>
        <w:t xml:space="preserve">Once all phases are complete, the same plan applies to NB2 (CQTD Supporting), NB3 (HAI CORE), NB4 (HAI Supporting), and NB5 (Small Dimensions), adapted to each notebook's theme.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5282"/>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2026-05-30T22:46:42.683Z</dcterms:created>
  <dcterms:modified xsi:type="dcterms:W3CDTF">2026-05-30T22:46:42.697Z</dcterms:modified>
</cp:coreProperties>
</file>

<file path=docProps/custom.xml><?xml version="1.0" encoding="utf-8"?>
<Properties xmlns="http://schemas.openxmlformats.org/officeDocument/2006/custom-properties" xmlns:vt="http://schemas.openxmlformats.org/officeDocument/2006/docPropsVTypes"/>
</file>