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Lessons Learned from Phase 3.1 Consensus Map Generation</w:t>
      </w:r>
    </w:p>
    <w:p>
      <w:pPr>
        <w:jc w:val="center"/>
      </w:pPr>
      <w:r>
        <w:rPr>
          <w:i/>
        </w:rPr>
        <w:t>SLR on AI-Assisted Programming — CQTD Thematic Synthesis</w:t>
      </w:r>
    </w:p>
    <w:p>
      <w:pPr>
        <w:jc w:val="center"/>
      </w:pPr>
      <w:r>
        <w:t>Prepared as an audit-support document for future Phase 3 work</w:t>
      </w:r>
    </w:p>
    <w:p>
      <w:pPr>
        <w:pStyle w:val="Heading1"/>
      </w:pPr>
      <w:r>
        <w:t>1. Purpose of this document</w:t>
      </w:r>
    </w:p>
    <w:p>
      <w:r>
        <w:t>This document records the operational lessons learned during the generation, revision, and validation of the Phase 3.1 consensus map for the Code Quality and Technical Debt (CQTD) subsection. The goal is not to reproduce the content of the consensus map, but to document the failure modes encountered and the safeguards needed for subsequent synthesis tasks.</w:t>
      </w:r>
    </w:p>
    <w:p>
      <w:r>
        <w:t>The most important lesson is that large synthesis artefacts with many cross-references should not be corrected through repeated local patches once citation integrity has degraded. For this type of document, regeneration from a controlled source matrix is safer than incremental editing.</w:t>
      </w:r>
    </w:p>
    <w:p>
      <w:pPr>
        <w:pStyle w:val="Heading1"/>
      </w:pPr>
      <w:r>
        <w:t>2. Summary of what went wrong</w:t>
      </w:r>
    </w:p>
    <w:tbl>
      <w:tblPr>
        <w:tblStyle w:val="TableGrid"/>
        <w:tblW w:type="auto" w:w="0"/>
        <w:tblLook w:firstColumn="1" w:firstRow="1" w:lastColumn="0" w:lastRow="0" w:noHBand="0" w:noVBand="1" w:val="04A0"/>
      </w:tblPr>
      <w:tblGrid>
        <w:gridCol w:w="2448"/>
        <w:gridCol w:w="2448"/>
        <w:gridCol w:w="2448"/>
        <w:gridCol w:w="2448"/>
      </w:tblGrid>
      <w:tr>
        <w:tc>
          <w:tcPr>
            <w:tcW w:type="dxa" w:w="2448"/>
            <w:shd w:fill="D9EAF7"/>
          </w:tcPr>
          <w:p>
            <w:r>
              <w:t>Issue</w:t>
            </w:r>
          </w:p>
        </w:tc>
        <w:tc>
          <w:tcPr>
            <w:tcW w:type="dxa" w:w="2448"/>
            <w:shd w:fill="D9EAF7"/>
          </w:tcPr>
          <w:p>
            <w:r>
              <w:t>Observed failure</w:t>
            </w:r>
          </w:p>
        </w:tc>
        <w:tc>
          <w:tcPr>
            <w:tcW w:type="dxa" w:w="2448"/>
            <w:shd w:fill="D9EAF7"/>
          </w:tcPr>
          <w:p>
            <w:r>
              <w:t>Risk to the SLR</w:t>
            </w:r>
          </w:p>
        </w:tc>
        <w:tc>
          <w:tcPr>
            <w:tcW w:type="dxa" w:w="2448"/>
            <w:shd w:fill="D9EAF7"/>
          </w:tcPr>
          <w:p>
            <w:r>
              <w:t>Corrective lesson</w:t>
            </w:r>
          </w:p>
        </w:tc>
      </w:tr>
      <w:tr>
        <w:tc>
          <w:tcPr>
            <w:tcW w:type="dxa" w:w="2448"/>
          </w:tcPr>
          <w:p>
            <w:r>
              <w:t>Narrow evidence base</w:t>
            </w:r>
          </w:p>
        </w:tc>
        <w:tc>
          <w:tcPr>
            <w:tcW w:type="dxa" w:w="2448"/>
          </w:tcPr>
          <w:p>
            <w:r>
              <w:t>The first version cited only 18 papers across 14 claims, with a small anchor group repeatedly reused.</w:t>
            </w:r>
          </w:p>
        </w:tc>
        <w:tc>
          <w:tcPr>
            <w:tcW w:type="dxa" w:w="2448"/>
          </w:tcPr>
          <w:p>
            <w:r>
              <w:t>The synthesis could appear corpus-wide while actually representing only a small subset of the 77-paper CQTD corpus.</w:t>
            </w:r>
          </w:p>
        </w:tc>
        <w:tc>
          <w:tcPr>
            <w:tcW w:type="dxa" w:w="2448"/>
          </w:tcPr>
          <w:p>
            <w:r>
              <w:t>Track paper frequency and corpus breadth mechanically before delivery.</w:t>
            </w:r>
          </w:p>
        </w:tc>
      </w:tr>
      <w:tr>
        <w:tc>
          <w:tcPr>
            <w:tcW w:type="dxa" w:w="2448"/>
          </w:tcPr>
          <w:p>
            <w:r>
              <w:t>Boilerplate analytical fields</w:t>
            </w:r>
          </w:p>
        </w:tc>
        <w:tc>
          <w:tcPr>
            <w:tcW w:type="dxa" w:w="2448"/>
          </w:tcPr>
          <w:p>
            <w:r>
              <w:t>Methodological diversity and counter-evidence sections were initially repeated across claims.</w:t>
            </w:r>
          </w:p>
        </w:tc>
        <w:tc>
          <w:tcPr>
            <w:tcW w:type="dxa" w:w="2448"/>
          </w:tcPr>
          <w:p>
            <w:r>
              <w:t>The document looked structured but did not contain claim-specific methodological analysis.</w:t>
            </w:r>
          </w:p>
        </w:tc>
        <w:tc>
          <w:tcPr>
            <w:tcW w:type="dxa" w:w="2448"/>
          </w:tcPr>
          <w:p>
            <w:r>
              <w:t>Require every methodological and counter-evidence paragraph to name claim-specific designs and papers.</w:t>
            </w:r>
          </w:p>
        </w:tc>
      </w:tr>
      <w:tr>
        <w:tc>
          <w:tcPr>
            <w:tcW w:type="dxa" w:w="2448"/>
          </w:tcPr>
          <w:p>
            <w:r>
              <w:t>Fabricated references</w:t>
            </w:r>
          </w:p>
        </w:tc>
        <w:tc>
          <w:tcPr>
            <w:tcW w:type="dxa" w:w="2448"/>
          </w:tcPr>
          <w:p>
            <w:r>
              <w:t>A later version introduced plausible but non-existent bibkeys and paraphrased titles.</w:t>
            </w:r>
          </w:p>
        </w:tc>
        <w:tc>
          <w:tcPr>
            <w:tcW w:type="dxa" w:w="2448"/>
          </w:tcPr>
          <w:p>
            <w:r>
              <w:t>This is a critical research-integrity risk: non-corpus papers could enter the manuscript evidence base.</w:t>
            </w:r>
          </w:p>
        </w:tc>
        <w:tc>
          <w:tcPr>
            <w:tcW w:type="dxa" w:w="2448"/>
          </w:tcPr>
          <w:p>
            <w:r>
              <w:t>Every bibkey must be validated against NB1_CQTD_CORE.bib before inclusion.</w:t>
            </w:r>
          </w:p>
        </w:tc>
      </w:tr>
      <w:tr>
        <w:tc>
          <w:tcPr>
            <w:tcW w:type="dxa" w:w="2448"/>
          </w:tcPr>
          <w:p>
            <w:r>
              <w:t>Partial-update citation breakage</w:t>
            </w:r>
          </w:p>
        </w:tc>
        <w:tc>
          <w:tcPr>
            <w:tcW w:type="dxa" w:w="2448"/>
          </w:tcPr>
          <w:p>
            <w:r>
              <w:t>After removing fabricated references, inline citations still pointed to deleted entries.</w:t>
            </w:r>
          </w:p>
        </w:tc>
        <w:tc>
          <w:tcPr>
            <w:tcW w:type="dxa" w:w="2448"/>
          </w:tcPr>
          <w:p>
            <w:r>
              <w:t>Ghost citations break traceability and make the references unusable for review.</w:t>
            </w:r>
          </w:p>
        </w:tc>
        <w:tc>
          <w:tcPr>
            <w:tcW w:type="dxa" w:w="2448"/>
          </w:tcPr>
          <w:p>
            <w:r>
              <w:t>Renumber references globally after any deletion; never edit reference lists locally only.</w:t>
            </w:r>
          </w:p>
        </w:tc>
      </w:tr>
      <w:tr>
        <w:tc>
          <w:tcPr>
            <w:tcW w:type="dxa" w:w="2448"/>
          </w:tcPr>
          <w:p>
            <w:r>
              <w:t>Formatting residue</w:t>
            </w:r>
          </w:p>
        </w:tc>
        <w:tc>
          <w:tcPr>
            <w:tcW w:type="dxa" w:w="2448"/>
          </w:tcPr>
          <w:p>
            <w:r>
              <w:t>Deleted citations left artefacts such as comma gaps and orphan punctuation.</w:t>
            </w:r>
          </w:p>
        </w:tc>
        <w:tc>
          <w:tcPr>
            <w:tcW w:type="dxa" w:w="2448"/>
          </w:tcPr>
          <w:p>
            <w:r>
              <w:t>Visible defects reduce confidence and can obscure whether citations are complete.</w:t>
            </w:r>
          </w:p>
        </w:tc>
        <w:tc>
          <w:tcPr>
            <w:tcW w:type="dxa" w:w="2448"/>
          </w:tcPr>
          <w:p>
            <w:r>
              <w:t>Run punctuation cleanup after citation edits: no empty brackets, no orphan commas, no “, , .”.</w:t>
            </w:r>
          </w:p>
        </w:tc>
      </w:tr>
      <w:tr>
        <w:tc>
          <w:tcPr>
            <w:tcW w:type="dxa" w:w="2448"/>
          </w:tcPr>
          <w:p>
            <w:r>
              <w:t>Semantic drift across subpoints</w:t>
            </w:r>
          </w:p>
        </w:tc>
        <w:tc>
          <w:tcPr>
            <w:tcW w:type="dxa" w:w="2448"/>
          </w:tcPr>
          <w:p>
            <w:r>
              <w:t>Supporting paper lists, methodological narrative, and counter-evidence narrative mentioned different papers.</w:t>
            </w:r>
          </w:p>
        </w:tc>
        <w:tc>
          <w:tcPr>
            <w:tcW w:type="dxa" w:w="2448"/>
          </w:tcPr>
          <w:p>
            <w:r>
              <w:t>The claim becomes internally incoherent and cannot be audited reliably.</w:t>
            </w:r>
          </w:p>
        </w:tc>
        <w:tc>
          <w:tcPr>
            <w:tcW w:type="dxa" w:w="2448"/>
          </w:tcPr>
          <w:p>
            <w:r>
              <w:t>For each claim, align 2.X.1, 2.X.4, 2.X.6, and 2.X.7 to the same verified paper set.</w:t>
            </w:r>
          </w:p>
        </w:tc>
      </w:tr>
      <w:tr>
        <w:tc>
          <w:tcPr>
            <w:tcW w:type="dxa" w:w="2448"/>
          </w:tcPr>
          <w:p>
            <w:r>
              <w:t>Stale spot-checks</w:t>
            </w:r>
          </w:p>
        </w:tc>
        <w:tc>
          <w:tcPr>
            <w:tcW w:type="dxa" w:w="2448"/>
          </w:tcPr>
          <w:p>
            <w:r>
              <w:t>Reference-alignment spot-checks retained old numbering after references changed.</w:t>
            </w:r>
          </w:p>
        </w:tc>
        <w:tc>
          <w:tcPr>
            <w:tcW w:type="dxa" w:w="2448"/>
          </w:tcPr>
          <w:p>
            <w:r>
              <w:t>A false validation statement can conceal broken numbering.</w:t>
            </w:r>
          </w:p>
        </w:tc>
        <w:tc>
          <w:tcPr>
            <w:tcW w:type="dxa" w:w="2448"/>
          </w:tcPr>
          <w:p>
            <w:r>
              <w:t>Regenerate spot-checks only after final numbering is fixed.</w:t>
            </w:r>
          </w:p>
        </w:tc>
      </w:tr>
      <w:tr>
        <w:tc>
          <w:tcPr>
            <w:tcW w:type="dxa" w:w="2448"/>
          </w:tcPr>
          <w:p>
            <w:r>
              <w:t>Iterative-editing entropy</w:t>
            </w:r>
          </w:p>
        </w:tc>
        <w:tc>
          <w:tcPr>
            <w:tcW w:type="dxa" w:w="2448"/>
          </w:tcPr>
          <w:p>
            <w:r>
              <w:t>Each corrective iteration fixed one issue while introducing new inconsistencies.</w:t>
            </w:r>
          </w:p>
        </w:tc>
        <w:tc>
          <w:tcPr>
            <w:tcW w:type="dxa" w:w="2448"/>
          </w:tcPr>
          <w:p>
            <w:r>
              <w:t>The document becomes progressively less trustworthy despite appearing more polished.</w:t>
            </w:r>
          </w:p>
        </w:tc>
        <w:tc>
          <w:tcPr>
            <w:tcW w:type="dxa" w:w="2448"/>
          </w:tcPr>
          <w:p>
            <w:r>
              <w:t>When interdependencies are dense, rebuild from scratch using a validated matrix.</w:t>
            </w:r>
          </w:p>
        </w:tc>
      </w:tr>
    </w:tbl>
    <w:p>
      <w:pPr>
        <w:pStyle w:val="Heading1"/>
      </w:pPr>
      <w:r>
        <w:t>3. Critical research-integrity rule</w:t>
      </w:r>
    </w:p>
    <w:p>
      <w:r>
        <w:t>For this SLR, a paper is citable only if its bibkey exists literally in NB1_CQTD_CORE.bib. A title, author name, folder name, CSV row, plausible memory, or model-suggested citation is not enough. The .bib file is the authoritative source for bibkeys and official titles.</w:t>
      </w:r>
    </w:p>
    <w:p>
      <w:pPr>
        <w:pStyle w:val="ListBullet"/>
      </w:pPr>
      <w:r>
        <w:t>Do not infer bibkeys from PDF names, folder names, titles, authors, or examples supplied in a prompt.</w:t>
      </w:r>
    </w:p>
    <w:p>
      <w:pPr>
        <w:pStyle w:val="ListBullet"/>
      </w:pPr>
      <w:r>
        <w:t>Do not paraphrase paper titles in the References section.</w:t>
      </w:r>
    </w:p>
    <w:p>
      <w:pPr>
        <w:pStyle w:val="ListBullet"/>
      </w:pPr>
      <w:r>
        <w:t>Do not add replacement references merely to preserve breadth quotas.</w:t>
      </w:r>
    </w:p>
    <w:p>
      <w:pPr>
        <w:pStyle w:val="ListBullet"/>
      </w:pPr>
      <w:r>
        <w:t>If verified evidence is insufficient for a wide claim, weaken the claim or reduce the number of citations rather than fabricating coverage.</w:t>
      </w:r>
    </w:p>
    <w:p>
      <w:pPr>
        <w:pStyle w:val="Heading1"/>
      </w:pPr>
      <w:r>
        <w:t>4. Failure mode identified: iterative-editing entropy</w:t>
      </w:r>
    </w:p>
    <w:p>
      <w:r>
        <w:t>The chat revealed a recurring failure mode that can be called iterative-editing entropy. It occurs when a complex, internally linked artefact is repeatedly patched in response to local feedback. Each patch corrects a visible error, but because the whole document is not recomputed as a system, new inconsistencies appear elsewhere.</w:t>
      </w:r>
    </w:p>
    <w:p>
      <w:r>
        <w:t>In Phase 3.1, this appeared as a chain: narrow coverage led to forced expansion; forced expansion led to fabricated references; deleting fabricated references created ghost citations; fixing ghost citations left punctuation residue and semantic mismatch between claim fields. The correct response was to regenerate the document from scratch using all constraints simultaneously.</w:t>
      </w:r>
    </w:p>
    <w:p>
      <w:pPr>
        <w:pStyle w:val="Heading1"/>
      </w:pPr>
      <w:r>
        <w:t>5. Operational rules for future Phase 3 tasks</w:t>
      </w:r>
    </w:p>
    <w:p>
      <w:pPr>
        <w:pStyle w:val="ListNumber"/>
      </w:pPr>
      <w:r>
        <w:t>Start with a verified corpus matrix: bibkey, official title, first author, year, paper type, relevant evidence category, and usable quantitative anchors.</w:t>
      </w:r>
    </w:p>
    <w:p>
      <w:pPr>
        <w:pStyle w:val="ListNumber"/>
      </w:pPr>
      <w:r>
        <w:t>Build each claim from a paper set, not from prose. The claim text, supporting papers, methodological diversity, and counter-evidence must be generated from the same set.</w:t>
      </w:r>
    </w:p>
    <w:p>
      <w:pPr>
        <w:pStyle w:val="ListNumber"/>
      </w:pPr>
      <w:r>
        <w:t>Maintain a frequency ledger so no paper silently dominates the synthesis beyond the requested cap.</w:t>
      </w:r>
    </w:p>
    <w:p>
      <w:pPr>
        <w:pStyle w:val="ListNumber"/>
      </w:pPr>
      <w:r>
        <w:t>Treat breadth as secondary to validity. A claim with six verified papers is preferable to a claim with twelve papers if six of them are weak, irrelevant, or unverified.</w:t>
      </w:r>
    </w:p>
    <w:p>
      <w:pPr>
        <w:pStyle w:val="ListNumber"/>
      </w:pPr>
      <w:r>
        <w:t>Regenerate the References section from actual inline citations after the main text is stable.</w:t>
      </w:r>
    </w:p>
    <w:p>
      <w:pPr>
        <w:pStyle w:val="ListNumber"/>
      </w:pPr>
      <w:r>
        <w:t>Run a final citation reconciliation: every inline [N] must map to one References entry, and every References entry should be used.</w:t>
      </w:r>
    </w:p>
    <w:p>
      <w:pPr>
        <w:pStyle w:val="ListNumber"/>
      </w:pPr>
      <w:r>
        <w:t>Regenerate the spot-check only at the end, after the final reference numbering exists.</w:t>
      </w:r>
    </w:p>
    <w:p>
      <w:pPr>
        <w:pStyle w:val="ListNumber"/>
      </w:pPr>
      <w:r>
        <w:t>Render and visually inspect the DOCX before delivery.</w:t>
      </w:r>
    </w:p>
    <w:p>
      <w:pPr>
        <w:pStyle w:val="Heading1"/>
      </w:pPr>
      <w:r>
        <w:t>6. Checklist before delivering future synthesis DOCX files</w:t>
      </w:r>
    </w:p>
    <w:tbl>
      <w:tblPr>
        <w:tblStyle w:val="TableGrid"/>
        <w:tblW w:type="auto" w:w="0"/>
        <w:tblLook w:firstColumn="1" w:firstRow="1" w:lastColumn="0" w:lastRow="0" w:noHBand="0" w:noVBand="1" w:val="04A0"/>
      </w:tblPr>
      <w:tblGrid>
        <w:gridCol w:w="3264"/>
        <w:gridCol w:w="3264"/>
        <w:gridCol w:w="3264"/>
      </w:tblGrid>
      <w:tr>
        <w:tc>
          <w:tcPr>
            <w:tcW w:type="dxa" w:w="3264"/>
            <w:shd w:fill="E2F0D9"/>
          </w:tcPr>
          <w:p>
            <w:r>
              <w:t>Check</w:t>
            </w:r>
          </w:p>
        </w:tc>
        <w:tc>
          <w:tcPr>
            <w:tcW w:type="dxa" w:w="3264"/>
            <w:shd w:fill="E2F0D9"/>
          </w:tcPr>
          <w:p>
            <w:r>
              <w:t>Requirement</w:t>
            </w:r>
          </w:p>
        </w:tc>
        <w:tc>
          <w:tcPr>
            <w:tcW w:type="dxa" w:w="3264"/>
            <w:shd w:fill="E2F0D9"/>
          </w:tcPr>
          <w:p>
            <w:r>
              <w:t>Status field for future runs</w:t>
            </w:r>
          </w:p>
        </w:tc>
      </w:tr>
      <w:tr>
        <w:tc>
          <w:tcPr>
            <w:tcW w:type="dxa" w:w="3264"/>
          </w:tcPr>
          <w:p>
            <w:r>
              <w:t>Corpus validation</w:t>
            </w:r>
          </w:p>
        </w:tc>
        <w:tc>
          <w:tcPr>
            <w:tcW w:type="dxa" w:w="3264"/>
          </w:tcPr>
          <w:p>
            <w:r>
              <w:t>All bibkeys in the document exist literally in NB1_CQTD_CORE.bib.</w:t>
            </w:r>
          </w:p>
        </w:tc>
        <w:tc>
          <w:tcPr>
            <w:tcW w:type="dxa" w:w="3264"/>
          </w:tcPr>
          <w:p>
            <w:r>
              <w:t>Pass / Fail / Notes</w:t>
            </w:r>
          </w:p>
        </w:tc>
      </w:tr>
      <w:tr>
        <w:tc>
          <w:tcPr>
            <w:tcW w:type="dxa" w:w="3264"/>
          </w:tcPr>
          <w:p>
            <w:r>
              <w:t>Title validation</w:t>
            </w:r>
          </w:p>
        </w:tc>
        <w:tc>
          <w:tcPr>
            <w:tcW w:type="dxa" w:w="3264"/>
          </w:tcPr>
          <w:p>
            <w:r>
              <w:t>References use the official titles from the .bib file, not paraphrases.</w:t>
            </w:r>
          </w:p>
        </w:tc>
        <w:tc>
          <w:tcPr>
            <w:tcW w:type="dxa" w:w="3264"/>
          </w:tcPr>
          <w:p>
            <w:r>
              <w:t>Pass / Fail / Notes</w:t>
            </w:r>
          </w:p>
        </w:tc>
      </w:tr>
      <w:tr>
        <w:tc>
          <w:tcPr>
            <w:tcW w:type="dxa" w:w="3264"/>
          </w:tcPr>
          <w:p>
            <w:r>
              <w:t>Citation integrity</w:t>
            </w:r>
          </w:p>
        </w:tc>
        <w:tc>
          <w:tcPr>
            <w:tcW w:type="dxa" w:w="3264"/>
          </w:tcPr>
          <w:p>
            <w:r>
              <w:t>All inline citation numbers exist in the final References section; zero ghost citations.</w:t>
            </w:r>
          </w:p>
        </w:tc>
        <w:tc>
          <w:tcPr>
            <w:tcW w:type="dxa" w:w="3264"/>
          </w:tcPr>
          <w:p>
            <w:r>
              <w:t>Pass / Fail / Notes</w:t>
            </w:r>
          </w:p>
        </w:tc>
      </w:tr>
      <w:tr>
        <w:tc>
          <w:tcPr>
            <w:tcW w:type="dxa" w:w="3264"/>
          </w:tcPr>
          <w:p>
            <w:r>
              <w:t>Reference continuity</w:t>
            </w:r>
          </w:p>
        </w:tc>
        <w:tc>
          <w:tcPr>
            <w:tcW w:type="dxa" w:w="3264"/>
          </w:tcPr>
          <w:p>
            <w:r>
              <w:t>References are numbered sequentially without gaps and ordered by first appearance.</w:t>
            </w:r>
          </w:p>
        </w:tc>
        <w:tc>
          <w:tcPr>
            <w:tcW w:type="dxa" w:w="3264"/>
          </w:tcPr>
          <w:p>
            <w:r>
              <w:t>Pass / Fail / Notes</w:t>
            </w:r>
          </w:p>
        </w:tc>
      </w:tr>
      <w:tr>
        <w:tc>
          <w:tcPr>
            <w:tcW w:type="dxa" w:w="3264"/>
          </w:tcPr>
          <w:p>
            <w:r>
              <w:t>Claim-field alignment</w:t>
            </w:r>
          </w:p>
        </w:tc>
        <w:tc>
          <w:tcPr>
            <w:tcW w:type="dxa" w:w="3264"/>
          </w:tcPr>
          <w:p>
            <w:r>
              <w:t>For every claim, papers cited in 2.X.1 match those listed in 2.X.4 and mentioned in 2.X.6/2.X.7.</w:t>
            </w:r>
          </w:p>
        </w:tc>
        <w:tc>
          <w:tcPr>
            <w:tcW w:type="dxa" w:w="3264"/>
          </w:tcPr>
          <w:p>
            <w:r>
              <w:t>Pass / Fail / Notes</w:t>
            </w:r>
          </w:p>
        </w:tc>
      </w:tr>
      <w:tr>
        <w:tc>
          <w:tcPr>
            <w:tcW w:type="dxa" w:w="3264"/>
          </w:tcPr>
          <w:p>
            <w:r>
              <w:t>Frequency cap</w:t>
            </w:r>
          </w:p>
        </w:tc>
        <w:tc>
          <w:tcPr>
            <w:tcW w:type="dxa" w:w="3264"/>
          </w:tcPr>
          <w:p>
            <w:r>
              <w:t>No paper appears in more claims than allowed by the prompt.</w:t>
            </w:r>
          </w:p>
        </w:tc>
        <w:tc>
          <w:tcPr>
            <w:tcW w:type="dxa" w:w="3264"/>
          </w:tcPr>
          <w:p>
            <w:r>
              <w:t>Pass / Fail / Notes</w:t>
            </w:r>
          </w:p>
        </w:tc>
      </w:tr>
      <w:tr>
        <w:tc>
          <w:tcPr>
            <w:tcW w:type="dxa" w:w="3264"/>
          </w:tcPr>
          <w:p>
            <w:r>
              <w:t>Formatting cleanup</w:t>
            </w:r>
          </w:p>
        </w:tc>
        <w:tc>
          <w:tcPr>
            <w:tcW w:type="dxa" w:w="3264"/>
          </w:tcPr>
          <w:p>
            <w:r>
              <w:t>No empty brackets, orphan commas, duplicate punctuation, or trailing citation artefacts.</w:t>
            </w:r>
          </w:p>
        </w:tc>
        <w:tc>
          <w:tcPr>
            <w:tcW w:type="dxa" w:w="3264"/>
          </w:tcPr>
          <w:p>
            <w:r>
              <w:t>Pass / Fail / Notes</w:t>
            </w:r>
          </w:p>
        </w:tc>
      </w:tr>
      <w:tr>
        <w:tc>
          <w:tcPr>
            <w:tcW w:type="dxa" w:w="3264"/>
          </w:tcPr>
          <w:p>
            <w:r>
              <w:t>Spot-check freshness</w:t>
            </w:r>
          </w:p>
        </w:tc>
        <w:tc>
          <w:tcPr>
            <w:tcW w:type="dxa" w:w="3264"/>
          </w:tcPr>
          <w:p>
            <w:r>
              <w:t>Spot-check entries match the final numbering, not a prior version.</w:t>
            </w:r>
          </w:p>
        </w:tc>
        <w:tc>
          <w:tcPr>
            <w:tcW w:type="dxa" w:w="3264"/>
          </w:tcPr>
          <w:p>
            <w:r>
              <w:t>Pass / Fail / Notes</w:t>
            </w:r>
          </w:p>
        </w:tc>
      </w:tr>
      <w:tr>
        <w:tc>
          <w:tcPr>
            <w:tcW w:type="dxa" w:w="3264"/>
          </w:tcPr>
          <w:p>
            <w:r>
              <w:t>Visual QA</w:t>
            </w:r>
          </w:p>
        </w:tc>
        <w:tc>
          <w:tcPr>
            <w:tcW w:type="dxa" w:w="3264"/>
          </w:tcPr>
          <w:p>
            <w:r>
              <w:t>The DOCX is rendered and inspected page by page before delivery.</w:t>
            </w:r>
          </w:p>
        </w:tc>
        <w:tc>
          <w:tcPr>
            <w:tcW w:type="dxa" w:w="3264"/>
          </w:tcPr>
          <w:p>
            <w:r>
              <w:t>Pass / Fail / Notes</w:t>
            </w:r>
          </w:p>
        </w:tc>
      </w:tr>
    </w:tbl>
    <w:p>
      <w:pPr>
        <w:pStyle w:val="Heading1"/>
      </w:pPr>
      <w:r>
        <w:t>7. Recommended workflow for Phase 3.2 onward</w:t>
      </w:r>
    </w:p>
    <w:p>
      <w:pPr>
        <w:pStyle w:val="ListNumber"/>
      </w:pPr>
      <w:r>
        <w:t>Create a source-control table before drafting: one row per candidate paper-claim relationship.</w:t>
      </w:r>
    </w:p>
    <w:p>
      <w:pPr>
        <w:pStyle w:val="ListNumber"/>
      </w:pPr>
      <w:r>
        <w:t>Filter the table to verified bibkeys only.</w:t>
      </w:r>
    </w:p>
    <w:p>
      <w:pPr>
        <w:pStyle w:val="ListNumber"/>
      </w:pPr>
      <w:r>
        <w:t>Draft claims from the table, assigning citation numbers only after the final paper list is known.</w:t>
      </w:r>
    </w:p>
    <w:p>
      <w:pPr>
        <w:pStyle w:val="ListNumber"/>
      </w:pPr>
      <w:r>
        <w:t>Generate References automatically from the cited bibkeys and official .bib metadata.</w:t>
      </w:r>
    </w:p>
    <w:p>
      <w:pPr>
        <w:pStyle w:val="ListNumber"/>
      </w:pPr>
      <w:r>
        <w:t>Run mechanical checks for ghost citations, frequency caps, and claim-field alignment.</w:t>
      </w:r>
    </w:p>
    <w:p>
      <w:pPr>
        <w:pStyle w:val="ListNumber"/>
      </w:pPr>
      <w:r>
        <w:t>Only then produce the polished DOCX.</w:t>
      </w:r>
    </w:p>
    <w:p>
      <w:pPr>
        <w:pStyle w:val="Heading1"/>
      </w:pPr>
      <w:r>
        <w:t>8. Practical takeaway</w:t>
      </w:r>
    </w:p>
    <w:p>
      <w:r>
        <w:t>The principal takeaway is methodological: synthesis quality depends less on producing elegant prose and more on maintaining auditable traceability. For Phase 3, every polished sentence must be backed by a verified paper set, and every paper set must be traceable to the official corpus files. The safest workflow is therefore evidence matrix first, prose second, references third, validation last.</w:t>
      </w:r>
    </w:p>
    <w:sectPr w:rsidR="00FC693F" w:rsidRPr="0006063C" w:rsidSect="00034616">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eastAsia="Aptos"/>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eastAsia="Aptos"/>
      <w:b/>
      <w:bCs/>
      <w:color w:val="4F81BD" w:themeColor="accent1"/>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eastAsia="Aptos"/>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eastAsia="Aptos"/>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