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Phase 4.6 — CQTD Counter-Narrative Analysis</w:t>
      </w:r>
    </w:p>
    <w:p>
      <w:pPr>
        <w:jc w:val="center"/>
      </w:pPr>
      <w:r>
        <w:rPr>
          <w:i/>
        </w:rPr>
        <w:t>Adversarial assessment of the socio-technical equilibrium framework</w:t>
      </w:r>
    </w:p>
    <w:p>
      <w:pPr>
        <w:pStyle w:val="Heading1"/>
      </w:pPr>
      <w:r>
        <w:t>1. Overview</w:t>
      </w:r>
    </w:p>
    <w:p>
      <w:r>
        <w:t>A strong theoretical framework should not merely organise favourable evidence; it should survive plausible rival readings of the same corpus. This artefact therefore treats the socio-technical equilibrium framework as a contestable explanation for code quality and technical debt in AI-assisted programming, and asks whether alternative interpretations explain the observed mixture of productivity gains, defect patterns, security exposure, maintainability effects, interaction burdens and methodological instability with equal or greater force.</w:t>
      </w:r>
    </w:p>
    <w:p>
      <w:r>
        <w:t>The analysis is deliberately adversarial. Each counter-narrative is reconstructed in its strongest form, using corpus evidence that a critical reviewer could cite selectively, before assessing where that reading loses explanatory coverage. The central test is not whether AI assistance can sometimes improve outcomes or sometimes create harm; the test is whether those outcomes are better understood as isolated technical effects, pessimistic deskilling, fragmented contingency, methodological artefact, temporal uncertainty, rapid obsolescence, or as shifts in an equilibrium among capability, task structure, developer oversight, verification infrastructure and organisational absorption.</w:t>
      </w:r>
    </w:p>
    <w:p>
      <w:pPr>
        <w:pStyle w:val="Heading1"/>
      </w:pPr>
      <w:r>
        <w:t>2. Counter-narratives examined</w:t>
      </w:r>
    </w:p>
    <w:p>
      <w:pPr>
        <w:pStyle w:val="Heading2"/>
      </w:pPr>
      <w:r>
        <w:t>2.1 CN1: Pure technocratic interpretation</w:t>
      </w:r>
    </w:p>
    <w:p>
      <w:r>
        <w:rPr>
          <w:b/>
        </w:rPr>
        <w:t xml:space="preserve">2.1.1 Counter-narrative statement: </w:t>
      </w:r>
      <w:r>
        <w:t>AI-assisted programming is primarily a productivity and capability tool, so socio-technical framing overstates complexity.</w:t>
      </w:r>
    </w:p>
    <w:p>
      <w:r>
        <w:rPr>
          <w:b/>
        </w:rPr>
        <w:t xml:space="preserve">2.1.2 Who would make this argument: </w:t>
      </w:r>
      <w:r>
        <w:t>A tool-centric software-engineering reviewer, benchmark researcher or industry reader focused on throughput would advance this argument, especially when reading benchmark success rates as the dominant signal.</w:t>
      </w:r>
    </w:p>
    <w:p>
      <w:r>
        <w:rPr>
          <w:b/>
        </w:rPr>
        <w:t xml:space="preserve">2.1.3 Strongest evidence for the counter-narrative: </w:t>
      </w:r>
      <w:r>
        <w:t>Selective support exists where models achieve high benchmark performance or improve task completion. Claude Sonnet 4 reached 95.1% success on 164 HumanEval Python problems, while stricter EvalPlus testing reduced apparent HumanEval pass@k by 28.9%, showing both strong capability and the danger of over-reading shallow tests [1, 2]. Real-world class-level generation also shows capability movement, with a reported 40.90 Pass@1 improvement under an agentic retrieval approach on DevEval [3].</w:t>
      </w:r>
    </w:p>
    <w:p>
      <w:r>
        <w:rPr>
          <w:b/>
        </w:rPr>
        <w:t xml:space="preserve">2.1.4 Where the counter-narrative falls short: </w:t>
      </w:r>
      <w:r>
        <w:t>The counter-reading weakens once quality costs are included. Rabbi reports 76.46% of generated snippets and 84.51% of modified snippets with at least one quality issue; Pearce reports approximately 40% vulnerable Copilot-generated programs; and Siddiq et al. report 67% vulnerable code for CodeGen-350M-Mono in SecurityEval [4, 5]. Human-use studies also show that productivity benefits are mediated by behaviour, trust and review: Wermelinger describes practical use with Copilot, Kazemitabaar studies learning use, Barke identifies grounded interaction modes, and Nathan’s “vibe coding” work foregrounds strategic delegation and verification practices [].</w:t>
      </w:r>
    </w:p>
    <w:p>
      <w:r>
        <w:rPr>
          <w:b/>
        </w:rPr>
        <w:t xml:space="preserve">2.1.5 Why the equilibrium framework better accounts for the evidence: </w:t>
      </w:r>
      <w:r>
        <w:t>The equilibrium framework better accounts for the simultaneous presence of capability gains and quality liabilities. Its constructs of model capability, task structure, human oversight and verification infrastructure explain why high performance on bounded tasks can coexist with security and maintainability risk in downstream use.</w:t>
      </w:r>
    </w:p>
    <w:p>
      <w:r>
        <w:rPr>
          <w:b/>
        </w:rPr>
        <w:t xml:space="preserve">2.1.6 What the counter-narrative correctly identifies: </w:t>
      </w:r>
      <w:r>
        <w:t>The counter-narrative correctly identifies that the manuscript should not bury productivity and benchmark improvement under sociological language. Capability increases are real, measurable and central to adoption.</w:t>
      </w:r>
    </w:p>
    <w:p>
      <w:r>
        <w:rPr>
          <w:b/>
        </w:rPr>
        <w:t xml:space="preserve">2.1.7 Defensive framing in the manuscript: </w:t>
      </w:r>
      <w:r>
        <w:t>The Discussion should pre-empt this critique by presenting productivity as one pole of the equilibrium rather than as a rejected explanation. Anchor the defence with benchmark gains and real-world improvement evidence, then immediately pair it with defect and vulnerability anchors.</w:t>
      </w:r>
    </w:p>
    <w:p>
      <w:pPr>
        <w:pStyle w:val="Heading2"/>
      </w:pPr>
      <w:r>
        <w:t>2.2 CN2: Critical-pessimistic deskilling interpretation</w:t>
      </w:r>
    </w:p>
    <w:p>
      <w:r>
        <w:rPr>
          <w:b/>
        </w:rPr>
        <w:t xml:space="preserve">2.2.1 Counter-narrative statement: </w:t>
      </w:r>
      <w:r>
        <w:t>AI-assisted programming is primarily a deskilling and technical-debt threat, so equilibrium framing understates harm.</w:t>
      </w:r>
    </w:p>
    <w:p>
      <w:r>
        <w:rPr>
          <w:b/>
        </w:rPr>
        <w:t xml:space="preserve">2.2.2 Who would make this argument: </w:t>
      </w:r>
      <w:r>
        <w:t>A critical software-engineering theorist, secure-coding reviewer or computing-education scholar concerned with automation dependency would make this argument.</w:t>
      </w:r>
    </w:p>
    <w:p>
      <w:r>
        <w:rPr>
          <w:b/>
        </w:rPr>
        <w:t xml:space="preserve">2.2.3 Strongest evidence for the counter-narrative: </w:t>
      </w:r>
      <w:r>
        <w:t>The strongest evidence is the concentration of defects, vulnerabilities and surviving debt. Rabbi’s quality-issue rates of 76.46% for generated snippets and 84.51% for modified snippets, Pearce’s approximately 40% vulnerable programs, and Liu et al.’s finding that 24.2% of tracked AI-introduced issues survived to the latest repository revision support a harm-centred reading [4, 5, 6]. Defect taxonomies deepen this concern: Tambon examines bugs in LLM-generated code, Esfahani reports 19.51% failed generation instances, and Pan reports 33.5% of translation bugs in a studied category, suggesting that failure is not random noise but patterned quality risk [7, 8, 9].</w:t>
      </w:r>
    </w:p>
    <w:p>
      <w:r>
        <w:rPr>
          <w:b/>
        </w:rPr>
        <w:t xml:space="preserve">2.2.4 Where the counter-narrative falls short: </w:t>
      </w:r>
      <w:r>
        <w:t>The deskilling account is too one-directional. Studies of prompt engineering, secure-code generation and controlled comparison show that outcomes can improve when interaction and verification are redesigned; Li, Siddiq and Shen each show that generation performance is sensitive to prompt, model and evaluation configuration [10]. Human studies also complicate the claim that developers simply lose skill: Kazemitabaar studies learners’ programming interaction with AI, Wermelinger studies practical Copilot use, Zhong examines human–AI pair programming, and Yan reports that AI use changes both behaviour and outcomes rather than producing uniform erosion [].</w:t>
      </w:r>
    </w:p>
    <w:p>
      <w:r>
        <w:rPr>
          <w:b/>
        </w:rPr>
        <w:t xml:space="preserve">2.2.5 Why the equilibrium framework better accounts for the evidence: </w:t>
      </w:r>
      <w:r>
        <w:t>The equilibrium framework absorbs the pessimistic evidence without reducing the corpus to harm. It predicts that when capability is high but verification, expertise and task decomposition are weak, quality debt accumulates; when oversight and workflow design improve, assistance can shift towards augmentation rather than deskilling.</w:t>
      </w:r>
    </w:p>
    <w:p>
      <w:r>
        <w:rPr>
          <w:b/>
        </w:rPr>
        <w:t xml:space="preserve">2.2.6 What the counter-narrative correctly identifies: </w:t>
      </w:r>
      <w:r>
        <w:t>The counter-narrative correctly identifies that harm is not peripheral. Persistent AI-introduced issues and high vulnerability rates should be treated as first-order evidence, not as caveats after a productivity story.</w:t>
      </w:r>
    </w:p>
    <w:p>
      <w:r>
        <w:rPr>
          <w:b/>
        </w:rPr>
        <w:t xml:space="preserve">2.2.7 Defensive framing in the manuscript: </w:t>
      </w:r>
      <w:r>
        <w:t>The manuscript should state explicitly that equilibrium is not a neutral or optimistic metaphor. It can settle into a harmful equilibrium when organisations normalise shallow review, weak tests and over-trust in generated code.</w:t>
      </w:r>
    </w:p>
    <w:p>
      <w:pPr>
        <w:pStyle w:val="Heading2"/>
      </w:pPr>
      <w:r>
        <w:t>2.3 CN3: Anti-theoretical fragmentation interpretation</w:t>
      </w:r>
    </w:p>
    <w:p>
      <w:r>
        <w:rPr>
          <w:b/>
        </w:rPr>
        <w:t xml:space="preserve">2.3.1 Counter-narrative statement: </w:t>
      </w:r>
      <w:r>
        <w:t>The corpus is too heterogeneous for a unifying framework; it shows fragmentation rather than equilibrium.</w:t>
      </w:r>
    </w:p>
    <w:p>
      <w:r>
        <w:rPr>
          <w:b/>
        </w:rPr>
        <w:t xml:space="preserve">2.3.2 Who would make this argument: </w:t>
      </w:r>
      <w:r>
        <w:t>A methods-oriented reviewer or empirical software-engineering scholar sceptical of grand theory would advance this view, especially given the variety of tasks, models, languages, benchmarks and populations.</w:t>
      </w:r>
    </w:p>
    <w:p>
      <w:r>
        <w:rPr>
          <w:b/>
        </w:rPr>
        <w:t xml:space="preserve">2.3.3 Strongest evidence for the counter-narrative: </w:t>
      </w:r>
      <w:r>
        <w:t>The evidence for fragmentation is substantial. Benchmark studies report task-specific performance such as 95.1% HumanEval success and a 28.9% drop under stricter tests, repository-level studies report different effects such as DevEval class-level improvement, and vulnerability studies report security-specific rates around 40% vulnerable programs [1, 2, 3, 5]. Other papers shift the unit of analysis again: Xia studies conversational repair, Dziemian evaluates LLMs in programming education contexts, Fang studies large-language-model vulnerability detection, and Zhang explores code generation in specialised contexts [].</w:t>
      </w:r>
    </w:p>
    <w:p>
      <w:r>
        <w:rPr>
          <w:b/>
        </w:rPr>
        <w:t xml:space="preserve">2.3.4 Where the counter-narrative falls short: </w:t>
      </w:r>
      <w:r>
        <w:t>However, fragmentation does not mean absence of structure. Across heterogeneous designs, recurrent mechanisms appear: benchmark adequacy, test insufficiency, vulnerability exposure, modification effort, multi-turn repair, and human oversight. Rabbi’s 76.46%/84.51% quality-issue contrast, Liu et al.’s 24.2% surviving AI-introduced issues, and Vangala’s dependency-gap framing all point to recurrent downstream absorption problems rather than isolated anomalies [4, 6]. Interaction studies by Barke, Nathan, Dong and Nam likewise show repeated patterns in how developers decompose, supervise and repair AI output [].</w:t>
      </w:r>
    </w:p>
    <w:p>
      <w:r>
        <w:rPr>
          <w:b/>
        </w:rPr>
        <w:t xml:space="preserve">2.3.5 Why the equilibrium framework better accounts for the evidence: </w:t>
      </w:r>
      <w:r>
        <w:t>The equilibrium framework is stronger than a single-effect theory because it expects heterogeneity. Its claim is not that all studies converge on one outcome, but that outcomes vary systematically with task, model, developer practice and verification environment.</w:t>
      </w:r>
    </w:p>
    <w:p>
      <w:r>
        <w:rPr>
          <w:b/>
        </w:rPr>
        <w:t xml:space="preserve">2.3.6 What the counter-narrative correctly identifies: </w:t>
      </w:r>
      <w:r>
        <w:t>The counter-narrative correctly warns against over-unification. The manuscript should avoid claiming a universal positive or negative effect and should present the framework as mid-range theory rather than as a law-like model.</w:t>
      </w:r>
    </w:p>
    <w:p>
      <w:r>
        <w:rPr>
          <w:b/>
        </w:rPr>
        <w:t xml:space="preserve">2.3.7 Defensive framing in the manuscript: </w:t>
      </w:r>
      <w:r>
        <w:t>The Discussion should include an explicit “heterogeneity is evidence, not noise” paragraph. It should cite both benchmark and field/repository evidence to show that the framework explains patterned variation rather than averages alone.</w:t>
      </w:r>
    </w:p>
    <w:p>
      <w:pPr>
        <w:pStyle w:val="Heading2"/>
      </w:pPr>
      <w:r>
        <w:t>2.4 CN4: Methodological-deflationary interpretation</w:t>
      </w:r>
    </w:p>
    <w:p>
      <w:r>
        <w:rPr>
          <w:b/>
        </w:rPr>
        <w:t xml:space="preserve">2.4.1 Counter-narrative statement: </w:t>
      </w:r>
      <w:r>
        <w:t>Differences across studies are primarily methodological artefacts; once design is controlled, effects are smaller and less stable than claimed.</w:t>
      </w:r>
    </w:p>
    <w:p>
      <w:r>
        <w:rPr>
          <w:b/>
        </w:rPr>
        <w:t xml:space="preserve">2.4.2 Who would make this argument: </w:t>
      </w:r>
      <w:r>
        <w:t>A reviewer trained in experimental design, benchmarking or evidence synthesis would make this argument, especially when seeing headline percentages drawn from incompatible denominators.</w:t>
      </w:r>
    </w:p>
    <w:p>
      <w:r>
        <w:rPr>
          <w:b/>
        </w:rPr>
        <w:t xml:space="preserve">2.4.3 Strongest evidence for the counter-narrative: </w:t>
      </w:r>
      <w:r>
        <w:t>The strongest support is that many results depend heavily on benchmark, test suite and evaluation design. Liu et al.’s 28.9% pass@k drop under stricter EvalPlus-style testing directly shows that apparent correctness can be inflated by weak tests [2]. Bayram’s 164-problem HumanEval setting and Ovi’s comparative programming/debugging tasks produce bounded performance estimates, while Wu reports API-oriented error patterns, including 85.6%–86.2% in one incorrect return/parameter category, under a specialised evaluation frame [1, 12, 11].</w:t>
      </w:r>
    </w:p>
    <w:p>
      <w:r>
        <w:rPr>
          <w:b/>
        </w:rPr>
        <w:t xml:space="preserve">2.4.4 Where the counter-narrative falls short: </w:t>
      </w:r>
      <w:r>
        <w:t>The limitation of this counter-narrative is that methodological sensitivity is itself part of the phenomenon. Repository and lifecycle studies show quality problems beyond synthetic benchmark design: Liu et al. identify 484,606 distinct AI-introduced issues, more than 15% of commits from each AI assistant introducing at least one issue, and 24.2% issue survival [6]. Security and defect studies also reproduce concern across different designs: Pearce’s approximately 40% vulnerability rate, Siddiq’s SecurityEval vulnerability findings and Pan’s translation-bug evidence do not rely on the same benchmark apparatus [5, 9].</w:t>
      </w:r>
    </w:p>
    <w:p>
      <w:r>
        <w:rPr>
          <w:b/>
        </w:rPr>
        <w:t xml:space="preserve">2.4.5 Why the equilibrium framework better accounts for the evidence: </w:t>
      </w:r>
      <w:r>
        <w:t>The equilibrium framework benefits from the deflationary critique because it treats measurement infrastructure as a construct rather than a nuisance. Test adequacy, benchmark realism and review workflow determine whether capability becomes reliable production quality.</w:t>
      </w:r>
    </w:p>
    <w:p>
      <w:r>
        <w:rPr>
          <w:b/>
        </w:rPr>
        <w:t xml:space="preserve">2.4.6 What the counter-narrative correctly identifies: </w:t>
      </w:r>
      <w:r>
        <w:t>The counter-narrative correctly identifies that the manuscript must avoid comparing percentages as if their denominators were interchangeable. Some anchors are diagnostic, not commensurable.</w:t>
      </w:r>
    </w:p>
    <w:p>
      <w:r>
        <w:rPr>
          <w:b/>
        </w:rPr>
        <w:t xml:space="preserve">2.4.7 Defensive framing in the manuscript: </w:t>
      </w:r>
      <w:r>
        <w:t>The Results and Discussion should separate benchmark performance, repository evidence, human studies and security evaluations before synthesising. Defensive wording should say “convergent mechanisms across non-equivalent designs”, not “pooled effect”.</w:t>
      </w:r>
    </w:p>
    <w:p>
      <w:pPr>
        <w:pStyle w:val="Heading2"/>
      </w:pPr>
      <w:r>
        <w:t>2.5 CN5: Temporal-uncertainty interpretation</w:t>
      </w:r>
    </w:p>
    <w:p>
      <w:r>
        <w:rPr>
          <w:b/>
        </w:rPr>
        <w:t xml:space="preserve">2.5.1 Counter-narrative statement: </w:t>
      </w:r>
      <w:r>
        <w:t>The corpus is dominated by short-term studies, so long-term effects may invert observed quality and debt patterns.</w:t>
      </w:r>
    </w:p>
    <w:p>
      <w:r>
        <w:rPr>
          <w:b/>
        </w:rPr>
        <w:t xml:space="preserve">2.5.2 Who would make this argument: </w:t>
      </w:r>
      <w:r>
        <w:t>A longitudinal-methods reviewer, organisational scholar or technical-debt researcher would advance this argument, arguing that short experiments cannot observe maintenance trajectories.</w:t>
      </w:r>
    </w:p>
    <w:p>
      <w:r>
        <w:rPr>
          <w:b/>
        </w:rPr>
        <w:t xml:space="preserve">2.5.3 Strongest evidence for the counter-narrative: </w:t>
      </w:r>
      <w:r>
        <w:t>The support is strong because many papers evaluate immediate generation, benchmark success or short interaction episodes. HumanEval success of 95.1%, a 28.9% stricter-test drop, and a 40.90 DevEval Pass@1 improvement are immediate or bounded-task indicators rather than long-horizon maintenance outcomes [1, 2, 3]. Human and educational studies such as Kazemitabaar, Wermelinger and Dziemian similarly reveal interaction and learning patterns but cannot fully resolve long-term professional skill or debt accumulation [].</w:t>
      </w:r>
    </w:p>
    <w:p>
      <w:r>
        <w:rPr>
          <w:b/>
        </w:rPr>
        <w:t xml:space="preserve">2.5.4 Where the counter-narrative falls short: </w:t>
      </w:r>
      <w:r>
        <w:t>The counter-narrative loses force where the corpus does include lifecycle or downstream evidence. Liu et al.’s large-scale repository study reports 484,606 distinct issues and 24.2% survival to the latest revision, directly connecting AI introduction to persistence [6]. Vangala’s dependency-gap study, ReCatcher’s regression-testing framing, and Hansson’s code correctness and quality work also move beyond one-shot correctness towards reproducibility, regression and quality over code evolution [13].</w:t>
      </w:r>
    </w:p>
    <w:p>
      <w:r>
        <w:rPr>
          <w:b/>
        </w:rPr>
        <w:t xml:space="preserve">2.5.5 Why the equilibrium framework better accounts for the evidence: </w:t>
      </w:r>
      <w:r>
        <w:t>The equilibrium framework holds, but only with temporal qualification. Equilibrium should be framed as dynamic: short-term acceleration can create delayed verification, dependency and maintenance burdens, while better tooling may later reduce them.</w:t>
      </w:r>
    </w:p>
    <w:p>
      <w:r>
        <w:rPr>
          <w:b/>
        </w:rPr>
        <w:t xml:space="preserve">2.5.6 What the counter-narrative correctly identifies: </w:t>
      </w:r>
      <w:r>
        <w:t>The counter-narrative correctly identifies a real evidentiary gap. Longitudinal organisational adoption, skill development, maintenance cost and refactoring trajectories remain under-observed in the current CQTD core.</w:t>
      </w:r>
    </w:p>
    <w:p>
      <w:r>
        <w:rPr>
          <w:b/>
        </w:rPr>
        <w:t xml:space="preserve">2.5.7 Defensive framing in the manuscript: </w:t>
      </w:r>
      <w:r>
        <w:t>The manuscript should concede temporal uncertainty in Threats to Validity and Future Research, while using repository-lifecycle evidence to show that long-term risk is already visible rather than merely speculative.</w:t>
      </w:r>
    </w:p>
    <w:p>
      <w:pPr>
        <w:pStyle w:val="Heading2"/>
      </w:pPr>
      <w:r>
        <w:t>2.6 CN6: Capability-trajectory obsolescence interpretation</w:t>
      </w:r>
    </w:p>
    <w:p>
      <w:r>
        <w:rPr>
          <w:b/>
        </w:rPr>
        <w:t xml:space="preserve">2.6.1 Counter-narrative statement: </w:t>
      </w:r>
      <w:r>
        <w:t>Frontier model capabilities are evolving so quickly that the corpus may be obsolete within two years.</w:t>
      </w:r>
    </w:p>
    <w:p>
      <w:r>
        <w:rPr>
          <w:b/>
        </w:rPr>
        <w:t xml:space="preserve">2.6.2 Who would make this argument: </w:t>
      </w:r>
      <w:r>
        <w:t>A frontier-model researcher, industry reviewer or editor concerned with fast-moving generative-AI evidence would make this argument.</w:t>
      </w:r>
    </w:p>
    <w:p>
      <w:r>
        <w:rPr>
          <w:b/>
        </w:rPr>
        <w:t xml:space="preserve">2.6.3 Strongest evidence for the counter-narrative: </w:t>
      </w:r>
      <w:r>
        <w:t>Support comes from the corpus itself: performance varies sharply by model generation and evaluation setting. Bayram reports very high Claude Sonnet 4 HumanEval performance, Rahman reports large gains from agentic retrieval, and Ovi compares ChatGPT, Codeium and Copilot under different task conditions [1, 3, 12]. Security and quality studies also show model-sensitive outcomes: Siddiq, Wang and Tonmoy evaluate different LLMs and reveal that vulnerability or correctness rates are not fixed properties of “AI coding” as a whole [].</w:t>
      </w:r>
    </w:p>
    <w:p>
      <w:r>
        <w:rPr>
          <w:b/>
        </w:rPr>
        <w:t xml:space="preserve">2.6.4 Where the counter-narrative falls short: </w:t>
      </w:r>
      <w:r>
        <w:t>Yet obsolescence does not erase the socio-technical mechanisms. Even stronger models require tests, dependency management, prompt/context selection, review and integration. Liu et al.’s 24.2% surviving issue rate, Vangala’s dependency-gap evidence and Pearce’s vulnerability findings remain warnings about deployment pathways, not merely model snapshots [6, 5]. Interaction-oriented work by Barke, Nathan, Xia and Dong also concerns how humans organise work around AI outputs, a problem that persists as models improve [].</w:t>
      </w:r>
    </w:p>
    <w:p>
      <w:r>
        <w:rPr>
          <w:b/>
        </w:rPr>
        <w:t xml:space="preserve">2.6.5 Why the equilibrium framework better accounts for the evidence: </w:t>
      </w:r>
      <w:r>
        <w:t>The equilibrium framework is more resilient than model-specific claims because it abstracts from particular model versions to relations among capability, oversight, task demands and verification. Capability shifts may move the equilibrium point, but they do not remove the need for equilibrium analysis.</w:t>
      </w:r>
    </w:p>
    <w:p>
      <w:r>
        <w:rPr>
          <w:b/>
        </w:rPr>
        <w:t xml:space="preserve">2.6.6 What the counter-narrative correctly identifies: </w:t>
      </w:r>
      <w:r>
        <w:t>The counter-narrative correctly identifies that static claims about a named model will age quickly. The manuscript should therefore avoid model-ranking conclusions and emphasise mechanisms that remain relevant across capability generations.</w:t>
      </w:r>
    </w:p>
    <w:p>
      <w:r>
        <w:rPr>
          <w:b/>
        </w:rPr>
        <w:t xml:space="preserve">2.6.7 Defensive framing in the manuscript: </w:t>
      </w:r>
      <w:r>
        <w:t>The manuscript should pre-empt this critique in the Introduction and Limitations by distinguishing time-sensitive empirical estimates from more durable socio-technical mechanisms. Use recent high-capability anchors alongside persistent-quality anchors.</w:t>
      </w:r>
    </w:p>
    <w:p>
      <w:pPr>
        <w:pStyle w:val="Heading1"/>
      </w:pPr>
      <w:r>
        <w:t>3. Framework resilience assessment</w:t>
      </w:r>
    </w:p>
    <w:p>
      <w:r>
        <w:t>Overall, the socio-technical equilibrium framework holds most strongly against purely technocratic and purely pessimistic readings. The corpus contains clear evidence of capability gains, but those gains are repeatedly conditioned by task realism, evaluation strictness, vulnerability exposure, defect patterns and human review. Conversely, the corpus contains serious harm signals, including vulnerable outputs, quality issues and surviving AI-introduced debt, but it does not justify treating harm as inevitable or uniform.</w:t>
      </w:r>
    </w:p>
    <w:p>
      <w:r>
        <w:t>The framework also holds against the anti-theoretical objection if it is presented as a mid-range explanatory framework rather than as a universal effect model. Heterogeneity across benchmarks, repositories, educational settings, security tasks and interaction studies is not a failure of synthesis; it is the empirical basis for modelling how capability, oversight and verification shift outcomes. This should be made explicit to avoid implying that the review has discovered a single average effect of AI assistance on code quality.</w:t>
      </w:r>
    </w:p>
    <w:p>
      <w:r>
        <w:t>The methodological-deflationary counter-narrative is the most useful corrective. It does not defeat the framework, but it requires disciplined wording: the manuscript should not pool incompatible percentages or treat benchmark pass rates, vulnerability rates, repository issue survival and human interaction outcomes as commensurable measures. Instead, these should be used as triangulating anchors for mechanisms: test insufficiency, downstream absorption, security exposure, repair burden and maintenance persistence.</w:t>
      </w:r>
    </w:p>
    <w:p>
      <w:r>
        <w:t>The framework requires its strongest qualification on temporality and capability trajectory. Many corpus findings are short-horizon or tied to specific model generations. The resilient claim is therefore not that today’s defect or success rates will remain stable, but that AI-assisted programming quality emerges from moving relations among model capability, task context, developer expertise, verification systems and organisational practice.</w:t>
      </w:r>
    </w:p>
    <w:p>
      <w:pPr>
        <w:pStyle w:val="Heading1"/>
      </w:pPr>
      <w:r>
        <w:t>4. Adversarial reviewer pre-emption</w:t>
      </w:r>
    </w:p>
    <w:p>
      <w:r>
        <w:t>The Introduction should pre-empt CN1 and CN6 by stating that the review accepts rapid capability improvement and productivity value as real, but treats them as insufficient explanations for production code quality. The opening defence can be anchored by high-performance and capability-improvement studies, paired with evidence that stricter tests, real-world tasks and security settings change the interpretation [1, 2, 3, 5].</w:t>
      </w:r>
    </w:p>
    <w:p>
      <w:r>
        <w:t>The Results section should pre-empt CN3 and CN4 through structure. Separate subsections should distinguish synthetic benchmark performance, real-world/repository evidence, security vulnerability evidence, maintainability/debt evidence and human-interaction evidence. The synthesis should avoid pooled claims and instead argue for mechanism-level convergence across non-equivalent designs [4, 6].</w:t>
      </w:r>
    </w:p>
    <w:p>
      <w:r>
        <w:t>The Discussion, Limitations and Future Research sections should explicitly concede CN2 and CN5 where the evidence warrants it. The manuscript should acknowledge that high vulnerability rates and surviving issues support a serious technical-debt warning, and that long-term organisational and skill effects remain incompletely observed. That concession should then be used to strengthen, not weaken, the dynamic equilibrium claim [5, 6].</w:t>
      </w:r>
    </w:p>
    <w:p>
      <w:pPr>
        <w:pStyle w:val="Heading1"/>
      </w:pPr>
      <w:r>
        <w:t>5. Headline counter-narratives table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top"/>
          </w:tcPr>
          <w:p>
            <w:r>
              <w:rPr>
                <w:sz w:val="17"/>
              </w:rPr>
            </w:r>
            <w:r>
              <w:rPr>
                <w:b/>
                <w:sz w:val="17"/>
              </w:rPr>
              <w:t>#</w:t>
            </w:r>
          </w:p>
        </w:tc>
        <w:tc>
          <w:tcPr>
            <w:tcW w:type="dxa" w:w="1987"/>
            <w:vAlign w:val="top"/>
          </w:tcPr>
          <w:p>
            <w:r>
              <w:rPr>
                <w:sz w:val="17"/>
              </w:rPr>
            </w:r>
            <w:r>
              <w:rPr>
                <w:b/>
                <w:sz w:val="17"/>
              </w:rPr>
              <w:t>Counter-narrative</w:t>
            </w:r>
          </w:p>
        </w:tc>
        <w:tc>
          <w:tcPr>
            <w:tcW w:type="dxa" w:w="1987"/>
            <w:vAlign w:val="top"/>
          </w:tcPr>
          <w:p>
            <w:r>
              <w:rPr>
                <w:sz w:val="17"/>
              </w:rPr>
            </w:r>
            <w:r>
              <w:rPr>
                <w:b/>
                <w:sz w:val="17"/>
              </w:rPr>
              <w:t>Strongest supporting evidence</w:t>
            </w:r>
          </w:p>
        </w:tc>
        <w:tc>
          <w:tcPr>
            <w:tcW w:type="dxa" w:w="1987"/>
            <w:vAlign w:val="top"/>
          </w:tcPr>
          <w:p>
            <w:r>
              <w:rPr>
                <w:sz w:val="17"/>
              </w:rPr>
            </w:r>
            <w:r>
              <w:rPr>
                <w:b/>
                <w:sz w:val="17"/>
              </w:rPr>
              <w:t>Framework response</w:t>
            </w:r>
          </w:p>
        </w:tc>
        <w:tc>
          <w:tcPr>
            <w:tcW w:type="dxa" w:w="1987"/>
            <w:vAlign w:val="top"/>
          </w:tcPr>
          <w:p>
            <w:r>
              <w:rPr>
                <w:sz w:val="17"/>
              </w:rPr>
            </w:r>
            <w:r>
              <w:rPr>
                <w:b/>
                <w:sz w:val="17"/>
              </w:rPr>
              <w:t>Manuscript pre-emption strategy</w:t>
            </w:r>
          </w:p>
        </w:tc>
      </w:tr>
      <w:tr>
        <w:tc>
          <w:tcPr>
            <w:tcW w:type="dxa" w:w="1987"/>
            <w:vAlign w:val="top"/>
          </w:tcPr>
          <w:p>
            <w:r>
              <w:rPr>
                <w:sz w:val="17"/>
              </w:rPr>
            </w:r>
            <w:r>
              <w:rPr>
                <w:b w:val="0"/>
                <w:sz w:val="17"/>
              </w:rPr>
              <w:t>CN1</w:t>
            </w:r>
          </w:p>
        </w:tc>
        <w:tc>
          <w:tcPr>
            <w:tcW w:type="dxa" w:w="1987"/>
            <w:vAlign w:val="top"/>
          </w:tcPr>
          <w:p>
            <w:r>
              <w:rPr>
                <w:sz w:val="17"/>
              </w:rPr>
            </w:r>
            <w:r>
              <w:rPr>
                <w:b w:val="0"/>
                <w:sz w:val="17"/>
              </w:rPr>
              <w:t>AI assistance is mainly a productivity tool.</w:t>
            </w:r>
          </w:p>
        </w:tc>
        <w:tc>
          <w:tcPr>
            <w:tcW w:type="dxa" w:w="1987"/>
            <w:vAlign w:val="top"/>
          </w:tcPr>
          <w:p>
            <w:r>
              <w:rPr>
                <w:sz w:val="17"/>
              </w:rPr>
            </w:r>
            <w:r>
              <w:rPr>
                <w:b w:val="0"/>
                <w:sz w:val="17"/>
              </w:rPr>
              <w:t>High HumanEval success, DevEval improvement and benchmark gains.</w:t>
            </w:r>
          </w:p>
        </w:tc>
        <w:tc>
          <w:tcPr>
            <w:tcW w:type="dxa" w:w="1987"/>
            <w:vAlign w:val="top"/>
          </w:tcPr>
          <w:p>
            <w:r>
              <w:rPr>
                <w:sz w:val="17"/>
              </w:rPr>
            </w:r>
            <w:r>
              <w:rPr>
                <w:b w:val="0"/>
                <w:sz w:val="17"/>
              </w:rPr>
              <w:t>Capability gains are real but conditional on task realism, oversight and verification.</w:t>
            </w:r>
          </w:p>
        </w:tc>
        <w:tc>
          <w:tcPr>
            <w:tcW w:type="dxa" w:w="1987"/>
            <w:vAlign w:val="top"/>
          </w:tcPr>
          <w:p>
            <w:r>
              <w:rPr>
                <w:sz w:val="17"/>
              </w:rPr>
            </w:r>
            <w:r>
              <w:rPr>
                <w:b w:val="0"/>
                <w:sz w:val="17"/>
              </w:rPr>
              <w:t>Pair productivity anchors with defect and security anchors in the Introduction and Results.</w:t>
            </w:r>
          </w:p>
        </w:tc>
      </w:tr>
      <w:tr>
        <w:tc>
          <w:tcPr>
            <w:tcW w:type="dxa" w:w="1987"/>
            <w:vAlign w:val="top"/>
          </w:tcPr>
          <w:p>
            <w:r>
              <w:rPr>
                <w:sz w:val="17"/>
              </w:rPr>
            </w:r>
            <w:r>
              <w:rPr>
                <w:b w:val="0"/>
                <w:sz w:val="17"/>
              </w:rPr>
              <w:t>CN2</w:t>
            </w:r>
          </w:p>
        </w:tc>
        <w:tc>
          <w:tcPr>
            <w:tcW w:type="dxa" w:w="1987"/>
            <w:vAlign w:val="top"/>
          </w:tcPr>
          <w:p>
            <w:r>
              <w:rPr>
                <w:sz w:val="17"/>
              </w:rPr>
            </w:r>
            <w:r>
              <w:rPr>
                <w:b w:val="0"/>
                <w:sz w:val="17"/>
              </w:rPr>
              <w:t>AI assistance is mainly deskilling and debt.</w:t>
            </w:r>
          </w:p>
        </w:tc>
        <w:tc>
          <w:tcPr>
            <w:tcW w:type="dxa" w:w="1987"/>
            <w:vAlign w:val="top"/>
          </w:tcPr>
          <w:p>
            <w:r>
              <w:rPr>
                <w:sz w:val="17"/>
              </w:rPr>
            </w:r>
            <w:r>
              <w:rPr>
                <w:b w:val="0"/>
                <w:sz w:val="17"/>
              </w:rPr>
              <w:t>High quality-issue rates, vulnerable programs and surviving AI-introduced issues.</w:t>
            </w:r>
          </w:p>
        </w:tc>
        <w:tc>
          <w:tcPr>
            <w:tcW w:type="dxa" w:w="1987"/>
            <w:vAlign w:val="top"/>
          </w:tcPr>
          <w:p>
            <w:r>
              <w:rPr>
                <w:sz w:val="17"/>
              </w:rPr>
            </w:r>
            <w:r>
              <w:rPr>
                <w:b w:val="0"/>
                <w:sz w:val="17"/>
              </w:rPr>
              <w:t>Harm occurs when equilibrium shifts towards weak review and over-trust, but outcomes are not uniformly harmful.</w:t>
            </w:r>
          </w:p>
        </w:tc>
        <w:tc>
          <w:tcPr>
            <w:tcW w:type="dxa" w:w="1987"/>
            <w:vAlign w:val="top"/>
          </w:tcPr>
          <w:p>
            <w:r>
              <w:rPr>
                <w:sz w:val="17"/>
              </w:rPr>
            </w:r>
            <w:r>
              <w:rPr>
                <w:b w:val="0"/>
                <w:sz w:val="17"/>
              </w:rPr>
              <w:t>Concede harm explicitly; frame bad equilibrium as a possible state.</w:t>
            </w:r>
          </w:p>
        </w:tc>
      </w:tr>
      <w:tr>
        <w:tc>
          <w:tcPr>
            <w:tcW w:type="dxa" w:w="1987"/>
            <w:vAlign w:val="top"/>
          </w:tcPr>
          <w:p>
            <w:r>
              <w:rPr>
                <w:sz w:val="17"/>
              </w:rPr>
            </w:r>
            <w:r>
              <w:rPr>
                <w:b w:val="0"/>
                <w:sz w:val="17"/>
              </w:rPr>
              <w:t>CN3</w:t>
            </w:r>
          </w:p>
        </w:tc>
        <w:tc>
          <w:tcPr>
            <w:tcW w:type="dxa" w:w="1987"/>
            <w:vAlign w:val="top"/>
          </w:tcPr>
          <w:p>
            <w:r>
              <w:rPr>
                <w:sz w:val="17"/>
              </w:rPr>
            </w:r>
            <w:r>
              <w:rPr>
                <w:b w:val="0"/>
                <w:sz w:val="17"/>
              </w:rPr>
              <w:t>Evidence is fragmented; no framework is justified.</w:t>
            </w:r>
          </w:p>
        </w:tc>
        <w:tc>
          <w:tcPr>
            <w:tcW w:type="dxa" w:w="1987"/>
            <w:vAlign w:val="top"/>
          </w:tcPr>
          <w:p>
            <w:r>
              <w:rPr>
                <w:sz w:val="17"/>
              </w:rPr>
            </w:r>
            <w:r>
              <w:rPr>
                <w:b w:val="0"/>
                <w:sz w:val="17"/>
              </w:rPr>
              <w:t>Different tasks, models, languages, populations and units of analysis.</w:t>
            </w:r>
          </w:p>
        </w:tc>
        <w:tc>
          <w:tcPr>
            <w:tcW w:type="dxa" w:w="1987"/>
            <w:vAlign w:val="top"/>
          </w:tcPr>
          <w:p>
            <w:r>
              <w:rPr>
                <w:sz w:val="17"/>
              </w:rPr>
            </w:r>
            <w:r>
              <w:rPr>
                <w:b w:val="0"/>
                <w:sz w:val="17"/>
              </w:rPr>
              <w:t>The framework explains patterned heterogeneity rather than a single average effect.</w:t>
            </w:r>
          </w:p>
        </w:tc>
        <w:tc>
          <w:tcPr>
            <w:tcW w:type="dxa" w:w="1987"/>
            <w:vAlign w:val="top"/>
          </w:tcPr>
          <w:p>
            <w:r>
              <w:rPr>
                <w:sz w:val="17"/>
              </w:rPr>
            </w:r>
            <w:r>
              <w:rPr>
                <w:b w:val="0"/>
                <w:sz w:val="17"/>
              </w:rPr>
              <w:t>Add “heterogeneity is evidence, not noise” framing.</w:t>
            </w:r>
          </w:p>
        </w:tc>
      </w:tr>
      <w:tr>
        <w:tc>
          <w:tcPr>
            <w:tcW w:type="dxa" w:w="1987"/>
            <w:vAlign w:val="top"/>
          </w:tcPr>
          <w:p>
            <w:r>
              <w:rPr>
                <w:sz w:val="17"/>
              </w:rPr>
            </w:r>
            <w:r>
              <w:rPr>
                <w:b w:val="0"/>
                <w:sz w:val="17"/>
              </w:rPr>
              <w:t>CN4</w:t>
            </w:r>
          </w:p>
        </w:tc>
        <w:tc>
          <w:tcPr>
            <w:tcW w:type="dxa" w:w="1987"/>
            <w:vAlign w:val="top"/>
          </w:tcPr>
          <w:p>
            <w:r>
              <w:rPr>
                <w:sz w:val="17"/>
              </w:rPr>
            </w:r>
            <w:r>
              <w:rPr>
                <w:b w:val="0"/>
                <w:sz w:val="17"/>
              </w:rPr>
              <w:t>Findings are methodological artefacts.</w:t>
            </w:r>
          </w:p>
        </w:tc>
        <w:tc>
          <w:tcPr>
            <w:tcW w:type="dxa" w:w="1987"/>
            <w:vAlign w:val="top"/>
          </w:tcPr>
          <w:p>
            <w:r>
              <w:rPr>
                <w:sz w:val="17"/>
              </w:rPr>
            </w:r>
            <w:r>
              <w:rPr>
                <w:b w:val="0"/>
                <w:sz w:val="17"/>
              </w:rPr>
              <w:t>Pass@k drops under stricter tests; denominators and benchmarks differ.</w:t>
            </w:r>
          </w:p>
        </w:tc>
        <w:tc>
          <w:tcPr>
            <w:tcW w:type="dxa" w:w="1987"/>
            <w:vAlign w:val="top"/>
          </w:tcPr>
          <w:p>
            <w:r>
              <w:rPr>
                <w:sz w:val="17"/>
              </w:rPr>
            </w:r>
            <w:r>
              <w:rPr>
                <w:b w:val="0"/>
                <w:sz w:val="17"/>
              </w:rPr>
              <w:t>Measurement infrastructure is part of the socio-technical system.</w:t>
            </w:r>
          </w:p>
        </w:tc>
        <w:tc>
          <w:tcPr>
            <w:tcW w:type="dxa" w:w="1987"/>
            <w:vAlign w:val="top"/>
          </w:tcPr>
          <w:p>
            <w:r>
              <w:rPr>
                <w:sz w:val="17"/>
              </w:rPr>
            </w:r>
            <w:r>
              <w:rPr>
                <w:b w:val="0"/>
                <w:sz w:val="17"/>
              </w:rPr>
              <w:t>Avoid pooled percentages; use mechanism-level synthesis.</w:t>
            </w:r>
          </w:p>
        </w:tc>
      </w:tr>
      <w:tr>
        <w:tc>
          <w:tcPr>
            <w:tcW w:type="dxa" w:w="1987"/>
            <w:vAlign w:val="top"/>
          </w:tcPr>
          <w:p>
            <w:r>
              <w:rPr>
                <w:sz w:val="17"/>
              </w:rPr>
            </w:r>
            <w:r>
              <w:rPr>
                <w:b w:val="0"/>
                <w:sz w:val="17"/>
              </w:rPr>
              <w:t>CN5</w:t>
            </w:r>
          </w:p>
        </w:tc>
        <w:tc>
          <w:tcPr>
            <w:tcW w:type="dxa" w:w="1987"/>
            <w:vAlign w:val="top"/>
          </w:tcPr>
          <w:p>
            <w:r>
              <w:rPr>
                <w:sz w:val="17"/>
              </w:rPr>
            </w:r>
            <w:r>
              <w:rPr>
                <w:b w:val="0"/>
                <w:sz w:val="17"/>
              </w:rPr>
              <w:t>Short-term studies cannot predict long-term effects.</w:t>
            </w:r>
          </w:p>
        </w:tc>
        <w:tc>
          <w:tcPr>
            <w:tcW w:type="dxa" w:w="1987"/>
            <w:vAlign w:val="top"/>
          </w:tcPr>
          <w:p>
            <w:r>
              <w:rPr>
                <w:sz w:val="17"/>
              </w:rPr>
            </w:r>
            <w:r>
              <w:rPr>
                <w:b w:val="0"/>
                <w:sz w:val="17"/>
              </w:rPr>
              <w:t>Many findings are immediate benchmark or short interaction outcomes.</w:t>
            </w:r>
          </w:p>
        </w:tc>
        <w:tc>
          <w:tcPr>
            <w:tcW w:type="dxa" w:w="1987"/>
            <w:vAlign w:val="top"/>
          </w:tcPr>
          <w:p>
            <w:r>
              <w:rPr>
                <w:sz w:val="17"/>
              </w:rPr>
            </w:r>
            <w:r>
              <w:rPr>
                <w:b w:val="0"/>
                <w:sz w:val="17"/>
              </w:rPr>
              <w:t>Equilibrium must be dynamic and temporal, not static.</w:t>
            </w:r>
          </w:p>
        </w:tc>
        <w:tc>
          <w:tcPr>
            <w:tcW w:type="dxa" w:w="1987"/>
            <w:vAlign w:val="top"/>
          </w:tcPr>
          <w:p>
            <w:r>
              <w:rPr>
                <w:sz w:val="17"/>
              </w:rPr>
            </w:r>
            <w:r>
              <w:rPr>
                <w:b w:val="0"/>
                <w:sz w:val="17"/>
              </w:rPr>
              <w:t>Concede longitudinal gap; anchor with repository-lifecycle evidence.</w:t>
            </w:r>
          </w:p>
        </w:tc>
      </w:tr>
      <w:tr>
        <w:tc>
          <w:tcPr>
            <w:tcW w:type="dxa" w:w="1987"/>
            <w:vAlign w:val="top"/>
          </w:tcPr>
          <w:p>
            <w:r>
              <w:rPr>
                <w:sz w:val="17"/>
              </w:rPr>
            </w:r>
            <w:r>
              <w:rPr>
                <w:b w:val="0"/>
                <w:sz w:val="17"/>
              </w:rPr>
              <w:t>CN6</w:t>
            </w:r>
          </w:p>
        </w:tc>
        <w:tc>
          <w:tcPr>
            <w:tcW w:type="dxa" w:w="1987"/>
            <w:vAlign w:val="top"/>
          </w:tcPr>
          <w:p>
            <w:r>
              <w:rPr>
                <w:sz w:val="17"/>
              </w:rPr>
            </w:r>
            <w:r>
              <w:rPr>
                <w:b w:val="0"/>
                <w:sz w:val="17"/>
              </w:rPr>
              <w:t>Fast model improvement will make findings obsolete.</w:t>
            </w:r>
          </w:p>
        </w:tc>
        <w:tc>
          <w:tcPr>
            <w:tcW w:type="dxa" w:w="1987"/>
            <w:vAlign w:val="top"/>
          </w:tcPr>
          <w:p>
            <w:r>
              <w:rPr>
                <w:sz w:val="17"/>
              </w:rPr>
            </w:r>
            <w:r>
              <w:rPr>
                <w:b w:val="0"/>
                <w:sz w:val="17"/>
              </w:rPr>
              <w:t>Performance varies by model generation and agentic approach.</w:t>
            </w:r>
          </w:p>
        </w:tc>
        <w:tc>
          <w:tcPr>
            <w:tcW w:type="dxa" w:w="1987"/>
            <w:vAlign w:val="top"/>
          </w:tcPr>
          <w:p>
            <w:r>
              <w:rPr>
                <w:sz w:val="17"/>
              </w:rPr>
            </w:r>
            <w:r>
              <w:rPr>
                <w:b w:val="0"/>
                <w:sz w:val="17"/>
              </w:rPr>
              <w:t>Capability shifts the equilibrium but does not eliminate oversight and verification needs.</w:t>
            </w:r>
          </w:p>
        </w:tc>
        <w:tc>
          <w:tcPr>
            <w:tcW w:type="dxa" w:w="1987"/>
            <w:vAlign w:val="top"/>
          </w:tcPr>
          <w:p>
            <w:r>
              <w:rPr>
                <w:sz w:val="17"/>
              </w:rPr>
            </w:r>
            <w:r>
              <w:rPr>
                <w:b w:val="0"/>
                <w:sz w:val="17"/>
              </w:rPr>
              <w:t>Separate time-sensitive estimates from durable mechanisms.</w:t>
            </w:r>
          </w:p>
        </w:tc>
      </w:tr>
    </w:tbl>
    <w:p>
      <w:pPr>
        <w:pStyle w:val="Heading1"/>
      </w:pPr>
      <w:r>
        <w:t>6. References</w:t>
      </w:r>
    </w:p>
    <w:p>
      <w:r>
        <w:t>[1] Comparative Analysis of AI Models for Python Code Generation: A HumanEval Benchmark Study.</w:t>
      </w:r>
    </w:p>
    <w:p>
      <w:r>
        <w:t>[2] Is Your Code Generated by ChatGPT Really Correct? Rigorous Evaluation of Large Language Models for Code Generation.</w:t>
      </w:r>
    </w:p>
    <w:p>
      <w:r>
        <w:t>[3] Beyond Synthetic Benchmarks: Evaluating LLM Performance on Real-World Class-Level Code Generation.</w:t>
      </w:r>
    </w:p>
    <w:p>
      <w:r>
        <w:t>[4] AI Writes, We Analyze: The ChatGPT Python Code Saga.</w:t>
      </w:r>
    </w:p>
    <w:p>
      <w:r>
        <w:t>[5] Asleep at the Keyboard? Assessing the Security of GitHub Copilot's Code Contributions.</w:t>
      </w:r>
    </w:p>
    <w:p>
      <w:r>
        <w:t>[6] Debt Behind the AI Boom: A Large-Scale Empirical Study of AI-Generated Code in the Wild.</w:t>
      </w:r>
    </w:p>
    <w:p>
      <w:r>
        <w:t>[7] Bugs in Large Language Models Generated Code: An Empirical Study.</w:t>
      </w:r>
    </w:p>
    <w:p>
      <w:r>
        <w:t>[8] Understanding Defects in Generated Codes by Language Models.</w:t>
      </w:r>
    </w:p>
    <w:p>
      <w:r>
        <w:t>[9] Lost in Translation: A Study of Bugs Introduced by Large Language Models while Translating Code.</w:t>
      </w:r>
    </w:p>
    <w:p>
      <w:r>
        <w:t>[10] Generate and Pray: Using SALLMS to Evaluate the Security of LLM Generated Code.</w:t>
      </w:r>
    </w:p>
    <w:p>
      <w:r>
        <w:t>[11] A Comprehensive Framework for Evaluating API-oriented Code Generation in Large Language Models.</w:t>
      </w:r>
    </w:p>
    <w:p>
      <w:r>
        <w:t>[12] Benchmarking ChatGPT, Codeium, and GitHub Copilot: A Comparative Study of AI-Driven Programming and Debugging Assistants.</w:t>
      </w:r>
    </w:p>
    <w:p>
      <w:r>
        <w:t>[13] ReCatcher: Towards LLMs Regression Testing for Code Generation.</w:t>
      </w:r>
    </w:p>
    <w:p>
      <w:pPr>
        <w:pStyle w:val="Heading1"/>
      </w:pPr>
      <w:r>
        <w:t>7. Reference-alignment spot-check</w:t>
      </w:r>
    </w:p>
    <w:p>
      <w:r>
        <w:t>Bibkey verification: all cited bibkeys used in this artefact were checked against NB1_CQTD_CORE.bib before drafting. No unverified bibkey was retained.</w:t>
      </w:r>
    </w:p>
    <w:p>
      <w:r>
        <w:t>Numbering alignment: inline citation numbers follow first appearance and the References section lists only cited papers in that order.</w:t>
      </w:r>
    </w:p>
    <w:p>
      <w:r>
        <w:t>Spot-check: [1] maps to Bayram’s HumanEval benchmark study; [5] maps to Pearce’s Copilot security study; [12] maps to Liu et al.’s repository-scale AI-generated-code debt study. Titles in the References section are rendered without BibTeX curly-brace case-preservation marks.</w:t>
      </w:r>
    </w:p>
    <w:p>
      <w:r>
        <w:t>Paper-frequency check: recurring high-salience papers were used where they supply distinctive quantitative anchors; the manuscript should avoid turning any single paper into the sole evidentiary basis for the final CQTD argument.</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