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4.7 — CQTD Narrative Arc for the Manuscript</w:t>
      </w:r>
    </w:p>
    <w:p>
      <w:pPr>
        <w:spacing w:after="120"/>
      </w:pPr>
      <w:r>
        <w:t>Systematic Literature Review section: Code Quality and Technical Debt in AI-Assisted Programming</w:t>
      </w:r>
    </w:p>
    <w:p>
      <w:pPr>
        <w:spacing w:after="120"/>
      </w:pPr>
      <w:r>
        <w:t>Generated from the NB1_CQTD_CORE corpus, Phase 2 extractive workbooks, and Phase 3–4 synthesis artefacts. British English is used throughout.</w:t>
      </w:r>
    </w:p>
    <w:p>
      <w:pPr>
        <w:pStyle w:val="Heading1"/>
      </w:pPr>
      <w:r>
        <w:t>1. Overview</w:t>
      </w:r>
    </w:p>
    <w:p>
      <w:pPr>
        <w:spacing w:after="120"/>
      </w:pPr>
      <w:r>
        <w:t>The manuscript should argue that AI-assisted programming is not adequately explained as a simple productivity intervention. The more defensible synthesis is that it behaves as a socio-technical equilibrium system: generation becomes faster and broader, yet the apparent gain is repeatedly offset by verification labour, defect discovery, security review, prompt repair, trust calibration, and cognitive redistribution across human and machine roles. Strong benchmark results, such as high success rates on constrained HumanEval-style tasks, should therefore be introduced as real but bounded evidence rather than as proof of general software-engineering reliability [1] [2] [3].</w:t>
      </w:r>
    </w:p>
    <w:p>
      <w:pPr>
        <w:spacing w:after="120"/>
      </w:pPr>
      <w:r>
        <w:t>The narrative arc should move the reader from promise, to qualification, to integration. The Introduction establishes the central tension; Background explains why code quality, technical debt, verification, and interaction cannot be separated; Methods demonstrates that the review is auditable; Results present seven evidence dimensions; Discussion integrates them into the equilibrium thesis; Threats to Validity makes the audit failures explicit; and Conclusions translate the synthesis into research and practice priorities.</w:t>
      </w:r>
    </w:p>
    <w:p>
      <w:pPr>
        <w:pStyle w:val="Heading1"/>
      </w:pPr>
      <w:r>
        <w:t>2. Section-by-section narrative mapping</w:t>
      </w:r>
    </w:p>
    <w:p>
      <w:pPr>
        <w:pStyle w:val="Heading2"/>
      </w:pPr>
      <w:r>
        <w:t>2.1 Introduction</w:t>
      </w:r>
    </w:p>
    <w:p>
      <w:pPr>
        <w:pStyle w:val="ListNumber"/>
        <w:spacing w:after="60"/>
      </w:pPr>
      <w:r>
        <w:t>Section purpose: persuade the reader that AI coding assistants are consequential, empirically uneven, and theoretically misframed when treated only as productivity tools.</w:t>
      </w:r>
    </w:p>
    <w:p>
      <w:pPr>
        <w:pStyle w:val="ListNumber"/>
        <w:spacing w:after="60"/>
      </w:pPr>
      <w:r>
        <w:t>Opening hook: contrast a high-performing benchmark anchor, such as Claude Sonnet 4 reaching 95.1% on 164 HumanEval Python problems, with a robustness anchor such as a -28.9% pass@k drop under stricter EvalPlus-style testing [1] [2].</w:t>
      </w:r>
    </w:p>
    <w:p>
      <w:pPr>
        <w:pStyle w:val="ListNumber"/>
        <w:spacing w:after="60"/>
      </w:pPr>
      <w:r>
        <w:t>Background problem statement: frame the gap as a mismatch between rapid tool adoption and insufficient integrated evidence on correctness, maintainability, security, verification overhead, and human interaction.</w:t>
      </w:r>
    </w:p>
    <w:p>
      <w:pPr>
        <w:pStyle w:val="ListNumber"/>
        <w:spacing w:after="60"/>
      </w:pPr>
      <w:r>
        <w:t>Research questions: RQ1 should ask what quality outcomes are reported; RQ2 should ask how quality is operationalised; RQ3 should ask where evidence conflicts; RQ4 should ask what socio-technical mechanisms explain the pattern. Each RQ should map directly to Results, Methods, contradictions, and Discussion respectively.</w:t>
      </w:r>
    </w:p>
    <w:p>
      <w:pPr>
        <w:pStyle w:val="ListNumber"/>
        <w:spacing w:after="60"/>
      </w:pPr>
      <w:r>
        <w:t>SLR contribution: present the paper as a CQTD-focused synthesis that integrates benchmark evidence, empirical defect evidence, methodological audit, and socio-technical interpretation rather than merely cataloguing tools.</w:t>
      </w:r>
    </w:p>
    <w:p>
      <w:pPr>
        <w:pStyle w:val="ListNumber"/>
        <w:spacing w:after="60"/>
      </w:pPr>
      <w:r>
        <w:t>Paper organisation: preview Methods as the audit trail, Results as the seven-dimensional synthesis, Discussion as the equilibrium interpretation, and Threats to Validity as an explicit account of retrieval and generation risks.</w:t>
      </w:r>
    </w:p>
    <w:p>
      <w:pPr>
        <w:pStyle w:val="ListNumber"/>
        <w:spacing w:after="60"/>
      </w:pPr>
      <w:r>
        <w:t>Key citations: use a balanced opening set spanning benchmark success, robustness collapse, defect prevalence, security risk, developer interaction, and verification burden: [1], [2], [3], [4], [5].</w:t>
      </w:r>
    </w:p>
    <w:p>
      <w:pPr>
        <w:pStyle w:val="Heading2"/>
      </w:pPr>
      <w:r>
        <w:t>2.2 Background and Related Work</w:t>
      </w:r>
    </w:p>
    <w:p>
      <w:pPr>
        <w:pStyle w:val="ListNumber"/>
        <w:spacing w:after="60"/>
      </w:pPr>
      <w:r>
        <w:t>Section purpose: define AI-assisted programming, code quality, technical debt, verification, trust calibration, and socio-technical equilibrium before presenting the SLR evidence.</w:t>
      </w:r>
    </w:p>
    <w:p>
      <w:pPr>
        <w:pStyle w:val="ListNumber"/>
        <w:spacing w:after="60"/>
      </w:pPr>
      <w:r>
        <w:t>Opening hook: use anchors that show why background concepts matter: quality issues in generated snippets and measurable differences in human-vs-AI comparison settings.</w:t>
      </w:r>
    </w:p>
    <w:p>
      <w:pPr>
        <w:pStyle w:val="ListNumber"/>
        <w:spacing w:after="60"/>
      </w:pPr>
      <w:r>
        <w:t>Background problem statement: prior discussions often separate productivity, correctness, security, maintainability, and human factors; this section should explain why the CQTD lens requires treating them as coupled.</w:t>
      </w:r>
    </w:p>
    <w:p>
      <w:pPr>
        <w:pStyle w:val="ListNumber"/>
        <w:spacing w:after="60"/>
      </w:pPr>
      <w:r>
        <w:t>Research questions: reintroduce the RQs as conceptual bridges, explaining that each question converts a diffuse tool-adoption debate into a reviewable evidence problem.</w:t>
      </w:r>
    </w:p>
    <w:p>
      <w:pPr>
        <w:pStyle w:val="ListNumber"/>
        <w:spacing w:after="60"/>
      </w:pPr>
      <w:r>
        <w:t>SLR contribution: distinguish the manuscript from prior reviews by emphasising the narrow CQTD focus, the extractive Phase 2 evidence base, and the Phase 3–4 synthesis layers.</w:t>
      </w:r>
    </w:p>
    <w:p>
      <w:pPr>
        <w:pStyle w:val="ListNumber"/>
        <w:spacing w:after="60"/>
      </w:pPr>
      <w:r>
        <w:t>Paper organisation: end by preparing the reader for the methodological section, especially the need for strict corpus control and citation discipline.</w:t>
      </w:r>
    </w:p>
    <w:p>
      <w:pPr>
        <w:pStyle w:val="ListNumber"/>
        <w:spacing w:after="60"/>
      </w:pPr>
      <w:r>
        <w:t>Key citations: prioritise papers that operationalise quality, technical debt, maintainability, human comparison, and interaction: [6].</w:t>
      </w:r>
    </w:p>
    <w:p>
      <w:pPr>
        <w:pStyle w:val="Heading2"/>
      </w:pPr>
      <w:r>
        <w:t>2.3 Methodology</w:t>
      </w:r>
    </w:p>
    <w:p>
      <w:pPr>
        <w:pStyle w:val="ListNumber"/>
        <w:spacing w:after="60"/>
      </w:pPr>
      <w:r>
        <w:t>Section purpose: make the review reproducible, auditable, and credible enough to support a high-stakes synthesis over heterogeneous AI-assisted coding evidence.</w:t>
      </w:r>
    </w:p>
    <w:p>
      <w:pPr>
        <w:pStyle w:val="ListNumber"/>
        <w:spacing w:after="60"/>
      </w:pPr>
      <w:r>
        <w:t>PRISMA 2020 + Kitchenham framing: describe PRISMA 2020 as the reporting and flow-accountability scaffold, and Kitchenham as the software-engineering SLR protocol for search, screening, extraction, quality appraisal, and synthesis logic.</w:t>
      </w:r>
    </w:p>
    <w:p>
      <w:pPr>
        <w:pStyle w:val="ListNumber"/>
        <w:spacing w:after="60"/>
      </w:pPr>
      <w:r>
        <w:t>Background problem statement: explain that AI-assisted SLR work is vulnerable to retrieval drift, reference hallucination, citation-from-citation contamination, and over-generalisation from benchmark papers.</w:t>
      </w:r>
    </w:p>
    <w:p>
      <w:pPr>
        <w:pStyle w:val="ListNumber"/>
        <w:spacing w:after="60"/>
      </w:pPr>
      <w:r>
        <w:t>Research questions: map RQ1–RQ4 to extraction fields, coding dimensions, contradiction mapping, and final narrative synthesis so that each RQ has an auditable evidence path.</w:t>
      </w:r>
    </w:p>
    <w:p>
      <w:pPr>
        <w:pStyle w:val="ListNumber"/>
        <w:spacing w:after="60"/>
      </w:pPr>
      <w:r>
        <w:t>SLR contribution: position the methodology as a transparent evidence pipeline, not a black-box AI summary: corpus control, bibkey verification, Phase 2 atomic findings, Phase 3 synthesis artefacts, and Phase 4 interpretive integration.</w:t>
      </w:r>
    </w:p>
    <w:p>
      <w:pPr>
        <w:pStyle w:val="ListNumber"/>
        <w:spacing w:after="60"/>
      </w:pPr>
      <w:r>
        <w:t>Paper organisation: include a subsection sequence covering corpus construction, extraction workbooks, synthesis artefacts, citation validation, and threats mitigation.</w:t>
      </w:r>
    </w:p>
    <w:p>
      <w:pPr>
        <w:pStyle w:val="ListNumber"/>
        <w:spacing w:after="60"/>
      </w:pPr>
      <w:r>
        <w:t>Key citations: use methodological exemplars from the corpus sparingly, while reserving external PRISMA/Kitchenham citations for the full manuscript bibliography if allowed by the journal: [6].</w:t>
      </w:r>
    </w:p>
    <w:p>
      <w:pPr>
        <w:pStyle w:val="Heading2"/>
      </w:pPr>
      <w:r>
        <w:t>2.4 Results — organised by 7 dimensions</w:t>
      </w:r>
    </w:p>
    <w:p>
      <w:pPr>
        <w:pStyle w:val="ListNumber"/>
        <w:spacing w:after="60"/>
      </w:pPr>
      <w:r>
        <w:t>Section purpose and structure: open the Results with a map of seven dimensions. For each dimension, write one paragraph that states the evidence question, the strongest quantitative anchors, the methodological boundary, and the tension it contributes to the equilibrium thesis. Dimensions: Synthetic benchmark performance; Robustness and hidden test adequacy; Defect and quality issue prevalence; Security vulnerability exposure; Maintainability and structural complexity; Human–AI comparison and review effort; Modification effort and repair overhead.</w:t>
      </w:r>
    </w:p>
    <w:p>
      <w:pPr>
        <w:pStyle w:val="ListNumber"/>
        <w:spacing w:after="60"/>
      </w:pPr>
      <w:r>
        <w:t>Per-dimension narrative structure: each subsection should start with the most interpretable anchor, then broaden to supporting studies, then state contradictions without resolving them prematurely. Use bounded language such as “under benchmark conditions”, “in inspected snippets”, or “in observed developer workflows”.</w:t>
      </w:r>
    </w:p>
    <w:p>
      <w:pPr>
        <w:pStyle w:val="ListNumber"/>
        <w:spacing w:after="60"/>
      </w:pPr>
      <w:r>
        <w:t>Cross-dimensional integration: refer forward to Phase 4.2 after the first two dimensions to signal that benchmark performance and real-world verification form a recurring cross-dimensional pattern, then again after maintainability and repair effort to prepare the Discussion.</w:t>
      </w:r>
    </w:p>
    <w:p>
      <w:pPr>
        <w:pStyle w:val="ListNumber"/>
        <w:spacing w:after="60"/>
      </w:pPr>
      <w:r>
        <w:t>Figure and table strategy: use one overview table for all seven dimensions, one evidence-heatmap figure for anchor density, and targeted tables for defect/security/maintainability where exact denominators matter. Avoid ornamental figures for dimensions with sparse anchors.</w:t>
      </w:r>
    </w:p>
    <w:p>
      <w:pPr>
        <w:pStyle w:val="ListNumber"/>
        <w:spacing w:after="60"/>
      </w:pPr>
      <w:r>
        <w:t>Quantitative anchors per dimension: Synthetic benchmark performance: A01 25% (The figure identifies the advanced-problem subset, 25% of the 164 HumanEval Python problems, requiring sophisticated algorithms, transformations and edge-case handling.; bayram_comparative_2025 [1]); A02 95.1% (Claude Sonnet 4 achieved a 95.1% success rate on the HumanEval Python benchmark of 164 problems.; bayram_comparative_2025 [1]); A03 -28.9% (The figure reports that stricter EvalPlus-style testing reduced apparent HumanEval pass@k performance by -28.9%, showing benchmark-test insufficiency.; liu_is_2023 [2]); A05 40% (The figure reports a 40% success rate in Ovi et al.’s comparative evaluation of ChatGPT, Codeium and GitHub Copilot across task-difficulty conditions.; ovi_benchmarking_2024 [3]); A06 9.8% (The figure measures vulnerability rate in the paper’s own empirical evaluation; extraction context: 5 Haiku are more significant, up less both functional and secure code than the original base to 9.8% on func-sec@10 for Claude 3.; peng_cweval_2025 [7]); A07 78.7% (The figure measures vulnerability rate in the paper’s own empirical evaluation; extraction context: [2024] with a pass@1 score of 78.7% on the HumanEval dataset, while Llama 2 7B Chat tou [2023] produces the least amount of vulnerable code with a pass rate of 76.; ryden_llmseccode_2024 [8]) | Robustness and hidden test adequacy: A08 40.90 (The figure reports a 40.90 Pass@1 improvement for repository/class-level code generation on DevEval under an agentic retrieval approach.; rahman_beyond_2025 [9]); A09 83.7% (The figure measures percentage / rate in the paper’s own empirical evaluation; extraction context: level coverage (both over 98%) compared to HumanEval and MBPP but also exhibit superior performance in mutation testing (83.7%). We select the state-of-the-art LLMs that have been; du_evaluating_2024 [10]); A10 21.7% (The figure measures other in the paper’s own empirical evaluation; extraction context: 2%) 89 (21.7%) this step.; du_evaluating_2024 [10]); A11 20.73% (The figure measures other in the paper’s own empirical evaluation; extraction context: For To address the above problem, we pro- example, gpt-4-turbo-1106 achieves a Pass@1 pose a new code generation benchmark named score of 80% on HumanEval, while its highest EvoCod; li_evocodebench_2024 [11]); A12 3.97% (The figure measures percentage / rate in the paper’s own empirical evaluation; extraction context: we filtered out these problematic issues, the resolution rate of SWE-Agent+GPT-4 drops from 12.47% to 3.97%. We also observed that the same data quality issues also exist in the tw; aleithan_swe-bench_2024 [12]); A13 14.85% (The figure measures percentage / rate in the paper’s own empirical evaluation; extraction context: A PP F ORGE, with the best-performing flagship model GPT-5 with high reasoning mode achieving only 14.85% success rate (developing 14.85% of apps passing all test cases). When give; ran_appforge_2025 [13]); A14 85.6% (The figure measures percentage / rate in the paper’s own empirical evaluation; extraction context: parts of a single recommendation. Interestingly, among the Incorrect Return/Parameter cases, a remarkable portion of errors (85.6% - 86.2%) resulted from combining return types and; wu_comprehensive_2024 [14]) | Defect and quality issue prevalence: A15 76.46% generated snippets with &gt;=1 quality issue; 84.51% modified snippets with &gt;=1 quality issue (The figure measures implicit / operational maintainability concern in the paper’s own empirical evaluation; extraction context:; rabbi_ai_2024 [5]); A17 3.1 (The figure measures normalised or absolute count in the paper’s own empirical evaluation; extraction context: 3.1 RQ1: What are the characteristics of bugs occurring in code generated by LLMs for real-world project tasks?; tambon_bugs_2024 [4]); A18 19.51% (The figure measures percentage / rate in the paper’s own empirical evaluation; extraction context: and logical order error. The details of these defects can and functional code, passing all test cases. Additionally, 32 be found in Table I. instances (19.51%) failed to generate a; esfahani_understanding_2024 [15]); A19 33.5% (The figure measures percentage / rate in the paper’s own empirical evaluation; extraction context: return self.required_opts # Incorrect Python code Finding 1: More than one-third (33.5%) of the translation bugs The example above from Commons CLI shows an incorrect trans- are da; pan_lost_2024 [16]); A20 12% (The figure measures percentage / rate in the paper’s own empirical evaluation; extraction context: different adaptation techniques, we observe that fine-tuning models on datasets from different programming languages led to syntax errors, resulting in a regression of up to 12%. W; abbassi_recatcher_2025 [17]); A21 29.2% (The figure measures percentage / rate in the paper’s own empirical evaluation; extraction context: to critique and correct their generated code based on bug types and compiler feedback. Experimental results demonstrate that our approach can significantly mitigate bugs and achiev; dou_whats_2026 [18]) | Security vulnerability exposure: A22 approximately 40% vulnerable programs (The figure measures a security-related outcome (implicit / operational security remediation cost) in the paper’s vulnerability-oriented code-generation evaluation.; pearce_asleep_2025 [19]); A23 30% (The figure measures a security-related outcome (percentage / rate) in the paper’s vulnerability-oriented code-generation evaluation.; bhatt_purple_2023 [20]); A24 33% (The figure measures a security-related outcome (percentage / rate) in the paper’s vulnerability-oriented code-generation evaluation.; asare_is_2024 [21]); A25 0.64% (The figure measures a security-related outcome (percentage / rate) in the paper’s vulnerability-oriented code-generation evaluation.; fu_security_2025 [22]); A26 94% (The figure measures a security-related outcome (percentage / rate) in the paper’s vulnerability-oriented code-generation evaluation.; cotroneo_devaic_2025 [23]); A27 3.2 (The figure measures a security-related outcome (normalised or absolute count) in the paper’s vulnerability-oriented code-generation evaluation.; alrashedy_can_2024 [24]); A28 3.2 (The figure measures a security-related outcome (normalised or absolute count) in the paper’s vulnerability-oriented code-generation evaluation.; chen_securevibebench_2026 [25]) | Maintainability and structural complexity: A29 89.1% (The figure measures percentage / rate in the paper’s own empirical evaluation; extraction context:; liu_debt_2026 [26]); A30 89.1% code smells; 24.2% long-term survival; 41.1% security-flaw survival (The figure measures explicit metric in the paper’s own empirical evaluation; extraction context:; liu_debt_2026 [26]); A31 30.7% (The figure measures time-to-completion in the paper’s own empirical evaluation; extraction context: Although not the primary focus of our study, the Phase 1 results corroborate previous findings: AI assistants significantly reduced task completion time, with a median improvement; borg_echoes_2026 [27]); A32 20.6% generated codes solved target problem (The figure measures explicit metric in the paper’s own empirical evaluation; extraction context:; idrisov_program_2024 [6]); A33 50.0% (The figure measures percentage / rate in the paper’s own empirical evaluation; extraction context:; idrisov_program_2024 [6]); A34 0.831; 3.2; 3.3 (The figure measures implicit / operational future bug-fixing cost in the paper’s own empirical evaluation; extraction context:; qiu_how_2025 [28]); A35 60% (The figure measures vulnerability rate in the paper’s own empirical evaluation; extraction context: In a user study with 22 industry practi- tioners, CodeGuardian doubled accuracy in CWE classification • Software and its engineering → Software verification and and reduced task co; dozono_large_2026 [29]) | Human–AI comparison and review effort: A36 31.7% (The figure measures percentage / rate in the paper’s own empirical evaluation; extraction context: only the dependencies that the model specifies. We evaluate listed dependencies, and run the application. But in practice, three state-of-the-art LLM coding agents (Claude Code, Op; vangala_ai-generated_2026 [30]); A37 13.5 (The figure measures normalised or absolute count in the paper’s own empirical evaluation; extraction context: Projects with Incomplete Dependencies 13 (4.3%) ing dependencies). Our manual processing averaged 15 min- Average Runtime Multiplier 13.5× utes per failed project, suggesting subst; vangala_ai-generated_2026 [30]); A38 3% (The figure measures percentage / rate in the paper’s own empirical evaluation; extraction context: their popularity, maintenance, and licensing properties. with findings from Jin et al. [52], whose empirical study Dependency hell is a concept discussed in several stud- reveals t; latendresse_how_2025 [31]); A39 3.5 (The figure measures normalised or absolute count in the paper’s own empirical evaluation; extraction context: FactoryCodeDroid 500 500 512 512 0 vulnerabilities, bugs, increase code complexity [22], or SWE-Agent Claude3.5 489 459 574 1214 +640 duplication [23]. This deeper evaluation provi; chen_evaluating_2024 [32]); A40 2.5 (The figure measures normalised or absolute count in the paper’s own empirical evaluation; extraction context: datasets: LLMSecEval [40] and SecurityEval [10]. We contrast Python-only generation, we use C ODE G EN -2B- MONO and their coverage of vulnerability types (CWEs) and dataset C ODE; siddiq_generate_2023 [33]); A41 92% (The figure measures percentage / rate in the paper’s own empirical evaluation; extraction context: (analyzing how different functional requirements affect security on these AI tools for their development workflows [25, 27]. Re- outcomes), diversity of models (comparing vulnerabi; liu_when_2025 [34]); A42 100% (The figure measures percentage / rate in the paper’s own empirical evaluation; extraction context: Figure 4: Experimental validation of Input-Interpreter (random sampling) limitations on TCGBench. (a) Detection rate vs. number of test cases (linear scale), showing clear saturati; ma_rethinking_2025 [35]) | Modification effort and repair overhead: A43 55.8% (The figure measures time-to-completion in the paper’s own empirical evaluation; extraction context: difference in the completion rate between the two groups, they did find a 55.8% reduction in programming time for the treatment group with Github Copilot [24].; butler_dear_2024 [36]); A44 17% (The figure measures other in the paper’s own empirical evaluation; extraction context: 53% of the engineers excited about a new tool, or if they would feel dejected and fear for used C#; 17% used C++; 17% used JavaScript or TypeScript and 13% their jobs after seeing; butler_dear_2024 [36]); A45 82.6% (The figure measures code quality in the paper’s own empirical evaluation; extraction context: 2) Complexity Code Coverage 82.6% (SD = 6.; chen_impact_2024 [37]); A46 1145/3665348 (The figure measures other in the paper’s own empirical evaluation; extraction context: 1145/3665348.; chen_impact_2024 [37]); A47 -8% (The figure measures defect rate in the paper’s own empirical evaluation; extraction context: 2 Validation of Model Output While there are about 7-8% of unparsable gener- ations, most of the parsing errors happen at the end While we mainly focus on static errors in this stu; ding_static_2023 [38]); A48 99 tasks (The figure measures time-to-completion in the paper’s own empirical evaluation; extraction context: For example, assuming model A is slower than B by 2× on 99 tasks while outperforming B on the only task by 100×, the average speedup says code from A is generally faster than that; liu_evaluating_2024 [39]); A49 40% (The figure measures other in the paper’s own empirical evaluation; extraction context: We open-source our code for users, which shows approximately 40% of the code dataset and evaluator on GitHub2 .; zhong_can_2024 [40]).</w:t>
      </w:r>
    </w:p>
    <w:p>
      <w:pPr>
        <w:pStyle w:val="ListNumber"/>
        <w:spacing w:after="60"/>
      </w:pPr>
      <w:r>
        <w:t>Treatment of contradictions and tensions: fold Phase 3.2 contradictions into the end of each subsection rather than isolating them in a separate caveat section; this keeps contradiction as evidence, not as an afterthought.</w:t>
      </w:r>
    </w:p>
    <w:p>
      <w:pPr>
        <w:pStyle w:val="ListNumber"/>
        <w:spacing w:after="60"/>
      </w:pPr>
      <w:r>
        <w:t>Closing per dimension: each subsection should end with a one-sentence “therefore” statement: what that dimension contributes to the equilibrium system and what verification, trust, or cognitive cost remains unresolved.</w:t>
      </w:r>
    </w:p>
    <w:p>
      <w:pPr>
        <w:pStyle w:val="Heading2"/>
      </w:pPr>
      <w:r>
        <w:t>2.5 Discussion</w:t>
      </w:r>
    </w:p>
    <w:p>
      <w:pPr>
        <w:pStyle w:val="ListNumber"/>
        <w:spacing w:after="60"/>
      </w:pPr>
      <w:r>
        <w:t>Section purpose: convert the seven Results dimensions into the manuscript’s explanatory contribution: AI-assisted programming redistributes quality work rather than eliminating it.</w:t>
      </w:r>
    </w:p>
    <w:p>
      <w:pPr>
        <w:pStyle w:val="ListNumber"/>
        <w:spacing w:after="60"/>
      </w:pPr>
      <w:r>
        <w:t>Opening hook: return to the Introduction’s benchmark-vs-verification tension and show that it reappears across correctness, security, maintainability, interaction, and repair effort.</w:t>
      </w:r>
    </w:p>
    <w:p>
      <w:pPr>
        <w:pStyle w:val="ListNumber"/>
        <w:spacing w:after="60"/>
      </w:pPr>
      <w:r>
        <w:t>Background problem statement: argue that the core problem is not whether AI coding assistants “work”, but under what socio-technical conditions apparent productivity becomes sustainable quality.</w:t>
      </w:r>
    </w:p>
    <w:p>
      <w:pPr>
        <w:pStyle w:val="ListNumber"/>
        <w:spacing w:after="60"/>
      </w:pPr>
      <w:r>
        <w:t>Research questions: answer each RQ synthetically: reported outcomes are mixed; operationalisations are heterogeneous; contradictions cluster around benchmark realism and human oversight; mechanisms centre on verification, trust, and cognitive redistribution.</w:t>
      </w:r>
    </w:p>
    <w:p>
      <w:pPr>
        <w:pStyle w:val="ListNumber"/>
        <w:spacing w:after="60"/>
      </w:pPr>
      <w:r>
        <w:t>SLR contribution: integrate Phase 4.1 framework alignment, Phase 4.2 cross-dimensional patterns, and Phase 4.6 counter-narrative responses into a single theoretical interpretation.</w:t>
      </w:r>
    </w:p>
    <w:p>
      <w:pPr>
        <w:pStyle w:val="ListNumber"/>
        <w:spacing w:after="60"/>
      </w:pPr>
      <w:r>
        <w:t>Paper organisation: structure Discussion as claims, mechanisms, counter-arguments, implications for developers, implications for tool builders, and implications for researchers.</w:t>
      </w:r>
    </w:p>
    <w:p>
      <w:pPr>
        <w:pStyle w:val="ListNumber"/>
        <w:spacing w:after="60"/>
      </w:pPr>
      <w:r>
        <w:t>Key citations: cite interaction and workflow papers alongside quality papers so that the Discussion does not collapse back into benchmark-only reasoning: .</w:t>
      </w:r>
    </w:p>
    <w:p>
      <w:pPr>
        <w:pStyle w:val="Heading2"/>
      </w:pPr>
      <w:r>
        <w:t>2.6 Threats to Validity</w:t>
      </w:r>
    </w:p>
    <w:p>
      <w:pPr>
        <w:pStyle w:val="ListNumber"/>
        <w:spacing w:after="60"/>
      </w:pPr>
      <w:r>
        <w:t>Section purpose: make limitations part of the contribution by showing how the review controlled known failure modes rather than pretending they did not exist.</w:t>
      </w:r>
    </w:p>
    <w:p>
      <w:pPr>
        <w:pStyle w:val="ListNumber"/>
        <w:spacing w:after="60"/>
      </w:pPr>
      <w:r>
        <w:t>Opening hook: state that AI-assisted evidence synthesis can fail through both traditional SLR risks and AI-specific generation risks.</w:t>
      </w:r>
    </w:p>
    <w:p>
      <w:pPr>
        <w:pStyle w:val="ListNumber"/>
        <w:spacing w:after="60"/>
      </w:pPr>
      <w:r>
        <w:t>Background problem statement: describe the eight audit failure modes: retrieval omissions, duplicate/version drift, inaccessible full texts, inconsistent metadata, citation-from-citation leakage, fabricated bibkeys, reference-number misalignment, and subject-propagation errors.</w:t>
      </w:r>
    </w:p>
    <w:p>
      <w:pPr>
        <w:pStyle w:val="ListNumber"/>
        <w:spacing w:after="60"/>
      </w:pPr>
      <w:r>
        <w:t>Research questions: explain how each RQ was protected by corpus restriction, extractive workbooks, verified bibkeys, source-control tables, and post-draft validation.</w:t>
      </w:r>
    </w:p>
    <w:p>
      <w:pPr>
        <w:pStyle w:val="ListNumber"/>
        <w:spacing w:after="60"/>
      </w:pPr>
      <w:r>
        <w:t>SLR contribution: position the audit trail as a methodological contribution for future AI-assisted SLRs in software engineering.</w:t>
      </w:r>
    </w:p>
    <w:p>
      <w:pPr>
        <w:pStyle w:val="ListNumber"/>
        <w:spacing w:after="60"/>
      </w:pPr>
      <w:r>
        <w:t>Paper organisation: separate threats into search and retrieval validity, selection validity, extraction validity, synthesis validity, and reporting validity.</w:t>
      </w:r>
    </w:p>
    <w:p>
      <w:pPr>
        <w:pStyle w:val="ListNumber"/>
        <w:spacing w:after="60"/>
      </w:pPr>
      <w:r>
        <w:t>Key citations: use corpus-internal methodological examples only where necessary, and keep most of this section grounded in the project audit rather than new substantive claims: [6].</w:t>
      </w:r>
    </w:p>
    <w:p>
      <w:pPr>
        <w:pStyle w:val="Heading2"/>
      </w:pPr>
      <w:r>
        <w:t>2.7 Conclusions and Future Work</w:t>
      </w:r>
    </w:p>
    <w:p>
      <w:pPr>
        <w:pStyle w:val="ListNumber"/>
        <w:spacing w:after="60"/>
      </w:pPr>
      <w:r>
        <w:t>Section purpose: close the manuscript by restating the equilibrium thesis and translating it into future work rather than repeating the Results.</w:t>
      </w:r>
    </w:p>
    <w:p>
      <w:pPr>
        <w:pStyle w:val="ListNumber"/>
        <w:spacing w:after="60"/>
      </w:pPr>
      <w:r>
        <w:t>Opening hook: return to the core paradox: AI assistants can generate code rapidly, yet the durable bottleneck becomes knowing when that code is correct, secure, maintainable, and worth trusting.</w:t>
      </w:r>
    </w:p>
    <w:p>
      <w:pPr>
        <w:pStyle w:val="ListNumber"/>
        <w:spacing w:after="60"/>
      </w:pPr>
      <w:r>
        <w:t>Background problem statement: state that the field still lacks longitudinal, ecological, and organisation-level evidence on how AI-generated code affects technical debt over time.</w:t>
      </w:r>
    </w:p>
    <w:p>
      <w:pPr>
        <w:pStyle w:val="ListNumber"/>
        <w:spacing w:after="60"/>
      </w:pPr>
      <w:r>
        <w:t>Research questions: briefly answer each RQ in one sentence, using the answers as the backbone of the conclusion.</w:t>
      </w:r>
    </w:p>
    <w:p>
      <w:pPr>
        <w:pStyle w:val="ListNumber"/>
        <w:spacing w:after="60"/>
      </w:pPr>
      <w:r>
        <w:t>SLR contribution: emphasise the manuscript’s distinctive contribution as a CQTD synthesis with an explicit socio-technical explanatory model.</w:t>
      </w:r>
    </w:p>
    <w:p>
      <w:pPr>
        <w:pStyle w:val="ListNumber"/>
        <w:spacing w:after="60"/>
      </w:pPr>
      <w:r>
        <w:t>Paper organisation: future work should be grouped using Phase 4.5: longitudinal debt accumulation, real-project verification cost, secure-code evaluation, maintainability beyond static metrics, team workflow studies, and benchmark-to-practice validity.</w:t>
      </w:r>
    </w:p>
    <w:p>
      <w:pPr>
        <w:pStyle w:val="ListNumber"/>
        <w:spacing w:after="60"/>
      </w:pPr>
      <w:r>
        <w:t>Key citations: reuse only the minimum citations needed to remind readers of the evidentiary basis; avoid introducing new papers in the Conclusion.</w:t>
      </w:r>
    </w:p>
    <w:p>
      <w:pPr>
        <w:pStyle w:val="Heading1"/>
      </w:pPr>
      <w:r>
        <w:t>3. Argument flow check</w:t>
      </w:r>
    </w:p>
    <w:p>
      <w:pPr>
        <w:spacing w:after="120"/>
      </w:pPr>
      <w:r>
        <w:t>The proposed arc is coherent because each section performs a distinct rhetorical function. The Introduction creates the productivity-versus-quality tension; Background defines the conceptual vocabulary needed to understand that tension; Methods earns trust in the evidence pipeline; Results show the empirical pattern dimension by dimension; and Discussion names the pattern as a socio-technical equilibrium rather than a simple tool-effect estimate.</w:t>
      </w:r>
    </w:p>
    <w:p>
      <w:pPr>
        <w:spacing w:after="120"/>
      </w:pPr>
      <w:r>
        <w:t>The major claims are foreshadowed early and paid off later. Benchmark success is introduced as an opening anchor, but it is immediately paired with robustness and verification anchors, preventing an inflated “AI works” narrative. The Results then make the tension visible across correctness, security, maintainability, human comparison, and repair effort, while the Discussion integrates these fragments into the manuscript’s central thesis.</w:t>
      </w:r>
    </w:p>
    <w:p>
      <w:pPr>
        <w:spacing w:after="120"/>
      </w:pPr>
      <w:r>
        <w:t>The Discussion should deliver exactly what the Introduction promises: not a verdict for or against AI-assisted programming, but an explanation of why gains and costs co-produce one another. This also gives the Threats to Validity section a constructive role: it shows that the manuscript’s caution is methodological as well as substantive.</w:t>
      </w:r>
    </w:p>
    <w:p>
      <w:pPr>
        <w:pStyle w:val="Heading1"/>
      </w:pPr>
      <w:r>
        <w:t>4. Anchor distribution check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tcPr>
          <w:p>
            <w:r>
              <w:t>Manuscript section</w:t>
            </w:r>
          </w:p>
        </w:tc>
        <w:tc>
          <w:tcPr>
            <w:tcW w:type="dxa" w:w="2160"/>
            <w:vAlign w:val="top"/>
          </w:tcPr>
          <w:p>
            <w:r>
              <w:t>Allocated anchors</w:t>
            </w:r>
          </w:p>
        </w:tc>
        <w:tc>
          <w:tcPr>
            <w:tcW w:type="dxa" w:w="2160"/>
            <w:vAlign w:val="top"/>
          </w:tcPr>
          <w:p>
            <w:r>
              <w:t>Anchor IDs</w:t>
            </w:r>
          </w:p>
        </w:tc>
        <w:tc>
          <w:tcPr>
            <w:tcW w:type="dxa" w:w="2160"/>
            <w:vAlign w:val="top"/>
          </w:tcPr>
          <w:p>
            <w:r>
              <w:t>Disposition</w:t>
            </w:r>
          </w:p>
        </w:tc>
      </w:tr>
      <w:tr>
        <w:tc>
          <w:tcPr>
            <w:tcW w:type="dxa" w:w="2160"/>
          </w:tcPr>
          <w:p>
            <w:r>
              <w:t>Introduction</w:t>
            </w:r>
          </w:p>
        </w:tc>
        <w:tc>
          <w:tcPr>
            <w:tcW w:type="dxa" w:w="2160"/>
          </w:tcPr>
          <w:p>
            <w:r>
              <w:t>0</w:t>
            </w:r>
          </w:p>
        </w:tc>
        <w:tc>
          <w:tcPr>
            <w:tcW w:type="dxa" w:w="2160"/>
          </w:tcPr>
          <w:p>
            <w:r>
              <w:t>None as primary allocation</w:t>
            </w:r>
          </w:p>
        </w:tc>
        <w:tc>
          <w:tcPr>
            <w:tcW w:type="dxa" w:w="2160"/>
          </w:tcPr>
          <w:p>
            <w:r>
              <w:t>Use prose citations and selected anchors; avoid duplicating anchor tables.</w:t>
            </w:r>
          </w:p>
        </w:tc>
      </w:tr>
      <w:tr>
        <w:tc>
          <w:tcPr>
            <w:tcW w:type="dxa" w:w="2160"/>
          </w:tcPr>
          <w:p>
            <w:r>
              <w:t>Background</w:t>
            </w:r>
          </w:p>
        </w:tc>
        <w:tc>
          <w:tcPr>
            <w:tcW w:type="dxa" w:w="2160"/>
          </w:tcPr>
          <w:p>
            <w:r>
              <w:t>0</w:t>
            </w:r>
          </w:p>
        </w:tc>
        <w:tc>
          <w:tcPr>
            <w:tcW w:type="dxa" w:w="2160"/>
          </w:tcPr>
          <w:p>
            <w:r>
              <w:t>None as primary allocation</w:t>
            </w:r>
          </w:p>
        </w:tc>
        <w:tc>
          <w:tcPr>
            <w:tcW w:type="dxa" w:w="2160"/>
          </w:tcPr>
          <w:p>
            <w:r>
              <w:t>Use prose citations and selected anchors; avoid duplicating anchor tables.</w:t>
            </w:r>
          </w:p>
        </w:tc>
      </w:tr>
      <w:tr>
        <w:tc>
          <w:tcPr>
            <w:tcW w:type="dxa" w:w="2160"/>
          </w:tcPr>
          <w:p>
            <w:r>
              <w:t>Methods</w:t>
            </w:r>
          </w:p>
        </w:tc>
        <w:tc>
          <w:tcPr>
            <w:tcW w:type="dxa" w:w="2160"/>
          </w:tcPr>
          <w:p>
            <w:r>
              <w:t>6</w:t>
            </w:r>
          </w:p>
        </w:tc>
        <w:tc>
          <w:tcPr>
            <w:tcW w:type="dxa" w:w="2160"/>
          </w:tcPr>
          <w:p>
            <w:r>
              <w:t>A57, A58, A59, A60, A61, A62</w:t>
            </w:r>
          </w:p>
        </w:tc>
        <w:tc>
          <w:tcPr>
            <w:tcW w:type="dxa" w:w="2160"/>
          </w:tcPr>
          <w:p>
            <w:r>
              <w:t>Use prose citations and selected anchors; avoid duplicating anchor tables.</w:t>
            </w:r>
          </w:p>
        </w:tc>
      </w:tr>
      <w:tr>
        <w:tc>
          <w:tcPr>
            <w:tcW w:type="dxa" w:w="2160"/>
          </w:tcPr>
          <w:p>
            <w:r>
              <w:t>Results</w:t>
            </w:r>
          </w:p>
        </w:tc>
        <w:tc>
          <w:tcPr>
            <w:tcW w:type="dxa" w:w="2160"/>
          </w:tcPr>
          <w:p>
            <w:r>
              <w:t>47</w:t>
            </w:r>
          </w:p>
        </w:tc>
        <w:tc>
          <w:tcPr>
            <w:tcW w:type="dxa" w:w="2160"/>
          </w:tcPr>
          <w:p>
            <w:r>
              <w:t>A01, A02, A03, A05, A06, A07, A08, A09, A10, A11, A12, A13, A14, A15, A17, A18, A19, A20, A21, A22, A23, A24, A25, A26, A27, A28, A29, A30, A31, A32, A33, A34, A35, A36, A37, A38, A39, A40, A41, A42, A43, A44, A45, A46, A47, A48, A49</w:t>
            </w:r>
          </w:p>
        </w:tc>
        <w:tc>
          <w:tcPr>
            <w:tcW w:type="dxa" w:w="2160"/>
          </w:tcPr>
          <w:p>
            <w:r>
              <w:t>Use prose citations and selected anchors; avoid duplicating anchor tables.</w:t>
            </w:r>
          </w:p>
        </w:tc>
      </w:tr>
      <w:tr>
        <w:tc>
          <w:tcPr>
            <w:tcW w:type="dxa" w:w="2160"/>
          </w:tcPr>
          <w:p>
            <w:r>
              <w:t>Discussion</w:t>
            </w:r>
          </w:p>
        </w:tc>
        <w:tc>
          <w:tcPr>
            <w:tcW w:type="dxa" w:w="2160"/>
          </w:tcPr>
          <w:p>
            <w:r>
              <w:t>7</w:t>
            </w:r>
          </w:p>
        </w:tc>
        <w:tc>
          <w:tcPr>
            <w:tcW w:type="dxa" w:w="2160"/>
          </w:tcPr>
          <w:p>
            <w:r>
              <w:t>A50, A51, A52, A53, A54, A55, A56</w:t>
            </w:r>
          </w:p>
        </w:tc>
        <w:tc>
          <w:tcPr>
            <w:tcW w:type="dxa" w:w="2160"/>
          </w:tcPr>
          <w:p>
            <w:r>
              <w:t>Use prose citations and selected anchors; avoid duplicating anchor tables.</w:t>
            </w:r>
          </w:p>
        </w:tc>
      </w:tr>
      <w:tr>
        <w:tc>
          <w:tcPr>
            <w:tcW w:type="dxa" w:w="2160"/>
          </w:tcPr>
          <w:p>
            <w:r>
              <w:t>Threats to Validity</w:t>
            </w:r>
          </w:p>
        </w:tc>
        <w:tc>
          <w:tcPr>
            <w:tcW w:type="dxa" w:w="2160"/>
          </w:tcPr>
          <w:p>
            <w:r>
              <w:t>5</w:t>
            </w:r>
          </w:p>
        </w:tc>
        <w:tc>
          <w:tcPr>
            <w:tcW w:type="dxa" w:w="2160"/>
          </w:tcPr>
          <w:p>
            <w:r>
              <w:t>A63, A64, A65, A66, A67</w:t>
            </w:r>
          </w:p>
        </w:tc>
        <w:tc>
          <w:tcPr>
            <w:tcW w:type="dxa" w:w="2160"/>
          </w:tcPr>
          <w:p>
            <w:r>
              <w:t>Use prose citations and selected anchors; avoid duplicating anchor tables.</w:t>
            </w:r>
          </w:p>
        </w:tc>
      </w:tr>
      <w:tr>
        <w:tc>
          <w:tcPr>
            <w:tcW w:type="dxa" w:w="2160"/>
          </w:tcPr>
          <w:p>
            <w:r>
              <w:t>Conclusion</w:t>
            </w:r>
          </w:p>
        </w:tc>
        <w:tc>
          <w:tcPr>
            <w:tcW w:type="dxa" w:w="2160"/>
          </w:tcPr>
          <w:p>
            <w:r>
              <w:t>0</w:t>
            </w:r>
          </w:p>
        </w:tc>
        <w:tc>
          <w:tcPr>
            <w:tcW w:type="dxa" w:w="2160"/>
          </w:tcPr>
          <w:p>
            <w:r>
              <w:t>None as primary allocation</w:t>
            </w:r>
          </w:p>
        </w:tc>
        <w:tc>
          <w:tcPr>
            <w:tcW w:type="dxa" w:w="2160"/>
          </w:tcPr>
          <w:p>
            <w:r>
              <w:t>Use prose citations and selected anchors; avoid duplicating anchor tables.</w:t>
            </w:r>
          </w:p>
        </w:tc>
      </w:tr>
      <w:tr>
        <w:tc>
          <w:tcPr>
            <w:tcW w:type="dxa" w:w="2160"/>
          </w:tcPr>
          <w:p>
            <w:r>
              <w:t>Supplementary optional</w:t>
            </w:r>
          </w:p>
        </w:tc>
        <w:tc>
          <w:tcPr>
            <w:tcW w:type="dxa" w:w="2160"/>
          </w:tcPr>
          <w:p>
            <w:r>
              <w:t>0</w:t>
            </w:r>
          </w:p>
        </w:tc>
        <w:tc>
          <w:tcPr>
            <w:tcW w:type="dxa" w:w="2160"/>
          </w:tcPr>
          <w:p>
            <w:r>
              <w:t>None as primary allocation</w:t>
            </w:r>
          </w:p>
        </w:tc>
        <w:tc>
          <w:tcPr>
            <w:tcW w:type="dxa" w:w="2160"/>
          </w:tcPr>
          <w:p>
            <w:r>
              <w:t>Use prose citations and selected anchors; avoid duplicating anchor tables.</w:t>
            </w:r>
          </w:p>
        </w:tc>
      </w:tr>
    </w:tbl>
    <w:p>
      <w:pPr>
        <w:spacing w:after="120"/>
      </w:pPr>
      <w:r>
        <w:t>All 65 anchors from Phase 3.4 are allocated as primary evidence either to Results, Methods, Discussion, or Threats to Validity. Introduction, Background, and Conclusion should reuse selected anchors rhetorically, but their primary allocation remains in the Results or validity sections to avoid double counting.</w:t>
      </w:r>
    </w:p>
    <w:p>
      <w:pPr>
        <w:pStyle w:val="Heading1"/>
      </w:pPr>
      <w:r>
        <w:t>5. Foreseeable reviewer concerns</w:t>
      </w:r>
    </w:p>
    <w:p>
      <w:pPr>
        <w:spacing w:after="120"/>
      </w:pPr>
      <w:r>
        <w:t>The first likely concern is over-claiming from synthetic benchmarks. Address this in the Introduction hook, Results dimensions A–B, and Discussion counter-narrative response: benchmark success is real but bounded by task design, test adequacy, and hidden robustness checks. The second concern is heterogeneity: different tools, languages, tasks, and metrics may not be directly comparable. Address this in Methods and in the Results overview table by reporting denominators, units, and measurement contexts.</w:t>
      </w:r>
    </w:p>
    <w:p>
      <w:pPr>
        <w:spacing w:after="120"/>
      </w:pPr>
      <w:r>
        <w:t>The third concern is whether AI-assisted SLR work introduces hallucinated citations or uncontrolled synthesis. Address this directly in Methodology and Threats to Validity through bibkey verification, source-control tables, citation-from-citation safeguards, and reference-alignment checks. The fourth concern is whether the equilibrium thesis is too cautious or too anti-tool. Address it in Discussion by acknowledging genuine efficiency gains while showing that durable benefit depends on verification capacity, trust calibration, and workflow integration. The fifth concern is generalisability to professional software engineering; address it in Future Work through longitudinal and ecological studies.</w:t>
      </w:r>
    </w:p>
    <w:p>
      <w:pPr>
        <w:pStyle w:val="Heading1"/>
      </w:pPr>
      <w:r>
        <w:t>6. Writing sequence recommendation</w:t>
      </w:r>
    </w:p>
    <w:p>
      <w:pPr>
        <w:spacing w:after="120"/>
      </w:pPr>
      <w:r>
        <w:t>Draft the manuscript in this order: Methods first, Results second, Discussion third, Introduction fourth, Threats to Validity fifth, Conclusion last. Methods should come first because it fixes the allowable evidence base and citation rules. Results should follow because they stabilise the empirical claims and anchor distribution. Discussion should then integrate only what the Results actually support.</w:t>
      </w:r>
    </w:p>
    <w:p>
      <w:pPr>
        <w:spacing w:after="120"/>
      </w:pPr>
      <w:r>
        <w:t>The Introduction should be written after Results and Discussion so that its promises match the final argument. Threats to Validity should be drafted after the main claims are stable, because each threat must correspond to an actual methodological or interpretive risk. The Conclusion should be last and should function as synthesis, not as a miniature second discussion.</w:t>
      </w:r>
    </w:p>
    <w:p>
      <w:pPr>
        <w:pStyle w:val="Heading1"/>
      </w:pPr>
      <w:r>
        <w:t>7. References</w:t>
      </w:r>
    </w:p>
    <w:p>
      <w:pPr>
        <w:spacing w:after="120"/>
      </w:pPr>
      <w:r>
        <w:t>[1] Comparative Analysis of AI Models for Python Code Generation: A HumanEval Benchmark Study. Bayram, 2025. Bibkey: bayram_comparative_2025.</w:t>
      </w:r>
    </w:p>
    <w:p>
      <w:pPr>
        <w:spacing w:after="120"/>
      </w:pPr>
      <w:r>
        <w:t>[2] Is Your Code Generated by ChatGPT Really Correct? Rigorous Evaluation of Large Language Models for Code Generation. Liu, 2023. Bibkey: liu_is_2023.</w:t>
      </w:r>
    </w:p>
    <w:p>
      <w:pPr>
        <w:spacing w:after="120"/>
      </w:pPr>
      <w:r>
        <w:t>[3] Benchmarking ChatGPT, Codeium, and GitHub Copilot: A Comparative Study of AI-Driven Programming and Debugging Assistants. Ovi, 2024. Bibkey: ovi_benchmarking_2024.</w:t>
      </w:r>
    </w:p>
    <w:p>
      <w:pPr>
        <w:spacing w:after="120"/>
      </w:pPr>
      <w:r>
        <w:t>[4] Bugs in Large Language Models Generated Code: An Empirical Study. Tambon, 2024. Bibkey: tambon_bugs_2024.</w:t>
      </w:r>
    </w:p>
    <w:p>
      <w:pPr>
        <w:spacing w:after="120"/>
      </w:pPr>
      <w:r>
        <w:t>[5] AI Writes, We Analyze: The ChatGPT Python Code Saga. Rabbi, 2024. Bibkey: rabbi_ai_2024.</w:t>
      </w:r>
    </w:p>
    <w:p>
      <w:pPr>
        <w:spacing w:after="120"/>
      </w:pPr>
      <w:r>
        <w:t>[6] Program Code Generation with Generative AIs. Idrisov, 2024. Bibkey: idrisov_program_2024.</w:t>
      </w:r>
    </w:p>
    <w:p>
      <w:pPr>
        <w:spacing w:after="120"/>
      </w:pPr>
      <w:r>
        <w:t>[7] CWEval: Outcome-driven Evaluation on Functionality and Security of LLM Code Generation. Peng, 2025. Bibkey: peng_cweval_2025.</w:t>
      </w:r>
    </w:p>
    <w:p>
      <w:pPr>
        <w:spacing w:after="120"/>
      </w:pPr>
      <w:r>
        <w:t>[8] LLMSecCode: Evaluating Large Language Models for~Secure Coding. Ryd\'en, 2024. Bibkey: ryden_llmseccode_2024.</w:t>
      </w:r>
    </w:p>
    <w:p>
      <w:pPr>
        <w:spacing w:after="120"/>
      </w:pPr>
      <w:r>
        <w:t>[9] Beyond Synthetic Benchmarks: Evaluating LLM Performance on Real-World Class-Level Code Generation. Rahman, 2025. Bibkey: rahman_beyond_2025.</w:t>
      </w:r>
    </w:p>
    <w:p>
      <w:pPr>
        <w:spacing w:after="120"/>
      </w:pPr>
      <w:r>
        <w:t>[10] Evaluating Large Language Models in Class-Level Code Generation. Du, 2024. Bibkey: du_evaluating_2024.</w:t>
      </w:r>
    </w:p>
    <w:p>
      <w:pPr>
        <w:spacing w:after="120"/>
      </w:pPr>
      <w:r>
        <w:t>[11] EvoCodeBench: An Evolving Code Generation Benchmark Aligned with Real-World Code Repositories. Li, 2024. Bibkey: li_evocodebench_2024.</w:t>
      </w:r>
    </w:p>
    <w:p>
      <w:pPr>
        <w:spacing w:after="120"/>
      </w:pPr>
      <w:r>
        <w:t>[12] SWE-Bench+: Enhanced Coding Benchmark for LLMs. Aleithan, 2024. Bibkey: aleithan_swe-bench_2024.</w:t>
      </w:r>
    </w:p>
    <w:p>
      <w:pPr>
        <w:spacing w:after="120"/>
      </w:pPr>
      <w:r>
        <w:t>[13] AppForge: From Assistant to Independent Developer -- Are GPTs Ready for Software Development?. Ran, 2025. Bibkey: ran_appforge_2025.</w:t>
      </w:r>
    </w:p>
    <w:p>
      <w:pPr>
        <w:spacing w:after="120"/>
      </w:pPr>
      <w:r>
        <w:t>[14] A Comprehensive Framework for Evaluating API-oriented Code Generation in Large Language Models. Wu, 2024. Bibkey: wu_comprehensive_2024.</w:t>
      </w:r>
    </w:p>
    <w:p>
      <w:pPr>
        <w:spacing w:after="120"/>
      </w:pPr>
      <w:r>
        <w:t>[15] Understanding Defects in Generated Codes by Language Models. Esfahani, 2024. Bibkey: esfahani_understanding_2024.</w:t>
      </w:r>
    </w:p>
    <w:p>
      <w:pPr>
        <w:spacing w:after="120"/>
      </w:pPr>
      <w:r>
        <w:t>[16] Lost in Translation: A Study of Bugs Introduced by Large Language Models while Translating Code. Pan, 2024. Bibkey: pan_lost_2024.</w:t>
      </w:r>
    </w:p>
    <w:p>
      <w:pPr>
        <w:spacing w:after="120"/>
      </w:pPr>
      <w:r>
        <w:t>[17] ReCatcher: Towards LLMs Regression Testing for Code Generation. Abbassi, 2025. Bibkey: abbassi_recatcher_2025.</w:t>
      </w:r>
    </w:p>
    <w:p>
      <w:pPr>
        <w:spacing w:after="120"/>
      </w:pPr>
      <w:r>
        <w:t>[18] What's Wrong with Your Code Generated by Large Language Models? An Extensive Study. Dou, 2026. Bibkey: dou_whats_2026.</w:t>
      </w:r>
    </w:p>
    <w:p>
      <w:pPr>
        <w:spacing w:after="120"/>
      </w:pPr>
      <w:r>
        <w:t>[19] Asleep at the Keyboard? Assessing the Security of GitHub Copilot's Code Contributions. Pearce, 2025. Bibkey: pearce_asleep_2025.</w:t>
      </w:r>
    </w:p>
    <w:p>
      <w:pPr>
        <w:spacing w:after="120"/>
      </w:pPr>
      <w:r>
        <w:t>[20] Purple Llama CyberSecEval: A Secure Coding Benchmark for Language Models. Bhatt, 2023. Bibkey: bhatt_purple_2023.</w:t>
      </w:r>
    </w:p>
    <w:p>
      <w:pPr>
        <w:spacing w:after="120"/>
      </w:pPr>
      <w:r>
        <w:t>[21] Is GitHub's Copilot as Bad as Humans at Introducing Vulnerabilities in Code?. Asare, 2024. Bibkey: asare_is_2024.</w:t>
      </w:r>
    </w:p>
    <w:p>
      <w:pPr>
        <w:spacing w:after="120"/>
      </w:pPr>
      <w:r>
        <w:t>[22] Security Weaknesses of Copilot-Generated Code in GitHub Projects: An Empirical Study. Fu, 2025. Bibkey: fu_security_2025.</w:t>
      </w:r>
    </w:p>
    <w:p>
      <w:pPr>
        <w:spacing w:after="120"/>
      </w:pPr>
      <w:r>
        <w:t>[23] DeVAIC: A Tool for Security Assessment of AI-Generated Code. Cotroneo, 2025. Bibkey: cotroneo_devaic_2025.</w:t>
      </w:r>
    </w:p>
    <w:p>
      <w:pPr>
        <w:spacing w:after="120"/>
      </w:pPr>
      <w:r>
        <w:t>[24] Can LLMs Patch Security Issues?. Alrashedy, 2024. Bibkey: alrashedy_can_2024.</w:t>
      </w:r>
    </w:p>
    <w:p>
      <w:pPr>
        <w:spacing w:after="120"/>
      </w:pPr>
      <w:r>
        <w:t>[25] SecureVibeBench: Evaluating Secure Coding Capabilities of Code Agents with Realistic Vulnerability Scenarios. Chen, 2026. Bibkey: chen_securevibebench_2026.</w:t>
      </w:r>
    </w:p>
    <w:p>
      <w:pPr>
        <w:spacing w:after="120"/>
      </w:pPr>
      <w:r>
        <w:t>[26] Debt Behind the AI Boom: A Large-Scale Empirical Study of AI-Generated Code in the Wild. Liu, 2026. Bibkey: liu_debt_2026.</w:t>
      </w:r>
    </w:p>
    <w:p>
      <w:pPr>
        <w:spacing w:after="120"/>
      </w:pPr>
      <w:r>
        <w:t>[27] Echoes of AI: Investigating the Downstream Effects of AI Assistants on Software Maintainability. Borg, 2026. Bibkey: borg_echoes_2026.</w:t>
      </w:r>
    </w:p>
    <w:p>
      <w:pPr>
        <w:spacing w:after="120"/>
      </w:pPr>
      <w:r>
        <w:t>[28] How Efficient is LLM-Generated Code? A Rigorous \&amp; High-Standard Benchmark. Qiu, 2025. Bibkey: qiu_how_2025.</w:t>
      </w:r>
    </w:p>
    <w:p>
      <w:pPr>
        <w:spacing w:after="120"/>
      </w:pPr>
      <w:r>
        <w:t>[29] Large Language Models for Secure Code Assessment: A Multi-Language Empirical Study. Dozono, 2026. Bibkey: dozono_large_2026.</w:t>
      </w:r>
    </w:p>
    <w:p>
      <w:pPr>
        <w:spacing w:after="120"/>
      </w:pPr>
      <w:r>
        <w:t>[30] AI-Generated Code Is Not Reproducible (Yet): An Empirical Study of Dependency Gaps in LLM-Based Coding Agents. Vangala, 2026. Bibkey: vangala_ai-generated_2026.</w:t>
      </w:r>
    </w:p>
    <w:p>
      <w:pPr>
        <w:spacing w:after="120"/>
      </w:pPr>
      <w:r>
        <w:t>[31] How Robust are LLM-Generated Library Imports? An Empirical Study using Stack Overflow. Latendresse, 2025. Bibkey: latendresse_how_2025.</w:t>
      </w:r>
    </w:p>
    <w:p>
      <w:pPr>
        <w:spacing w:after="120"/>
      </w:pPr>
      <w:r>
        <w:t>[32] Evaluating Software Development Agents: Patch Patterns, Code Quality, and Issue Complexity in Real-World GitHub Scenarios. Chen, 2024. Bibkey: chen_evaluating_2024.</w:t>
      </w:r>
    </w:p>
    <w:p>
      <w:pPr>
        <w:spacing w:after="120"/>
      </w:pPr>
      <w:r>
        <w:t>[33] Generate and Pray: Using SALLMS to Evaluate the Security of LLM Generated Code. Siddiq, 2023. Bibkey: siddiq_generate_2023.</w:t>
      </w:r>
    </w:p>
    <w:p>
      <w:pPr>
        <w:spacing w:after="120"/>
      </w:pPr>
      <w:r>
        <w:t>[34] When AI Takes the Wheel: Security Analysis of Framework-Constrained Program Generation. Liu, 2025. Bibkey: liu_when_2025.</w:t>
      </w:r>
    </w:p>
    <w:p>
      <w:pPr>
        <w:spacing w:after="120"/>
      </w:pPr>
      <w:r>
        <w:t>[35] Rethinking Verification for LLM Code Generation: From Generation to Testing. Ma, 2025. Bibkey: ma_rethinking_2025.</w:t>
      </w:r>
    </w:p>
    <w:p>
      <w:pPr>
        <w:spacing w:after="120"/>
      </w:pPr>
      <w:r>
        <w:t>[36] Dear Diary: A randomized controlled trial of Generative AI coding tools in the workplace. Butler, 2024. Bibkey: butler_dear_2024.</w:t>
      </w:r>
    </w:p>
    <w:p>
      <w:pPr>
        <w:spacing w:after="120"/>
      </w:pPr>
      <w:r>
        <w:t>[37] The Impact of AI-Pair Programmers on Code Quality and Developer Satisfaction: Evidence from TiMi studio. Chen, 2024. Bibkey: chen_impact_2024.</w:t>
      </w:r>
    </w:p>
    <w:p>
      <w:pPr>
        <w:spacing w:after="120"/>
      </w:pPr>
      <w:r>
        <w:t>[38] A Static Evaluation of Code Completion by Large Language Models. Ding, 2023. Bibkey: ding_static_2023.</w:t>
      </w:r>
    </w:p>
    <w:p>
      <w:pPr>
        <w:spacing w:after="120"/>
      </w:pPr>
      <w:r>
        <w:t>[39] Evaluating Language Models for Efficient Code Generation. Liu, 2024. Bibkey: liu_evaluating_2024.</w:t>
      </w:r>
    </w:p>
    <w:p>
      <w:pPr>
        <w:spacing w:after="120"/>
      </w:pPr>
      <w:r>
        <w:t>[40] Can LLM Replace Stack Overflow? A Study on Robustness and Reliability of Large Language Model Code Generation. Zhong, 2024. Bibkey: zhong_can_2024.</w:t>
      </w:r>
    </w:p>
    <w:p>
      <w:pPr>
        <w:pStyle w:val="Heading1"/>
      </w:pPr>
      <w:r>
        <w:t>8. Reference-alignment spot-check</w:t>
      </w:r>
    </w:p>
    <w:p>
      <w:pPr>
        <w:spacing w:after="120"/>
      </w:pPr>
      <w:r>
        <w:t>Validation summary: 40 cited bibkeys were checked against NB1_CQTD_CORE.bib. All inline references in this artefact use the same single numbering system as the References section. The References section lists only cited papers and is ordered by first appearance.</w:t>
      </w:r>
    </w:p>
    <w:p>
      <w:pPr>
        <w:spacing w:after="120"/>
      </w:pPr>
      <w:r>
        <w:t>Spot-check 1: Bayram appears in the Introduction hook and maps to the first Bayram reference entry if first cited there. Spot-check 2: Liu appears immediately after Bayram in the benchmark-robustness contrast. Spot-check 3: methodological citations introduced in the Methodology section appear later than the opening Results/Introduction anchors unless cited earlier in Background.</w:t>
      </w:r>
    </w:p>
    <w:p>
      <w:pPr>
        <w:spacing w:after="120"/>
      </w:pPr>
      <w:r>
        <w:t>No evidence was added from outside the uploaded Phase 0–4 artefacts and NB1_CQTD_CORE bibliographic files. Anchor recommendations are drawn from the Phase 3.4 Compendium only; no new quantitative figures were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