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0.1 — NB2 CQTD SUPPORT Briefing Document</w:t>
      </w:r>
    </w:p>
    <w:p>
      <w:pPr>
        <w:jc w:val="center"/>
      </w:pPr>
      <w:r>
        <w:t>Code Quality and Technical Debt in AI-assisted Programming — descriptive overview of the 64-paper SUPPORT corpus</w:t>
      </w:r>
    </w:p>
    <w:p>
      <w:pPr>
        <w:pStyle w:val="Heading1"/>
      </w:pPr>
      <w:r>
        <w:t>1. Overview</w:t>
      </w:r>
    </w:p>
    <w:p>
      <w:r>
        <w:t>NB2_CQTD_Support is a 64-paper triangulation corpus for the Code Quality and Technical Debt (CQTD) dimension of the SLR. It is not treated here as a replacement for the separate structural corpus used elsewhere in the project; rather, it is a self-contained set of complementary empirical studies selected because they broaden the CQTD evidence base, add alternative measurement designs, and make visible adjacent issues such as security, maintainability, code repair, reproducibility, execution reliability, and human validation. Early papers in the set already combine direct tool comparisons, correctness checks, and security-oriented assessment, including studies of GitHub Copilot, Amazon CodeWhisperer, ChatGPT, and broader LLM code-generation behaviour [1][2][3].</w:t>
      </w:r>
    </w:p>
    <w:p>
      <w:r>
        <w:t>The analytical purpose of this Phase 0 briefing is descriptive. The corpus is characterised as an independent SUPPORT unit before any cross-synthesis is attempted: it shows how evidence is distributed by year, venue, study design, sub-topic, model family, and empirical role. The set is especially useful because it contains multi-model benchmark comparisons, secure-code evaluations, program-repair studies, human-centred studies, reliability analyses, and language- or context-specific evaluations [4][5][6][7][8].</w:t>
      </w:r>
    </w:p>
    <w:p>
      <w:pPr>
        <w:pStyle w:val="Heading1"/>
      </w:pPr>
      <w:r>
        <w:t>2. Corpus composition</w:t>
      </w:r>
    </w:p>
    <w:p>
      <w:pPr>
        <w:pStyle w:val="Heading2"/>
      </w:pPr>
      <w:r>
        <w:t>2.1 Temporal distribution</w:t>
      </w:r>
    </w:p>
    <w:p>
      <w:r>
        <w:t>The SUPPORT corpus is concentrated in the recent LLM-code era. The distribution is: 2021: 0 papers; 2022: 0 papers; 2023: 8 papers; 2024: 23 papers; 2025: 25 papers; 2026: 8 papers. The temporal centre of gravity is therefore 2024–2025, with 48 of the 64 papers appearing in those two years. This pattern is consistent with a literature that expanded after the public diffusion of ChatGPT, Copilot-style tools, and benchmark-driven code-generation evaluation.</w:t>
      </w:r>
    </w:p>
    <w:p>
      <w:pPr>
        <w:pStyle w:val="Heading2"/>
      </w:pPr>
      <w:r>
        <w:t>2.2 Publication venue distribution</w:t>
      </w:r>
    </w:p>
    <w:p>
      <w:r>
        <w:t>The venue profile is mixed: journals and conference proceedings provide the most stable publication layer, while preprints supply rapid coverage of frontier models, multi-turn generation, and security benchmarks. Explicitly represented venues include Empirical Software Engineering, IEEE Transactions on Software Engineering, ACM Transactions on Software Engineering and Methodology, Information and Software Technology, Scientific Reports, Computers, Materials, &amp; Continua, Applied Sciences, ESEM, ISSTA, and ACL-associated proceedings. The corpus also contains a sizeable arXiv/preprint component, which is analytically useful for emerging CQTD evidence but should be treated with caution when making manuscript-level claims.</w:t>
      </w:r>
    </w:p>
    <w:p>
      <w:pPr>
        <w:pStyle w:val="Heading2"/>
      </w:pPr>
      <w:r>
        <w:t>2.3 Methodological mix</w:t>
      </w:r>
    </w:p>
    <w:p>
      <w:r>
        <w:t>Benchmark-based: approximately 28 papers. Representative bibkeys: tihanyi_how_2025, kim_quantitative_2025, li_performance_2026, yetistiren_evaluating_2023, hansson_code_2023, li_multi-dimensional_2026.</w:t>
      </w:r>
    </w:p>
    <w:p>
      <w:r>
        <w:t>Security-focused: approximately 15 papers. Representative bibkeys: tihanyi_how_2025, al-hashimi_generative_2026, kharma_security_2025, huang_bias_2025, dora_hidden_2025, saleem_prompting_2025.</w:t>
      </w:r>
    </w:p>
    <w:p>
      <w:r>
        <w:t>User-study/observational: approximately 9 papers. Representative bibkeys: chen_need_2024, hu_empirical_2025, le_study_2024, tosi_studying_2024, florez_munoz_estudio_2024, poldrack_ai-assisted_2023.</w:t>
      </w:r>
    </w:p>
    <w:p>
      <w:r>
        <w:t>Repository/mining or empirical field: approximately 6 papers. Representative bibkeys: li_performance_2026, borg_does_2024, dolcetti_helping_2026, molison_is_2025, mou_can_2025, liu_empirical_2024.</w:t>
      </w:r>
    </w:p>
    <w:p>
      <w:r>
        <w:t>Apr/debugging/repair: approximately 6 papers. Representative bibkeys: zhang_critical_2023, liu_refining_2024, ma_bloomapr_2025, mou_can_2025, yang_why_2025, zhao_peer-aided_2026.</w:t>
      </w:r>
    </w:p>
    <w:p>
      <w:r>
        <w:t>Agentic/contextual workflows: approximately 4 papers. Representative bibkeys: nangia_-context_2025, hu_empirical_2025, chen_need_2024, teran_how_2025.</w:t>
      </w:r>
    </w:p>
    <w:p>
      <w:r>
        <w:t>Reproducibility/reliability: approximately 5 papers. Representative bibkeys: kim_assessing_2025, rawal_benchmarking_2025, poldrack_ai-assisted_2023, lim_contracteval_2026, sabra_assessing_2025.</w:t>
      </w:r>
    </w:p>
    <w:p>
      <w:pPr>
        <w:pStyle w:val="Heading2"/>
      </w:pPr>
      <w:r>
        <w:t>2.4 Sub-topic coverage</w:t>
      </w:r>
    </w:p>
    <w:p>
      <w:r>
        <w:t>Functional correctness: approximately 15 papers. Representative bibkeys: li_performance_2026, hansson_code_2023, li_multi-dimensional_2026, liu_no_2024, peng_perfcodegen_2024, steenhoek_err_2025, zheng_humanevo_2025.</w:t>
      </w:r>
    </w:p>
    <w:p>
      <w:r>
        <w:t>Security vulnerabilities: approximately 13 papers. Representative bibkeys: tihanyi_how_2025, al-hashimi_generative_2026, kharma_security_2025, huang_bias_2025, dora_hidden_2025, saleem_prompting_2025, wang_benchmarking_2025.</w:t>
      </w:r>
    </w:p>
    <w:p>
      <w:r>
        <w:t>Maintainability/code smells: approximately 8 papers. Representative bibkeys: yetistiren_evaluating_2023, hansson_code_2023, li_multi-dimensional_2026, kim_quantitative_2025, molison_is_2025, borg_does_2024, dolcetti_helping_2026.</w:t>
      </w:r>
    </w:p>
    <w:p>
      <w:r>
        <w:t>Technical debt/quality risk: approximately 6 papers. Representative bibkeys: li_multi-dimensional_2026, kharma_security_2025, borg_does_2024, dolcetti_helping_2026, yang_robustness_2024, ambati_navigating_2024.</w:t>
      </w:r>
    </w:p>
    <w:p>
      <w:r>
        <w:t>Reproducibility/reliability: approximately 6 papers. Representative bibkeys: kim_assessing_2025, rawal_benchmarking_2025, poldrack_ai-assisted_2023, lim_contracteval_2026, sabra_assessing_2025, li_performance_2026.</w:t>
      </w:r>
    </w:p>
    <w:p>
      <w:r>
        <w:t>Performance/efficiency: approximately 4 papers. Representative bibkeys: peng_perfcodegen_2024, li_performance_2026, wang_how_and_2024, yang_robustness_2024.</w:t>
      </w:r>
    </w:p>
    <w:p>
      <w:r>
        <w:t>Bias/fairness: approximately 2 papers. Representative bibkeys: mouselinos_simple_2023, huang_bias_2025.</w:t>
      </w:r>
    </w:p>
    <w:p>
      <w:r>
        <w:t>Program repair/debugging: approximately 6 papers. Representative bibkeys: zhang_critical_2023, liu_refining_2024, ma_bloomapr_2025, yang_why_2025, zhao_peer-aided_2026, mou_can_2025.</w:t>
      </w:r>
    </w:p>
    <w:p>
      <w:r>
        <w:t>Human validation/usability: approximately 7 papers. Representative bibkeys: chen_need_2024, hu_empirical_2025, le_study_2024, tosi_studying_2024, florez_munoz_estudio_2024, schaad_you_2025, teran_how_2025.</w:t>
      </w:r>
    </w:p>
    <w:p>
      <w:pPr>
        <w:pStyle w:val="Heading2"/>
      </w:pPr>
      <w:r>
        <w:t>2.5 Models and tools studied</w:t>
      </w:r>
    </w:p>
    <w:p>
      <w:r>
        <w:t>The most recurrent tools and model families are ChatGPT, GitHub Copilot, GPT-4, GPT-3.5, Code Llama, DeepSeek-Coder, Amazon CodeWhisperer, Copilot Chat, Claude-family models, Gemini, StarCoder, Codex, CodeT5/InstructCodeT5, Llama-family models, and BLOOM/BLOOMZ. Approximate paper counts are shown below; counts are intentionally conservative because some papers evaluate model families without reporting every variant in the title or metadata.</w:t>
      </w:r>
    </w:p>
    <w:tbl>
      <w:tblPr>
        <w:tblStyle w:val="TableGrid"/>
        <w:tblW w:type="auto" w:w="0"/>
        <w:jc w:val="center"/>
        <w:tblLook w:firstColumn="1" w:firstRow="1" w:lastColumn="0" w:lastRow="0" w:noHBand="0" w:noVBand="1" w:val="04A0"/>
      </w:tblPr>
      <w:tblGrid>
        <w:gridCol w:w="4320"/>
        <w:gridCol w:w="4320"/>
      </w:tblGrid>
      <w:tr>
        <w:tc>
          <w:tcPr>
            <w:tcW w:type="dxa" w:w="4320"/>
            <w:vAlign w:val="top"/>
          </w:tcPr>
          <w:p>
            <w:r>
              <w:rPr>
                <w:sz w:val="18"/>
              </w:rPr>
              <w:t>Model/tool family</w:t>
            </w:r>
          </w:p>
        </w:tc>
        <w:tc>
          <w:tcPr>
            <w:tcW w:type="dxa" w:w="4320"/>
            <w:vAlign w:val="top"/>
          </w:tcPr>
          <w:p>
            <w:r>
              <w:rPr>
                <w:sz w:val="18"/>
              </w:rPr>
              <w:t>Approximate count</w:t>
            </w:r>
          </w:p>
        </w:tc>
      </w:tr>
      <w:tr>
        <w:tc>
          <w:tcPr>
            <w:tcW w:type="dxa" w:w="4320"/>
            <w:vAlign w:val="top"/>
          </w:tcPr>
          <w:p>
            <w:r>
              <w:rPr>
                <w:sz w:val="18"/>
              </w:rPr>
              <w:t>ChatGPT</w:t>
            </w:r>
          </w:p>
        </w:tc>
        <w:tc>
          <w:tcPr>
            <w:tcW w:type="dxa" w:w="4320"/>
            <w:vAlign w:val="top"/>
          </w:tcPr>
          <w:p>
            <w:r>
              <w:rPr>
                <w:sz w:val="18"/>
              </w:rPr>
              <w:t>18</w:t>
            </w:r>
          </w:p>
        </w:tc>
      </w:tr>
      <w:tr>
        <w:tc>
          <w:tcPr>
            <w:tcW w:type="dxa" w:w="4320"/>
            <w:vAlign w:val="top"/>
          </w:tcPr>
          <w:p>
            <w:r>
              <w:rPr>
                <w:sz w:val="18"/>
              </w:rPr>
              <w:t>GitHub Copilot</w:t>
            </w:r>
          </w:p>
        </w:tc>
        <w:tc>
          <w:tcPr>
            <w:tcW w:type="dxa" w:w="4320"/>
            <w:vAlign w:val="top"/>
          </w:tcPr>
          <w:p>
            <w:r>
              <w:rPr>
                <w:sz w:val="18"/>
              </w:rPr>
              <w:t>13</w:t>
            </w:r>
          </w:p>
        </w:tc>
      </w:tr>
      <w:tr>
        <w:tc>
          <w:tcPr>
            <w:tcW w:type="dxa" w:w="4320"/>
            <w:vAlign w:val="top"/>
          </w:tcPr>
          <w:p>
            <w:r>
              <w:rPr>
                <w:sz w:val="18"/>
              </w:rPr>
              <w:t>GPT-4</w:t>
            </w:r>
          </w:p>
        </w:tc>
        <w:tc>
          <w:tcPr>
            <w:tcW w:type="dxa" w:w="4320"/>
            <w:vAlign w:val="top"/>
          </w:tcPr>
          <w:p>
            <w:r>
              <w:rPr>
                <w:sz w:val="18"/>
              </w:rPr>
              <w:t>12</w:t>
            </w:r>
          </w:p>
        </w:tc>
      </w:tr>
      <w:tr>
        <w:tc>
          <w:tcPr>
            <w:tcW w:type="dxa" w:w="4320"/>
            <w:vAlign w:val="top"/>
          </w:tcPr>
          <w:p>
            <w:r>
              <w:rPr>
                <w:sz w:val="18"/>
              </w:rPr>
              <w:t>GPT-3.5</w:t>
            </w:r>
          </w:p>
        </w:tc>
        <w:tc>
          <w:tcPr>
            <w:tcW w:type="dxa" w:w="4320"/>
            <w:vAlign w:val="top"/>
          </w:tcPr>
          <w:p>
            <w:r>
              <w:rPr>
                <w:sz w:val="18"/>
              </w:rPr>
              <w:t>9</w:t>
            </w:r>
          </w:p>
        </w:tc>
      </w:tr>
      <w:tr>
        <w:tc>
          <w:tcPr>
            <w:tcW w:type="dxa" w:w="4320"/>
            <w:vAlign w:val="top"/>
          </w:tcPr>
          <w:p>
            <w:r>
              <w:rPr>
                <w:sz w:val="18"/>
              </w:rPr>
              <w:t>Code Llama</w:t>
            </w:r>
          </w:p>
        </w:tc>
        <w:tc>
          <w:tcPr>
            <w:tcW w:type="dxa" w:w="4320"/>
            <w:vAlign w:val="top"/>
          </w:tcPr>
          <w:p>
            <w:r>
              <w:rPr>
                <w:sz w:val="18"/>
              </w:rPr>
              <w:t>8</w:t>
            </w:r>
          </w:p>
        </w:tc>
      </w:tr>
      <w:tr>
        <w:tc>
          <w:tcPr>
            <w:tcW w:type="dxa" w:w="4320"/>
            <w:vAlign w:val="top"/>
          </w:tcPr>
          <w:p>
            <w:r>
              <w:rPr>
                <w:sz w:val="18"/>
              </w:rPr>
              <w:t>DeepSeek-Coder</w:t>
            </w:r>
          </w:p>
        </w:tc>
        <w:tc>
          <w:tcPr>
            <w:tcW w:type="dxa" w:w="4320"/>
            <w:vAlign w:val="top"/>
          </w:tcPr>
          <w:p>
            <w:r>
              <w:rPr>
                <w:sz w:val="18"/>
              </w:rPr>
              <w:t>5</w:t>
            </w:r>
          </w:p>
        </w:tc>
      </w:tr>
      <w:tr>
        <w:tc>
          <w:tcPr>
            <w:tcW w:type="dxa" w:w="4320"/>
            <w:vAlign w:val="top"/>
          </w:tcPr>
          <w:p>
            <w:r>
              <w:rPr>
                <w:sz w:val="18"/>
              </w:rPr>
              <w:t>Amazon CodeWhisperer</w:t>
            </w:r>
          </w:p>
        </w:tc>
        <w:tc>
          <w:tcPr>
            <w:tcW w:type="dxa" w:w="4320"/>
            <w:vAlign w:val="top"/>
          </w:tcPr>
          <w:p>
            <w:r>
              <w:rPr>
                <w:sz w:val="18"/>
              </w:rPr>
              <w:t>4</w:t>
            </w:r>
          </w:p>
        </w:tc>
      </w:tr>
      <w:tr>
        <w:tc>
          <w:tcPr>
            <w:tcW w:type="dxa" w:w="4320"/>
            <w:vAlign w:val="top"/>
          </w:tcPr>
          <w:p>
            <w:r>
              <w:rPr>
                <w:sz w:val="18"/>
              </w:rPr>
              <w:t>Copilot Chat</w:t>
            </w:r>
          </w:p>
        </w:tc>
        <w:tc>
          <w:tcPr>
            <w:tcW w:type="dxa" w:w="4320"/>
            <w:vAlign w:val="top"/>
          </w:tcPr>
          <w:p>
            <w:r>
              <w:rPr>
                <w:sz w:val="18"/>
              </w:rPr>
              <w:t>4</w:t>
            </w:r>
          </w:p>
        </w:tc>
      </w:tr>
      <w:tr>
        <w:tc>
          <w:tcPr>
            <w:tcW w:type="dxa" w:w="4320"/>
            <w:vAlign w:val="top"/>
          </w:tcPr>
          <w:p>
            <w:r>
              <w:rPr>
                <w:sz w:val="18"/>
              </w:rPr>
              <w:t>Claude</w:t>
            </w:r>
          </w:p>
        </w:tc>
        <w:tc>
          <w:tcPr>
            <w:tcW w:type="dxa" w:w="4320"/>
            <w:vAlign w:val="top"/>
          </w:tcPr>
          <w:p>
            <w:r>
              <w:rPr>
                <w:sz w:val="18"/>
              </w:rPr>
              <w:t>4</w:t>
            </w:r>
          </w:p>
        </w:tc>
      </w:tr>
      <w:tr>
        <w:tc>
          <w:tcPr>
            <w:tcW w:type="dxa" w:w="4320"/>
            <w:vAlign w:val="top"/>
          </w:tcPr>
          <w:p>
            <w:r>
              <w:rPr>
                <w:sz w:val="18"/>
              </w:rPr>
              <w:t>Gemini</w:t>
            </w:r>
          </w:p>
        </w:tc>
        <w:tc>
          <w:tcPr>
            <w:tcW w:type="dxa" w:w="4320"/>
            <w:vAlign w:val="top"/>
          </w:tcPr>
          <w:p>
            <w:r>
              <w:rPr>
                <w:sz w:val="18"/>
              </w:rPr>
              <w:t>3</w:t>
            </w:r>
          </w:p>
        </w:tc>
      </w:tr>
      <w:tr>
        <w:tc>
          <w:tcPr>
            <w:tcW w:type="dxa" w:w="4320"/>
            <w:vAlign w:val="top"/>
          </w:tcPr>
          <w:p>
            <w:r>
              <w:rPr>
                <w:sz w:val="18"/>
              </w:rPr>
              <w:t>StarCoder</w:t>
            </w:r>
          </w:p>
        </w:tc>
        <w:tc>
          <w:tcPr>
            <w:tcW w:type="dxa" w:w="4320"/>
            <w:vAlign w:val="top"/>
          </w:tcPr>
          <w:p>
            <w:r>
              <w:rPr>
                <w:sz w:val="18"/>
              </w:rPr>
              <w:t>3</w:t>
            </w:r>
          </w:p>
        </w:tc>
      </w:tr>
      <w:tr>
        <w:tc>
          <w:tcPr>
            <w:tcW w:type="dxa" w:w="4320"/>
            <w:vAlign w:val="top"/>
          </w:tcPr>
          <w:p>
            <w:r>
              <w:rPr>
                <w:sz w:val="18"/>
              </w:rPr>
              <w:t>Codex</w:t>
            </w:r>
          </w:p>
        </w:tc>
        <w:tc>
          <w:tcPr>
            <w:tcW w:type="dxa" w:w="4320"/>
            <w:vAlign w:val="top"/>
          </w:tcPr>
          <w:p>
            <w:r>
              <w:rPr>
                <w:sz w:val="18"/>
              </w:rPr>
              <w:t>3</w:t>
            </w:r>
          </w:p>
        </w:tc>
      </w:tr>
      <w:tr>
        <w:tc>
          <w:tcPr>
            <w:tcW w:type="dxa" w:w="4320"/>
            <w:vAlign w:val="top"/>
          </w:tcPr>
          <w:p>
            <w:r>
              <w:rPr>
                <w:sz w:val="18"/>
              </w:rPr>
              <w:t>CodeT5/InstructCodeT5</w:t>
            </w:r>
          </w:p>
        </w:tc>
        <w:tc>
          <w:tcPr>
            <w:tcW w:type="dxa" w:w="4320"/>
            <w:vAlign w:val="top"/>
          </w:tcPr>
          <w:p>
            <w:r>
              <w:rPr>
                <w:sz w:val="18"/>
              </w:rPr>
              <w:t>2</w:t>
            </w:r>
          </w:p>
        </w:tc>
      </w:tr>
      <w:tr>
        <w:tc>
          <w:tcPr>
            <w:tcW w:type="dxa" w:w="4320"/>
            <w:vAlign w:val="top"/>
          </w:tcPr>
          <w:p>
            <w:r>
              <w:rPr>
                <w:sz w:val="18"/>
              </w:rPr>
              <w:t>Llama-family models</w:t>
            </w:r>
          </w:p>
        </w:tc>
        <w:tc>
          <w:tcPr>
            <w:tcW w:type="dxa" w:w="4320"/>
            <w:vAlign w:val="top"/>
          </w:tcPr>
          <w:p>
            <w:r>
              <w:rPr>
                <w:sz w:val="18"/>
              </w:rPr>
              <w:t>5</w:t>
            </w:r>
          </w:p>
        </w:tc>
      </w:tr>
      <w:tr>
        <w:tc>
          <w:tcPr>
            <w:tcW w:type="dxa" w:w="4320"/>
            <w:vAlign w:val="top"/>
          </w:tcPr>
          <w:p>
            <w:r>
              <w:rPr>
                <w:sz w:val="18"/>
              </w:rPr>
              <w:t>BLOOM/BLOOMZ</w:t>
            </w:r>
          </w:p>
        </w:tc>
        <w:tc>
          <w:tcPr>
            <w:tcW w:type="dxa" w:w="4320"/>
            <w:vAlign w:val="top"/>
          </w:tcPr>
          <w:p>
            <w:r>
              <w:rPr>
                <w:sz w:val="18"/>
              </w:rPr>
              <w:t>2</w:t>
            </w:r>
          </w:p>
        </w:tc>
      </w:tr>
    </w:tbl>
    <w:p>
      <w:pPr>
        <w:pStyle w:val="Heading1"/>
      </w:pPr>
      <w:r>
        <w:t>3. Triangulation role of the corpus</w:t>
      </w:r>
    </w:p>
    <w:p>
      <w:r>
        <w:t>First, the SUPPORT corpus adds quantitative breadth to CQTD by multiplying the number of evaluated models, languages, and task settings. Large-scale and multi-model studies compare secure-code generation, general code quality, performance, and multi-language robustness rather than relying on a single benchmark or assistant [9][10][11]. Several benchmark-centred papers also extend measurement beyond pass/fail correctness into execution feedback, output similarity, beginner-to-security bug detection, design pattern application, and multi-turn generation [12][13][14][15].</w:t>
      </w:r>
    </w:p>
    <w:p>
      <w:r>
        <w:t>Second, SUPPORT addresses thin CQTD areas by adding studies where quality depends on context rather than isolated generation. Examples include safety-critical software, data-science debugging, design-pattern application, advanced student-assignment repair, and contract or API-oriented evaluation [16][17][8][18]. These papers are valuable because they make the CQTD dimension less dependent on short Python-style algorithmic tasks and more sensitive to domain constraints, task framing, and downstream integration.</w:t>
      </w:r>
    </w:p>
    <w:p>
      <w:r>
        <w:t>Third, the corpus provides methodological triangulation. Human-centred and observational studies examine how programmers interact with proactive assistants, how AI code is used in practice, and how developer behaviour shapes validation outcomes [7][19][20][21]. Repository- and field-oriented studies complement those designs by examining maintainability, reliability, and downstream software effects beyond the immediate prompt-response episode [22][23][24].</w:t>
      </w:r>
    </w:p>
    <w:p>
      <w:r>
        <w:t>Finally, SUPPORT includes replication-like evidence because several studies revisit similar constructs with different tools, languages, and measures. Secure-code generation is tested through broad model comparisons, prompt-focused evaluation, vulnerability-specific studies, and multi-turn settings [25][26][27][6]. Correctness and robustness are similarly revisited through multi-language evaluation, executable Java benchmarks, comparative tool studies, and hidden or in-context evaluation designs [28][29][30]. This makes the corpus useful for triangulation, even when individual studies remain heterogeneous.</w:t>
      </w:r>
    </w:p>
    <w:p>
      <w:pPr>
        <w:pStyle w:val="Heading1"/>
      </w:pPr>
      <w:r>
        <w:t>4. Notable individual papers</w:t>
      </w:r>
    </w:p>
    <w:p>
      <w:pPr>
        <w:pStyle w:val="ListBullet"/>
      </w:pPr>
      <w:r>
        <w:t>How Secure is AI-Generated Code: a Large-scale Comparison of Large Language Models [4] stands out because it places secure-code generation at the centre of a large-scale comparison across LLMs. It is useful for CQTD argumentation because it frames security as an empirical output property rather than a speculative risk.</w:t>
      </w:r>
    </w:p>
    <w:p>
      <w:pPr>
        <w:pStyle w:val="ListBullet"/>
      </w:pPr>
      <w:r>
        <w:t>A Multi-Dimensional Quality Evaluation of Code Generated by LLM-Based Tools Across Multiple Programming Languages [9] is valuable because it treats generated code quality as multi-dimensional and multi-language. This makes it useful for avoiding an overly narrow interpretation of quality as only functional correctness.</w:t>
      </w:r>
    </w:p>
    <w:p>
      <w:pPr>
        <w:pStyle w:val="ListBullet"/>
      </w:pPr>
      <w:r>
        <w:t>Performance Analysis of AI-Generated Code: A Case Study of Copilot, Copilot Chat, CodeLlaMa, and DeepSeek-Coder Models [5] provides a focused case study across Copilot, Copilot Chat, CodeLlaMa, and DeepSeek-Coder models. Its value lies in comparing assistant families under a performance-analysis lens rather than treating “AI-generated code” as a single category.</w:t>
      </w:r>
    </w:p>
    <w:p>
      <w:pPr>
        <w:pStyle w:val="ListBullet"/>
      </w:pPr>
      <w:r>
        <w:t>No Need to Lift a Finger Anymore? Assessing the Quality of Code Generation by ChatGPT [31] is important because it directly assesses ChatGPT code-generation quality and provides an early structured empirical view of correctness and quality. It is a useful bridge between general LLM-code evaluation and CQTD-specific interpretation.</w:t>
      </w:r>
    </w:p>
    <w:p>
      <w:pPr>
        <w:pStyle w:val="ListBullet"/>
      </w:pPr>
      <w:r>
        <w:t>Evaluating the Code Quality of AI-Assisted Code Generation Tools: An Empirical Study on GitHub Copilot, Amazon CodeWhisperer, and ChatGPT [1] is one of the clearest tool-comparison studies in the corpus, contrasting GitHub Copilot, Amazon CodeWhisperer, and ChatGPT. It is especially useful because its title and design place code quality, rather than productivity, at the centre.</w:t>
      </w:r>
    </w:p>
    <w:p>
      <w:pPr>
        <w:pStyle w:val="ListBullet"/>
      </w:pPr>
      <w:r>
        <w:t>Benchmarking Correctness and Security in Multi-Turn Code Generation [6] adds an important multi-turn dimension to correctness and security. This matters because real programming assistance often unfolds through iterative dialogue rather than one-shot generation.</w:t>
      </w:r>
    </w:p>
    <w:p>
      <w:pPr>
        <w:pStyle w:val="ListBullet"/>
      </w:pPr>
      <w:r>
        <w:t>CoderUJB: An Executable and Unified Java Benchmark for Practical Programming Scenarios [28] contributes an executable Java benchmark for practical programming scenarios. It helps counterbalance Python-heavy evaluation and strengthens the corpus with a language- and execution-specific benchmark design.</w:t>
      </w:r>
    </w:p>
    <w:p>
      <w:pPr>
        <w:pStyle w:val="ListBullet"/>
      </w:pPr>
      <w:r>
        <w:t>Is LLM-Generated Code More Maintainable &amp; Reliable Than Human-Written Code? [24] is notable because it directly compares maintainability and reliability of LLM-generated and human-written code. It is especially relevant for the technical-debt side of CQTD.</w:t>
      </w:r>
    </w:p>
    <w:p>
      <w:pPr>
        <w:pStyle w:val="ListBullet"/>
      </w:pPr>
      <w:r>
        <w:t>Need Help? Designing Proactive AI Assistants for Programming [7] is valuable as a proactive-assistant design study. It extends the corpus from generated artefacts to the interaction mechanisms through which developers receive, assess, and use AI assistance.</w:t>
      </w:r>
    </w:p>
    <w:p>
      <w:pPr>
        <w:pStyle w:val="ListBullet"/>
      </w:pPr>
      <w:r>
        <w:t>Peer-Aided Repairer: Empowering Large Language Models to Repair Advanced Student Assignments [8] stands out for its repair orientation in advanced student assignments. It contributes evidence on whether LLMs can support correction and repair rather than only initial code generation.</w:t>
      </w:r>
    </w:p>
    <w:p>
      <w:pPr>
        <w:pStyle w:val="ListBullet"/>
      </w:pPr>
      <w:r>
        <w:t>An Empirical Study of the Code Generation of Safety-Critical Software Using LLMs [16] is distinctive because it studies safety-critical software generation. It marks one of the corpus areas where CQTD stakes are especially high and ordinary benchmark success is insufficient.</w:t>
      </w:r>
    </w:p>
    <w:p>
      <w:pPr>
        <w:pStyle w:val="ListBullet"/>
      </w:pPr>
      <w:r>
        <w:t>Assessing Output Reliability and Similarity of Large Language Models in Software Development: A Comparative Case Study Approach [13] is valuable for output reliability and similarity assessment. It supports the reliability/reproducibility side of CQTD by asking whether model outputs are stable enough for software-development use.</w:t>
      </w:r>
    </w:p>
    <w:p>
      <w:pPr>
        <w:pStyle w:val="Heading1"/>
      </w:pPr>
      <w:r>
        <w:t>5. Limitations of the SUPPORT corpus</w:t>
      </w:r>
    </w:p>
    <w:p>
      <w:r>
        <w:t>The SUPPORT corpus is broad but not comprehensive. It is heavily weighted towards 2024–2025 and therefore captures a fast-moving period in which models, assistants, and benchmark practices changed rapidly. This gives the corpus strong contemporary relevance, but it also means that some results may age quickly, especially those tied to a specific model snapshot or tool version.</w:t>
      </w:r>
    </w:p>
    <w:p>
      <w:r>
        <w:t>The corpus is also venue-heterogeneous. Strong journal and conference papers are present, but a non-trivial share of the evidence comes from preprints, workshop-style outputs, or early empirical studies. This is appropriate for triangulation in a fast-moving SLR, yet it limits the degree to which every paper can be weighted equally for final manuscript claims. Phase 0 therefore treats the corpus as descriptive support, not as a single uniform evidence block.</w:t>
      </w:r>
    </w:p>
    <w:p>
      <w:r>
        <w:t>Finally, coverage remains uneven. Functional correctness, security, and benchmark comparisons are well represented, while long-horizon technical debt, architectural degradation, industrial maintenance cost, and post-deployment failure are thinner. Several papers study Python, Java, or common benchmark settings, but fewer papers cover legacy systems, embedded contexts, regulated software, or non-English development environments. These gaps should be explicitly preserved in later synthesis rather than smoothed over.</w:t>
      </w:r>
    </w:p>
    <w:p>
      <w:pPr>
        <w:pStyle w:val="Heading1"/>
      </w:pPr>
      <w:r>
        <w:t>6. Headline composition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tcPr>
          <w:p>
            <w:r>
              <w:rPr>
                <w:sz w:val="18"/>
              </w:rPr>
              <w:t>Compositional dimension</w:t>
            </w:r>
          </w:p>
        </w:tc>
        <w:tc>
          <w:tcPr>
            <w:tcW w:type="dxa" w:w="2880"/>
            <w:vAlign w:val="top"/>
          </w:tcPr>
          <w:p>
            <w:r>
              <w:rPr>
                <w:sz w:val="18"/>
              </w:rPr>
              <w:t>Value</w:t>
            </w:r>
          </w:p>
        </w:tc>
        <w:tc>
          <w:tcPr>
            <w:tcW w:type="dxa" w:w="2880"/>
            <w:vAlign w:val="top"/>
          </w:tcPr>
          <w:p>
            <w:r>
              <w:rPr>
                <w:sz w:val="18"/>
              </w:rPr>
              <w:t>Most-representative bibkeys</w:t>
            </w:r>
          </w:p>
        </w:tc>
      </w:tr>
      <w:tr>
        <w:tc>
          <w:tcPr>
            <w:tcW w:type="dxa" w:w="2880"/>
            <w:vAlign w:val="top"/>
          </w:tcPr>
          <w:p>
            <w:r>
              <w:rPr>
                <w:sz w:val="18"/>
              </w:rPr>
              <w:t>Corpus size</w:t>
            </w:r>
          </w:p>
        </w:tc>
        <w:tc>
          <w:tcPr>
            <w:tcW w:type="dxa" w:w="2880"/>
            <w:vAlign w:val="top"/>
          </w:tcPr>
          <w:p>
            <w:r>
              <w:rPr>
                <w:sz w:val="18"/>
              </w:rPr>
              <w:t>64 SUPPORT papers</w:t>
            </w:r>
          </w:p>
        </w:tc>
        <w:tc>
          <w:tcPr>
            <w:tcW w:type="dxa" w:w="2880"/>
            <w:vAlign w:val="top"/>
          </w:tcPr>
          <w:p>
            <w:r>
              <w:rPr>
                <w:sz w:val="18"/>
              </w:rPr>
              <w:t>all bibkeys in NB2_CQTD_Support.bib</w:t>
            </w:r>
          </w:p>
        </w:tc>
      </w:tr>
      <w:tr>
        <w:tc>
          <w:tcPr>
            <w:tcW w:type="dxa" w:w="2880"/>
            <w:vAlign w:val="top"/>
          </w:tcPr>
          <w:p>
            <w:r>
              <w:rPr>
                <w:sz w:val="18"/>
              </w:rPr>
              <w:t>Temporal centre</w:t>
            </w:r>
          </w:p>
        </w:tc>
        <w:tc>
          <w:tcPr>
            <w:tcW w:type="dxa" w:w="2880"/>
            <w:vAlign w:val="top"/>
          </w:tcPr>
          <w:p>
            <w:r>
              <w:rPr>
                <w:sz w:val="18"/>
              </w:rPr>
              <w:t>48 papers in 2024–2025</w:t>
            </w:r>
          </w:p>
        </w:tc>
        <w:tc>
          <w:tcPr>
            <w:tcW w:type="dxa" w:w="2880"/>
            <w:vAlign w:val="top"/>
          </w:tcPr>
          <w:p>
            <w:r>
              <w:rPr>
                <w:sz w:val="18"/>
              </w:rPr>
              <w:t>liu_no_2024; tihanyi_how_2025; rawal_benchmarking_2025</w:t>
            </w:r>
          </w:p>
        </w:tc>
      </w:tr>
      <w:tr>
        <w:tc>
          <w:tcPr>
            <w:tcW w:type="dxa" w:w="2880"/>
            <w:vAlign w:val="top"/>
          </w:tcPr>
          <w:p>
            <w:r>
              <w:rPr>
                <w:sz w:val="18"/>
              </w:rPr>
              <w:t>Earliest coverage</w:t>
            </w:r>
          </w:p>
        </w:tc>
        <w:tc>
          <w:tcPr>
            <w:tcW w:type="dxa" w:w="2880"/>
            <w:vAlign w:val="top"/>
          </w:tcPr>
          <w:p>
            <w:r>
              <w:rPr>
                <w:sz w:val="18"/>
              </w:rPr>
              <w:t>No 2021–2022 papers; first cluster in 2023</w:t>
            </w:r>
          </w:p>
        </w:tc>
        <w:tc>
          <w:tcPr>
            <w:tcW w:type="dxa" w:w="2880"/>
            <w:vAlign w:val="top"/>
          </w:tcPr>
          <w:p>
            <w:r>
              <w:rPr>
                <w:sz w:val="18"/>
              </w:rPr>
              <w:t>yetistiren_evaluating_2023; hansson_code_2023; mouselinos_simple_2023</w:t>
            </w:r>
          </w:p>
        </w:tc>
      </w:tr>
      <w:tr>
        <w:tc>
          <w:tcPr>
            <w:tcW w:type="dxa" w:w="2880"/>
            <w:vAlign w:val="top"/>
          </w:tcPr>
          <w:p>
            <w:r>
              <w:rPr>
                <w:sz w:val="18"/>
              </w:rPr>
              <w:t>2026 forward edge</w:t>
            </w:r>
          </w:p>
        </w:tc>
        <w:tc>
          <w:tcPr>
            <w:tcW w:type="dxa" w:w="2880"/>
            <w:vAlign w:val="top"/>
          </w:tcPr>
          <w:p>
            <w:r>
              <w:rPr>
                <w:sz w:val="18"/>
              </w:rPr>
              <w:t>8 papers</w:t>
            </w:r>
          </w:p>
        </w:tc>
        <w:tc>
          <w:tcPr>
            <w:tcW w:type="dxa" w:w="2880"/>
            <w:vAlign w:val="top"/>
          </w:tcPr>
          <w:p>
            <w:r>
              <w:rPr>
                <w:sz w:val="18"/>
              </w:rPr>
              <w:t>li_performance_2026; li_multi-dimensional_2026; zhao_peer-aided_2026</w:t>
            </w:r>
          </w:p>
        </w:tc>
      </w:tr>
      <w:tr>
        <w:tc>
          <w:tcPr>
            <w:tcW w:type="dxa" w:w="2880"/>
            <w:vAlign w:val="top"/>
          </w:tcPr>
          <w:p>
            <w:r>
              <w:rPr>
                <w:sz w:val="18"/>
              </w:rPr>
              <w:t>Dominant method</w:t>
            </w:r>
          </w:p>
        </w:tc>
        <w:tc>
          <w:tcPr>
            <w:tcW w:type="dxa" w:w="2880"/>
            <w:vAlign w:val="top"/>
          </w:tcPr>
          <w:p>
            <w:r>
              <w:rPr>
                <w:sz w:val="18"/>
              </w:rPr>
              <w:t>Benchmark-based evaluation, approximately 28 papers</w:t>
            </w:r>
          </w:p>
        </w:tc>
        <w:tc>
          <w:tcPr>
            <w:tcW w:type="dxa" w:w="2880"/>
            <w:vAlign w:val="top"/>
          </w:tcPr>
          <w:p>
            <w:r>
              <w:rPr>
                <w:sz w:val="18"/>
              </w:rPr>
              <w:t>li_multi-dimensional_2026; zeng_coderujb_2024; rawal_benchmarking_2025</w:t>
            </w:r>
          </w:p>
        </w:tc>
      </w:tr>
      <w:tr>
        <w:tc>
          <w:tcPr>
            <w:tcW w:type="dxa" w:w="2880"/>
            <w:vAlign w:val="top"/>
          </w:tcPr>
          <w:p>
            <w:r>
              <w:rPr>
                <w:sz w:val="18"/>
              </w:rPr>
              <w:t>Security emphasis</w:t>
            </w:r>
          </w:p>
        </w:tc>
        <w:tc>
          <w:tcPr>
            <w:tcW w:type="dxa" w:w="2880"/>
            <w:vAlign w:val="top"/>
          </w:tcPr>
          <w:p>
            <w:r>
              <w:rPr>
                <w:sz w:val="18"/>
              </w:rPr>
              <w:t>Approximately 15 security-focused papers</w:t>
            </w:r>
          </w:p>
        </w:tc>
        <w:tc>
          <w:tcPr>
            <w:tcW w:type="dxa" w:w="2880"/>
            <w:vAlign w:val="top"/>
          </w:tcPr>
          <w:p>
            <w:r>
              <w:rPr>
                <w:sz w:val="18"/>
              </w:rPr>
              <w:t>tihanyi_how_2025; kharma_security_2025; nouri_large_2025</w:t>
            </w:r>
          </w:p>
        </w:tc>
      </w:tr>
      <w:tr>
        <w:tc>
          <w:tcPr>
            <w:tcW w:type="dxa" w:w="2880"/>
            <w:vAlign w:val="top"/>
          </w:tcPr>
          <w:p>
            <w:r>
              <w:rPr>
                <w:sz w:val="18"/>
              </w:rPr>
              <w:t>Human/intervention evidence</w:t>
            </w:r>
          </w:p>
        </w:tc>
        <w:tc>
          <w:tcPr>
            <w:tcW w:type="dxa" w:w="2880"/>
            <w:vAlign w:val="top"/>
          </w:tcPr>
          <w:p>
            <w:r>
              <w:rPr>
                <w:sz w:val="18"/>
              </w:rPr>
              <w:t>Approximately 9 user-study or observational papers</w:t>
            </w:r>
          </w:p>
        </w:tc>
        <w:tc>
          <w:tcPr>
            <w:tcW w:type="dxa" w:w="2880"/>
            <w:vAlign w:val="top"/>
          </w:tcPr>
          <w:p>
            <w:r>
              <w:rPr>
                <w:sz w:val="18"/>
              </w:rPr>
              <w:t>chen_need_2024; hu_empirical_2025; schaad_you_2025</w:t>
            </w:r>
          </w:p>
        </w:tc>
      </w:tr>
      <w:tr>
        <w:tc>
          <w:tcPr>
            <w:tcW w:type="dxa" w:w="2880"/>
            <w:vAlign w:val="top"/>
          </w:tcPr>
          <w:p>
            <w:r>
              <w:rPr>
                <w:sz w:val="18"/>
              </w:rPr>
              <w:t>Repair/debugging evidence</w:t>
            </w:r>
          </w:p>
        </w:tc>
        <w:tc>
          <w:tcPr>
            <w:tcW w:type="dxa" w:w="2880"/>
            <w:vAlign w:val="top"/>
          </w:tcPr>
          <w:p>
            <w:r>
              <w:rPr>
                <w:sz w:val="18"/>
              </w:rPr>
              <w:t>Approximately 6 APR/debugging/repair papers</w:t>
            </w:r>
          </w:p>
        </w:tc>
        <w:tc>
          <w:tcPr>
            <w:tcW w:type="dxa" w:w="2880"/>
            <w:vAlign w:val="top"/>
          </w:tcPr>
          <w:p>
            <w:r>
              <w:rPr>
                <w:sz w:val="18"/>
              </w:rPr>
              <w:t>zhang_critical_2023; ma_bloomapr_2025; zhao_peer-aided_2026</w:t>
            </w:r>
          </w:p>
        </w:tc>
      </w:tr>
      <w:tr>
        <w:tc>
          <w:tcPr>
            <w:tcW w:type="dxa" w:w="2880"/>
            <w:vAlign w:val="top"/>
          </w:tcPr>
          <w:p>
            <w:r>
              <w:rPr>
                <w:sz w:val="18"/>
              </w:rPr>
              <w:t>Maintainability evidence</w:t>
            </w:r>
          </w:p>
        </w:tc>
        <w:tc>
          <w:tcPr>
            <w:tcW w:type="dxa" w:w="2880"/>
            <w:vAlign w:val="top"/>
          </w:tcPr>
          <w:p>
            <w:r>
              <w:rPr>
                <w:sz w:val="18"/>
              </w:rPr>
              <w:t>Approximately 8 maintainability/code-smell papers</w:t>
            </w:r>
          </w:p>
        </w:tc>
        <w:tc>
          <w:tcPr>
            <w:tcW w:type="dxa" w:w="2880"/>
            <w:vAlign w:val="top"/>
          </w:tcPr>
          <w:p>
            <w:r>
              <w:rPr>
                <w:sz w:val="18"/>
              </w:rPr>
              <w:t>molison_is_2025; borg_does_2024; yetistiren_evaluating_2023</w:t>
            </w:r>
          </w:p>
        </w:tc>
      </w:tr>
      <w:tr>
        <w:tc>
          <w:tcPr>
            <w:tcW w:type="dxa" w:w="2880"/>
            <w:vAlign w:val="top"/>
          </w:tcPr>
          <w:p>
            <w:r>
              <w:rPr>
                <w:sz w:val="18"/>
              </w:rPr>
              <w:t>Reproducibility/reliability</w:t>
            </w:r>
          </w:p>
        </w:tc>
        <w:tc>
          <w:tcPr>
            <w:tcW w:type="dxa" w:w="2880"/>
            <w:vAlign w:val="top"/>
          </w:tcPr>
          <w:p>
            <w:r>
              <w:rPr>
                <w:sz w:val="18"/>
              </w:rPr>
              <w:t>Approximately 6 papers</w:t>
            </w:r>
          </w:p>
        </w:tc>
        <w:tc>
          <w:tcPr>
            <w:tcW w:type="dxa" w:w="2880"/>
            <w:vAlign w:val="top"/>
          </w:tcPr>
          <w:p>
            <w:r>
              <w:rPr>
                <w:sz w:val="18"/>
              </w:rPr>
              <w:t>kim_assessing_2025; poldrack_ai-assisted_2023; rawal_benchmarking_2025</w:t>
            </w:r>
          </w:p>
        </w:tc>
      </w:tr>
      <w:tr>
        <w:tc>
          <w:tcPr>
            <w:tcW w:type="dxa" w:w="2880"/>
            <w:vAlign w:val="top"/>
          </w:tcPr>
          <w:p>
            <w:r>
              <w:rPr>
                <w:sz w:val="18"/>
              </w:rPr>
              <w:t>Language breadth</w:t>
            </w:r>
          </w:p>
        </w:tc>
        <w:tc>
          <w:tcPr>
            <w:tcW w:type="dxa" w:w="2880"/>
            <w:vAlign w:val="top"/>
          </w:tcPr>
          <w:p>
            <w:r>
              <w:rPr>
                <w:sz w:val="18"/>
              </w:rPr>
              <w:t>Python, Java, C/C++, data science, safety-critical contexts</w:t>
            </w:r>
          </w:p>
        </w:tc>
        <w:tc>
          <w:tcPr>
            <w:tcW w:type="dxa" w:w="2880"/>
            <w:vAlign w:val="top"/>
          </w:tcPr>
          <w:p>
            <w:r>
              <w:rPr>
                <w:sz w:val="18"/>
              </w:rPr>
              <w:t>zeng_coderujb_2024; liu_empirical_2024; yang_why_2025</w:t>
            </w:r>
          </w:p>
        </w:tc>
      </w:tr>
      <w:tr>
        <w:tc>
          <w:tcPr>
            <w:tcW w:type="dxa" w:w="2880"/>
            <w:vAlign w:val="top"/>
          </w:tcPr>
          <w:p>
            <w:r>
              <w:rPr>
                <w:sz w:val="18"/>
              </w:rPr>
              <w:t>Tool breadth</w:t>
            </w:r>
          </w:p>
        </w:tc>
        <w:tc>
          <w:tcPr>
            <w:tcW w:type="dxa" w:w="2880"/>
            <w:vAlign w:val="top"/>
          </w:tcPr>
          <w:p>
            <w:r>
              <w:rPr>
                <w:sz w:val="18"/>
              </w:rPr>
              <w:t>Copilot, ChatGPT, CodeWhisperer, GPT-family, Code Llama, DeepSeek-Coder</w:t>
            </w:r>
          </w:p>
        </w:tc>
        <w:tc>
          <w:tcPr>
            <w:tcW w:type="dxa" w:w="2880"/>
            <w:vAlign w:val="top"/>
          </w:tcPr>
          <w:p>
            <w:r>
              <w:rPr>
                <w:sz w:val="18"/>
              </w:rPr>
              <w:t>yetistiren_evaluating_2023; li_performance_2026; kharma_security_2025</w:t>
            </w:r>
          </w:p>
        </w:tc>
      </w:tr>
      <w:tr>
        <w:tc>
          <w:tcPr>
            <w:tcW w:type="dxa" w:w="2880"/>
            <w:vAlign w:val="top"/>
          </w:tcPr>
          <w:p>
            <w:r>
              <w:rPr>
                <w:sz w:val="18"/>
              </w:rPr>
              <w:t>Main limitation</w:t>
            </w:r>
          </w:p>
        </w:tc>
        <w:tc>
          <w:tcPr>
            <w:tcW w:type="dxa" w:w="2880"/>
            <w:vAlign w:val="top"/>
          </w:tcPr>
          <w:p>
            <w:r>
              <w:rPr>
                <w:sz w:val="18"/>
              </w:rPr>
              <w:t>Thin evidence on long-term architectural and post-deployment debt</w:t>
            </w:r>
          </w:p>
        </w:tc>
        <w:tc>
          <w:tcPr>
            <w:tcW w:type="dxa" w:w="2880"/>
            <w:vAlign w:val="top"/>
          </w:tcPr>
          <w:p>
            <w:r>
              <w:rPr>
                <w:sz w:val="18"/>
              </w:rPr>
              <w:t>borg_does_2024; dolcetti_helping_2026; molison_is_2025</w:t>
            </w:r>
          </w:p>
        </w:tc>
      </w:tr>
    </w:tbl>
    <w:p>
      <w:pPr>
        <w:pStyle w:val="Heading1"/>
      </w:pPr>
      <w:r>
        <w:t>7. References</w:t>
      </w:r>
    </w:p>
    <w:p>
      <w:r>
        <w:t>[1] Evaluating the Code Quality of AI-Assisted Code Generation Tools: An Empirical Study on GitHub Copilot, Amazon CodeWhisperer, and ChatGPT. Yetic stiren, 2023. Bibkey: yetistiren_evaluating_2023.</w:t>
      </w:r>
    </w:p>
    <w:p>
      <w:r>
        <w:t>[2] Code Correctness and Quality in the Era of AI Code Generation. Hansson, 2023. Bibkey: hansson_code_2023.</w:t>
      </w:r>
    </w:p>
    <w:p>
      <w:r>
        <w:t>[3] A Simple, Yet Effective Approach to Finding Biases in Code Generation. Mouselinos, 2023. Bibkey: mouselinos_simple_2023.</w:t>
      </w:r>
    </w:p>
    <w:p>
      <w:r>
        <w:t>[4] How Secure is AI-Generated Code: a Large-scale Comparison of Large Language Models. Tihanyi, 2025. Bibkey: tihanyi_how_2025.</w:t>
      </w:r>
    </w:p>
    <w:p>
      <w:r>
        <w:t>[5] Performance Analysis of AI-Generated Code: A Case Study of Copilot, Copilot Chat, CodeLlaMa, and DeepSeek-Coder Models. Li, 2026. Bibkey: li_performance_2026.</w:t>
      </w:r>
    </w:p>
    <w:p>
      <w:r>
        <w:t>[6] Benchmarking Correctness and Security in Multi-Turn Code Generation. Rawal, 2025. Bibkey: rawal_benchmarking_2025.</w:t>
      </w:r>
    </w:p>
    <w:p>
      <w:r>
        <w:t>[7] Need Help? Designing Proactive AI Assistants for Programming. Chen, 2024. Bibkey: chen_need_2024.</w:t>
      </w:r>
    </w:p>
    <w:p>
      <w:r>
        <w:t>[8] Peer-Aided Repairer: Empowering Large Language Models to Repair Advanced Student Assignments. Zhao, 2026. Bibkey: zhao_peer-aided_2026.</w:t>
      </w:r>
    </w:p>
    <w:p>
      <w:r>
        <w:t>[9] A Multi-Dimensional Quality Evaluation of Code Generated by LLM-Based Tools Across Multiple Programming Languages. Li, 2026. Bibkey: li_multi-dimensional_2026.</w:t>
      </w:r>
    </w:p>
    <w:p>
      <w:r>
        <w:t>[10] Security and Quality in LLM-generated Code: A Multi-language, Multi-model Analysis. Kharma, 2025. Bibkey: kharma_security_2025.</w:t>
      </w:r>
    </w:p>
    <w:p>
      <w:r>
        <w:t>[11] A Multi-Language Perspective on the Robustness of LLM Code Generation. Rabbi, 2025. Bibkey: rabbi_multi-language_2025.</w:t>
      </w:r>
    </w:p>
    <w:p>
      <w:r>
        <w:t>[12] PerfCodeGen: Improving Performance of LLM Generated Code with Execution Feedback. Peng, 2024. Bibkey: peng_perfcodegen_2024.</w:t>
      </w:r>
    </w:p>
    <w:p>
      <w:r>
        <w:t>[13] Assessing Output Reliability and Similarity of Large Language Models in Software Development: A Comparative Case Study Approach. Kim, 2025. Bibkey: kim_assessing_2025.</w:t>
      </w:r>
    </w:p>
    <w:p>
      <w:r>
        <w:t>[14] Can LLMs Find Bugs in Code? An Evaluation from Beginner Errors to Security Vulnerabilities in Python and C++. Mhatre, 2025. Bibkey: mhatre_can_2025.</w:t>
      </w:r>
    </w:p>
    <w:p>
      <w:r>
        <w:t>[15] Quantitative Assessment of Generative Large Language Models on Design Pattern Application. Kim, 2025. Bibkey: kim_quantitative_2025.</w:t>
      </w:r>
    </w:p>
    <w:p>
      <w:r>
        <w:t>[16] An Empirical Study of the Code Generation of Safety-Critical Software Using LLMs. Liu, 2024. Bibkey: liu_empirical_2024.</w:t>
      </w:r>
    </w:p>
    <w:p>
      <w:r>
        <w:t>[17] Why Stop at One Error? Benchmarking LLMs as Data Science Code Debuggers for Multi-Hop and Multi-Bug Errors. Yang, 2025. Bibkey: yang_why_2025.</w:t>
      </w:r>
    </w:p>
    <w:p>
      <w:r>
        <w:t>[18] ContractEval: A Benchmark for Evaluating Contract-Satisfying Assertions in Code Generation. Lim, 2026. Bibkey: lim_contracteval_2026.</w:t>
      </w:r>
    </w:p>
    <w:p>
      <w:r>
        <w:t>[19] An Empirical Study of Security Risks for the Web Code Generation by ChatGPT. Hu, 2025. Bibkey: hu_empirical_2025.</w:t>
      </w:r>
    </w:p>
    <w:p>
      <w:r>
        <w:t>[20] A Study of Vulnerability Repair in JavaScript Programs with Large Language Models. Le, 2024. Bibkey: le_study_2024.</w:t>
      </w:r>
    </w:p>
    <w:p>
      <w:r>
        <w:t>[21] "You Still have to~Study" On the~Security of~LLM Generated Code. Schaad, 2025. Bibkey: schaad_you_2025.</w:t>
      </w:r>
    </w:p>
    <w:p>
      <w:r>
        <w:t>[22] Does Co-Development with AI Assistants Lead to More Maintainable Code? A Registered Report. Borg, 2024. Bibkey: borg_does_2024.</w:t>
      </w:r>
    </w:p>
    <w:p>
      <w:r>
        <w:t>[23] Helping LLMs Improve Code Generation Using Feedback From Testing and Static Analysis. Dolcetti, 2026. Bibkey: dolcetti_helping_2026.</w:t>
      </w:r>
    </w:p>
    <w:p>
      <w:r>
        <w:t>[24] Is LLM-Generated Code More Maintainable &amp; Reliable Than Human-Written Code?. Molison, 2025. Bibkey: molison_is_2025.</w:t>
      </w:r>
    </w:p>
    <w:p>
      <w:r>
        <w:t>[25] Prompting for Security: A Cross-Model Evaluation of Code Generation in LLMs. Saleem, 2025. Bibkey: saleem_prompting_2025.</w:t>
      </w:r>
    </w:p>
    <w:p>
      <w:r>
        <w:t>[26] Large Language Models in~Code Co-generation for~Safe Autonomous Vehicles. Nouri, 2025. Bibkey: nouri_large_2025.</w:t>
      </w:r>
    </w:p>
    <w:p>
      <w:r>
        <w:t>[27] Security Analysis of Automated Code Generation: Structural Vulnerabilities in AI-Generated. Kim, 2025. Bibkey: kim_security_2025.</w:t>
      </w:r>
    </w:p>
    <w:p>
      <w:r>
        <w:t>[28] CoderUJB: An Executable and Unified Java Benchmark for Practical Programming Scenarios. Zeng, 2024. Bibkey: zeng_coderujb_2024.</w:t>
      </w:r>
    </w:p>
    <w:p>
      <w:r>
        <w:t>[29] A Comparative Analysis between AI Generated Code and Human Written Code: A Preliminary Study. Patel, 2024. Bibkey: patel_comparative_2024.</w:t>
      </w:r>
    </w:p>
    <w:p>
      <w:r>
        <w:t>[30] In-Context Vulnerability Propagation in LLMs [Work In Progress Paper]. Nangia, 2025. Bibkey: nangia_-context_2025.</w:t>
      </w:r>
    </w:p>
    <w:p>
      <w:r>
        <w:t>[31] No Need to Lift a Finger Anymore? Assessing the Quality of Code Generation by ChatGPT. Liu, 2024. Bibkey: liu_no_2024.</w:t>
      </w:r>
    </w:p>
    <w:p>
      <w:pPr>
        <w:pStyle w:val="Heading1"/>
      </w:pPr>
      <w:r>
        <w:t>8. Reference-alignment spot-check</w:t>
      </w:r>
    </w:p>
    <w:p>
      <w:r>
        <w:t>Inline citation [1] resolves to Reference [1], bibkey yetistiren_evaluating_2023, title: Evaluating the Code Quality of AI-Assisted Code Generation Tools: An Empirical Study on GitHub Copilot, Amazon CodeWhisperer, and ChatGPT.</w:t>
      </w:r>
    </w:p>
    <w:p>
      <w:r>
        <w:t>Inline citation [4] resolves to Reference [4], bibkey tihanyi_how_2025, title: How Secure is AI-Generated Code: a Large-scale Comparison of Large Language Models.</w:t>
      </w:r>
    </w:p>
    <w:p>
      <w:r>
        <w:t>Inline citation [6] resolves to Reference [6], bibkey rawal_benchmarking_2025, title: Benchmarking Correctness and Security in Multi-Turn Code Generation.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